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DDB83" w14:textId="77777777" w:rsidR="001B1AA8" w:rsidRPr="00166607" w:rsidRDefault="001B1AA8" w:rsidP="00193642">
      <w:pPr>
        <w:ind w:left="720" w:hanging="720"/>
        <w:jc w:val="center"/>
        <w:rPr>
          <w:rFonts w:ascii="Helvetica" w:hAnsi="Helvetica" w:cs="Arial"/>
          <w:b/>
        </w:rPr>
      </w:pPr>
      <w:bookmarkStart w:id="0" w:name="_GoBack"/>
      <w:bookmarkEnd w:id="0"/>
    </w:p>
    <w:p w14:paraId="5393FA6B" w14:textId="5493E5D3" w:rsidR="00135FB1" w:rsidRPr="00166607" w:rsidRDefault="009244BE" w:rsidP="00193642">
      <w:pPr>
        <w:jc w:val="center"/>
        <w:rPr>
          <w:rFonts w:ascii="Helvetica" w:hAnsi="Helvetica" w:cs="Arial"/>
          <w:b/>
          <w:sz w:val="20"/>
        </w:rPr>
      </w:pPr>
      <w:r w:rsidRPr="00166607">
        <w:rPr>
          <w:rFonts w:ascii="Helvetica" w:hAnsi="Helvetica" w:cs="Arial"/>
          <w:b/>
        </w:rPr>
        <w:t xml:space="preserve">Can Educational Voucher Programs Pay for Themselves? </w:t>
      </w:r>
    </w:p>
    <w:p w14:paraId="033DC7A9" w14:textId="77777777" w:rsidR="008C36B9" w:rsidRPr="00166607" w:rsidRDefault="008C36B9" w:rsidP="00193642">
      <w:pPr>
        <w:outlineLvl w:val="0"/>
        <w:rPr>
          <w:rFonts w:ascii="Times New Roman" w:hAnsi="Times New Roman"/>
        </w:rPr>
      </w:pPr>
    </w:p>
    <w:p w14:paraId="74215D08" w14:textId="77777777" w:rsidR="008C36B9" w:rsidRPr="00166607" w:rsidRDefault="00364BD7" w:rsidP="00193642">
      <w:pPr>
        <w:tabs>
          <w:tab w:val="left" w:pos="8640"/>
        </w:tabs>
        <w:ind w:left="720" w:right="792"/>
        <w:jc w:val="center"/>
        <w:outlineLvl w:val="0"/>
        <w:rPr>
          <w:rFonts w:ascii="Garamond" w:hAnsi="Garamond" w:cs="Baskerville"/>
          <w:sz w:val="20"/>
          <w:szCs w:val="20"/>
        </w:rPr>
      </w:pPr>
      <w:r w:rsidRPr="00166607">
        <w:rPr>
          <w:rFonts w:ascii="Times New Roman" w:hAnsi="Times New Roman"/>
          <w:i/>
        </w:rPr>
        <w:t xml:space="preserve">By </w:t>
      </w:r>
      <w:r w:rsidR="00690B95" w:rsidRPr="00166607">
        <w:rPr>
          <w:rFonts w:ascii="Garamond" w:hAnsi="Garamond" w:cs="Baskerville"/>
          <w:sz w:val="20"/>
          <w:szCs w:val="20"/>
        </w:rPr>
        <w:t xml:space="preserve">ERIC BETTINGER, MICHAEL KREMER, MAURICE KUGLER, CARLOS MEDINA, </w:t>
      </w:r>
    </w:p>
    <w:p w14:paraId="3EFAF66B" w14:textId="03065443" w:rsidR="008C36B9" w:rsidRPr="00166607" w:rsidRDefault="00690B95" w:rsidP="00193642">
      <w:pPr>
        <w:tabs>
          <w:tab w:val="left" w:pos="8640"/>
        </w:tabs>
        <w:ind w:left="720" w:right="792"/>
        <w:jc w:val="center"/>
        <w:outlineLvl w:val="0"/>
        <w:rPr>
          <w:rFonts w:ascii="Calibri" w:hAnsi="Calibri"/>
        </w:rPr>
      </w:pPr>
      <w:r w:rsidRPr="00166607">
        <w:rPr>
          <w:rFonts w:ascii="Garamond" w:hAnsi="Garamond" w:cs="Baskerville"/>
          <w:sz w:val="20"/>
          <w:szCs w:val="20"/>
        </w:rPr>
        <w:t>CHRISTIAN POSSO AND JUAN E</w:t>
      </w:r>
      <w:r w:rsidR="00717868" w:rsidRPr="00166607">
        <w:rPr>
          <w:rFonts w:ascii="Garamond" w:hAnsi="Garamond" w:cs="Baskerville"/>
          <w:sz w:val="20"/>
          <w:szCs w:val="20"/>
        </w:rPr>
        <w:t xml:space="preserve">. </w:t>
      </w:r>
      <w:r w:rsidRPr="00166607">
        <w:rPr>
          <w:rFonts w:ascii="Garamond" w:hAnsi="Garamond" w:cs="Baskerville"/>
          <w:sz w:val="20"/>
          <w:szCs w:val="20"/>
        </w:rPr>
        <w:t>SAAVEDRA*</w:t>
      </w:r>
    </w:p>
    <w:p w14:paraId="3CCC30AD" w14:textId="77777777" w:rsidR="008C36B9" w:rsidRPr="00166607" w:rsidRDefault="008C36B9" w:rsidP="00193642">
      <w:pPr>
        <w:jc w:val="center"/>
        <w:rPr>
          <w:rFonts w:ascii="Times New Roman" w:hAnsi="Times New Roman"/>
        </w:rPr>
      </w:pPr>
    </w:p>
    <w:p w14:paraId="00743378" w14:textId="34CBF5ED" w:rsidR="008C36B9" w:rsidRPr="00166607" w:rsidRDefault="007604AA" w:rsidP="00193642">
      <w:pPr>
        <w:jc w:val="center"/>
        <w:rPr>
          <w:rFonts w:ascii="Book Antiqua" w:hAnsi="Book Antiqua"/>
          <w:sz w:val="22"/>
        </w:rPr>
      </w:pPr>
      <w:r w:rsidRPr="00166607">
        <w:rPr>
          <w:rFonts w:ascii="Book Antiqua" w:hAnsi="Book Antiqua"/>
          <w:sz w:val="22"/>
        </w:rPr>
        <w:t>September</w:t>
      </w:r>
      <w:r w:rsidR="00EB28EF">
        <w:rPr>
          <w:rFonts w:ascii="Book Antiqua" w:hAnsi="Book Antiqua"/>
          <w:sz w:val="22"/>
        </w:rPr>
        <w:t xml:space="preserve"> 2</w:t>
      </w:r>
      <w:r w:rsidR="00D00FE9">
        <w:rPr>
          <w:rFonts w:ascii="Book Antiqua" w:hAnsi="Book Antiqua"/>
          <w:sz w:val="22"/>
        </w:rPr>
        <w:t>3</w:t>
      </w:r>
      <w:r w:rsidR="006627BF" w:rsidRPr="00166607">
        <w:rPr>
          <w:rFonts w:ascii="Book Antiqua" w:hAnsi="Book Antiqua"/>
          <w:sz w:val="22"/>
        </w:rPr>
        <w:t>, 2016</w:t>
      </w:r>
    </w:p>
    <w:p w14:paraId="0434604F" w14:textId="77777777" w:rsidR="00FA2F14" w:rsidRPr="00166607" w:rsidRDefault="00FA2F14" w:rsidP="00254BEF">
      <w:pPr>
        <w:spacing w:line="480" w:lineRule="auto"/>
        <w:rPr>
          <w:rFonts w:ascii="Times New Roman" w:hAnsi="Times New Roman"/>
        </w:rPr>
      </w:pPr>
    </w:p>
    <w:p w14:paraId="1BDDADFC" w14:textId="10E435DE" w:rsidR="002A63BA" w:rsidRPr="00166607" w:rsidRDefault="00C55237" w:rsidP="00B365FF">
      <w:pPr>
        <w:spacing w:before="100" w:beforeAutospacing="1" w:after="100" w:afterAutospacing="1"/>
        <w:jc w:val="both"/>
        <w:rPr>
          <w:rFonts w:ascii="Times New Roman" w:eastAsia="Times New Roman" w:hAnsi="Times New Roman"/>
          <w:sz w:val="20"/>
          <w:szCs w:val="20"/>
        </w:rPr>
      </w:pPr>
      <w:r w:rsidRPr="00166607">
        <w:rPr>
          <w:rFonts w:ascii="Times New Roman" w:eastAsia="Times New Roman" w:hAnsi="Times New Roman"/>
          <w:i/>
          <w:sz w:val="20"/>
          <w:szCs w:val="20"/>
        </w:rPr>
        <w:t xml:space="preserve">A large-scale government program in Colombia used a lottery to distribute scholarships for private secondary school to socially disadvantaged students.  Based on administrative data </w:t>
      </w:r>
      <w:r w:rsidR="009320EA" w:rsidRPr="00166607">
        <w:rPr>
          <w:rFonts w:ascii="Times New Roman" w:eastAsia="Times New Roman" w:hAnsi="Times New Roman"/>
          <w:i/>
          <w:sz w:val="20"/>
          <w:szCs w:val="20"/>
        </w:rPr>
        <w:t xml:space="preserve">up to </w:t>
      </w:r>
      <w:r w:rsidRPr="00166607">
        <w:rPr>
          <w:rFonts w:ascii="Times New Roman" w:eastAsia="Times New Roman" w:hAnsi="Times New Roman"/>
          <w:i/>
          <w:sz w:val="20"/>
          <w:szCs w:val="20"/>
        </w:rPr>
        <w:t xml:space="preserve">seventeen years after the scholarship lottery, we document that lottery winners are less likely to repeat grades, more likely to graduate from secondary school on time or ever, and more likely to start and complete tertiary education. </w:t>
      </w:r>
      <w:r w:rsidR="008F782C" w:rsidRPr="00166607">
        <w:rPr>
          <w:rFonts w:ascii="Times New Roman" w:eastAsia="Times New Roman" w:hAnsi="Times New Roman"/>
          <w:i/>
          <w:sz w:val="20"/>
          <w:szCs w:val="20"/>
        </w:rPr>
        <w:t xml:space="preserve">Tertiary education impacts are strongest among vocational school applicants. </w:t>
      </w:r>
      <w:r w:rsidRPr="00166607">
        <w:rPr>
          <w:rFonts w:ascii="Times New Roman" w:eastAsia="Times New Roman" w:hAnsi="Times New Roman"/>
          <w:i/>
          <w:sz w:val="20"/>
          <w:szCs w:val="20"/>
        </w:rPr>
        <w:t xml:space="preserve">Scholarships reduce teen fertility, although </w:t>
      </w:r>
      <w:r w:rsidR="009D27BC" w:rsidRPr="00166607">
        <w:rPr>
          <w:rFonts w:ascii="Times New Roman" w:eastAsia="Times New Roman" w:hAnsi="Times New Roman"/>
          <w:i/>
          <w:sz w:val="20"/>
          <w:szCs w:val="20"/>
        </w:rPr>
        <w:t>there is no significant effect</w:t>
      </w:r>
      <w:r w:rsidRPr="00166607">
        <w:rPr>
          <w:rFonts w:ascii="Times New Roman" w:eastAsia="Times New Roman" w:hAnsi="Times New Roman"/>
          <w:i/>
          <w:sz w:val="20"/>
          <w:szCs w:val="20"/>
        </w:rPr>
        <w:t xml:space="preserve"> on overall fertility</w:t>
      </w:r>
      <w:r w:rsidR="009D27BC" w:rsidRPr="00166607">
        <w:rPr>
          <w:rFonts w:ascii="Times New Roman" w:eastAsia="Times New Roman" w:hAnsi="Times New Roman"/>
          <w:i/>
          <w:sz w:val="20"/>
          <w:szCs w:val="20"/>
        </w:rPr>
        <w:t xml:space="preserve"> at age 30</w:t>
      </w:r>
      <w:r w:rsidRPr="00166607">
        <w:rPr>
          <w:rFonts w:ascii="Times New Roman" w:eastAsia="Times New Roman" w:hAnsi="Times New Roman"/>
          <w:i/>
          <w:sz w:val="20"/>
          <w:szCs w:val="20"/>
        </w:rPr>
        <w:t xml:space="preserve">.  </w:t>
      </w:r>
      <w:r w:rsidR="00365213" w:rsidRPr="00166607">
        <w:rPr>
          <w:rFonts w:ascii="Times New Roman" w:eastAsia="Times New Roman" w:hAnsi="Times New Roman"/>
          <w:i/>
          <w:sz w:val="20"/>
          <w:szCs w:val="20"/>
        </w:rPr>
        <w:t xml:space="preserve">Administrative data </w:t>
      </w:r>
      <w:r w:rsidR="00B20E57" w:rsidRPr="00166607">
        <w:rPr>
          <w:rFonts w:ascii="Times New Roman" w:eastAsia="Times New Roman" w:hAnsi="Times New Roman"/>
          <w:i/>
          <w:sz w:val="20"/>
          <w:szCs w:val="20"/>
        </w:rPr>
        <w:t xml:space="preserve">up to twenty years after the scholarship lottery </w:t>
      </w:r>
      <w:r w:rsidRPr="00166607">
        <w:rPr>
          <w:rFonts w:ascii="Times New Roman" w:eastAsia="Times New Roman" w:hAnsi="Times New Roman"/>
          <w:i/>
          <w:sz w:val="20"/>
          <w:szCs w:val="20"/>
        </w:rPr>
        <w:t>suggest that</w:t>
      </w:r>
      <w:r w:rsidR="008F782C" w:rsidRPr="00166607">
        <w:rPr>
          <w:rFonts w:ascii="Times New Roman" w:eastAsia="Times New Roman" w:hAnsi="Times New Roman"/>
          <w:i/>
          <w:sz w:val="20"/>
          <w:szCs w:val="20"/>
        </w:rPr>
        <w:t xml:space="preserve"> average annual formal earnings for lottery winners near age 30 are </w:t>
      </w:r>
      <w:r w:rsidRPr="00166607">
        <w:rPr>
          <w:rFonts w:ascii="Times New Roman" w:eastAsia="Times New Roman" w:hAnsi="Times New Roman"/>
          <w:i/>
          <w:sz w:val="20"/>
          <w:szCs w:val="20"/>
        </w:rPr>
        <w:t>8 percent greater</w:t>
      </w:r>
      <w:r w:rsidR="008F782C" w:rsidRPr="00166607">
        <w:rPr>
          <w:rFonts w:ascii="Times New Roman" w:eastAsia="Times New Roman" w:hAnsi="Times New Roman"/>
          <w:i/>
          <w:sz w:val="20"/>
          <w:szCs w:val="20"/>
        </w:rPr>
        <w:t xml:space="preserve"> than those for losers</w:t>
      </w:r>
      <w:r w:rsidRPr="00166607">
        <w:rPr>
          <w:rFonts w:ascii="Times New Roman" w:eastAsia="Times New Roman" w:hAnsi="Times New Roman"/>
          <w:i/>
          <w:sz w:val="20"/>
          <w:szCs w:val="20"/>
        </w:rPr>
        <w:t>, a difference that is significant at the</w:t>
      </w:r>
      <w:r w:rsidR="00AD5D8D" w:rsidRPr="00166607">
        <w:rPr>
          <w:rFonts w:ascii="Times New Roman" w:eastAsia="Times New Roman" w:hAnsi="Times New Roman"/>
          <w:i/>
          <w:sz w:val="20"/>
          <w:szCs w:val="20"/>
        </w:rPr>
        <w:t xml:space="preserve"> </w:t>
      </w:r>
      <w:r w:rsidR="00AD362A" w:rsidRPr="00166607">
        <w:rPr>
          <w:rFonts w:ascii="Times New Roman" w:eastAsia="Times New Roman" w:hAnsi="Times New Roman"/>
          <w:i/>
          <w:sz w:val="20"/>
          <w:szCs w:val="20"/>
        </w:rPr>
        <w:t>6</w:t>
      </w:r>
      <w:r w:rsidR="00AD5D8D" w:rsidRPr="00166607">
        <w:rPr>
          <w:rFonts w:ascii="Times New Roman" w:eastAsia="Times New Roman" w:hAnsi="Times New Roman"/>
          <w:i/>
          <w:sz w:val="20"/>
          <w:szCs w:val="20"/>
        </w:rPr>
        <w:t xml:space="preserve">% </w:t>
      </w:r>
      <w:r w:rsidRPr="00166607">
        <w:rPr>
          <w:rFonts w:ascii="Times New Roman" w:eastAsia="Times New Roman" w:hAnsi="Times New Roman"/>
          <w:i/>
          <w:sz w:val="20"/>
          <w:szCs w:val="20"/>
        </w:rPr>
        <w:t>level. </w:t>
      </w:r>
      <w:r w:rsidR="00365213" w:rsidRPr="00166607">
        <w:rPr>
          <w:rFonts w:ascii="Times New Roman" w:eastAsia="Times New Roman" w:hAnsi="Times New Roman"/>
          <w:i/>
          <w:sz w:val="20"/>
          <w:szCs w:val="20"/>
        </w:rPr>
        <w:t>Formal-sector earnings</w:t>
      </w:r>
      <w:r w:rsidR="008F782C" w:rsidRPr="00166607">
        <w:rPr>
          <w:rFonts w:ascii="Times New Roman" w:eastAsia="Times New Roman" w:hAnsi="Times New Roman"/>
          <w:i/>
          <w:sz w:val="20"/>
          <w:szCs w:val="20"/>
        </w:rPr>
        <w:t xml:space="preserve"> </w:t>
      </w:r>
      <w:r w:rsidR="00365213" w:rsidRPr="00166607">
        <w:rPr>
          <w:rFonts w:ascii="Times New Roman" w:eastAsia="Times New Roman" w:hAnsi="Times New Roman"/>
          <w:i/>
          <w:sz w:val="20"/>
          <w:szCs w:val="20"/>
        </w:rPr>
        <w:t xml:space="preserve">effects </w:t>
      </w:r>
      <w:r w:rsidR="008F782C" w:rsidRPr="00166607">
        <w:rPr>
          <w:rFonts w:ascii="Times New Roman" w:eastAsia="Times New Roman" w:hAnsi="Times New Roman"/>
          <w:i/>
          <w:sz w:val="20"/>
          <w:szCs w:val="20"/>
        </w:rPr>
        <w:t xml:space="preserve">are entirely driven by vocational school applicants, among whom lottery winners </w:t>
      </w:r>
      <w:r w:rsidR="00132213" w:rsidRPr="00166607">
        <w:rPr>
          <w:rFonts w:ascii="Times New Roman" w:eastAsia="Times New Roman" w:hAnsi="Times New Roman"/>
          <w:i/>
          <w:sz w:val="20"/>
          <w:szCs w:val="20"/>
        </w:rPr>
        <w:t>earn</w:t>
      </w:r>
      <w:r w:rsidR="008F782C" w:rsidRPr="00166607">
        <w:rPr>
          <w:rFonts w:ascii="Times New Roman" w:eastAsia="Times New Roman" w:hAnsi="Times New Roman"/>
          <w:i/>
          <w:sz w:val="20"/>
          <w:szCs w:val="20"/>
        </w:rPr>
        <w:t xml:space="preserve"> 1</w:t>
      </w:r>
      <w:r w:rsidR="00755F7B" w:rsidRPr="00166607">
        <w:rPr>
          <w:rFonts w:ascii="Times New Roman" w:eastAsia="Times New Roman" w:hAnsi="Times New Roman"/>
          <w:i/>
          <w:sz w:val="20"/>
          <w:szCs w:val="20"/>
        </w:rPr>
        <w:t>7</w:t>
      </w:r>
      <w:r w:rsidR="008F782C" w:rsidRPr="00166607">
        <w:rPr>
          <w:rFonts w:ascii="Times New Roman" w:eastAsia="Times New Roman" w:hAnsi="Times New Roman"/>
          <w:i/>
          <w:sz w:val="20"/>
          <w:szCs w:val="20"/>
        </w:rPr>
        <w:t xml:space="preserve"> percent </w:t>
      </w:r>
      <w:r w:rsidR="00132213" w:rsidRPr="00166607">
        <w:rPr>
          <w:rFonts w:ascii="Times New Roman" w:eastAsia="Times New Roman" w:hAnsi="Times New Roman"/>
          <w:i/>
          <w:sz w:val="20"/>
          <w:szCs w:val="20"/>
        </w:rPr>
        <w:t>more</w:t>
      </w:r>
      <w:r w:rsidR="008F782C" w:rsidRPr="00166607">
        <w:rPr>
          <w:rFonts w:ascii="Times New Roman" w:eastAsia="Times New Roman" w:hAnsi="Times New Roman"/>
          <w:i/>
          <w:sz w:val="20"/>
          <w:szCs w:val="20"/>
        </w:rPr>
        <w:t xml:space="preserve"> than losers. </w:t>
      </w:r>
      <w:r w:rsidR="00132213" w:rsidRPr="00166607">
        <w:rPr>
          <w:rFonts w:ascii="Times New Roman" w:eastAsia="Times New Roman" w:hAnsi="Times New Roman"/>
          <w:i/>
          <w:sz w:val="20"/>
          <w:szCs w:val="20"/>
        </w:rPr>
        <w:t>T</w:t>
      </w:r>
      <w:r w:rsidR="008F782C" w:rsidRPr="00166607">
        <w:rPr>
          <w:rFonts w:ascii="Times New Roman" w:eastAsia="Times New Roman" w:hAnsi="Times New Roman"/>
          <w:i/>
          <w:sz w:val="20"/>
          <w:szCs w:val="20"/>
        </w:rPr>
        <w:t xml:space="preserve">he </w:t>
      </w:r>
      <w:r w:rsidRPr="00166607">
        <w:rPr>
          <w:rFonts w:ascii="Times New Roman" w:eastAsia="Times New Roman" w:hAnsi="Times New Roman"/>
          <w:i/>
          <w:sz w:val="20"/>
          <w:szCs w:val="20"/>
        </w:rPr>
        <w:t>expected net present value of increased net tax receipts due to the program</w:t>
      </w:r>
      <w:r w:rsidR="008E5781" w:rsidRPr="00166607">
        <w:rPr>
          <w:rFonts w:ascii="Times New Roman" w:eastAsia="Times New Roman" w:hAnsi="Times New Roman"/>
          <w:i/>
          <w:sz w:val="20"/>
          <w:szCs w:val="20"/>
        </w:rPr>
        <w:t xml:space="preserve"> likely</w:t>
      </w:r>
      <w:r w:rsidRPr="00166607">
        <w:rPr>
          <w:rFonts w:ascii="Times New Roman" w:eastAsia="Times New Roman" w:hAnsi="Times New Roman"/>
          <w:i/>
          <w:sz w:val="20"/>
          <w:szCs w:val="20"/>
        </w:rPr>
        <w:t xml:space="preserve"> exceed</w:t>
      </w:r>
      <w:r w:rsidR="008F782C" w:rsidRPr="00166607">
        <w:rPr>
          <w:rFonts w:ascii="Times New Roman" w:eastAsia="Times New Roman" w:hAnsi="Times New Roman"/>
          <w:i/>
          <w:sz w:val="20"/>
          <w:szCs w:val="20"/>
        </w:rPr>
        <w:t>s</w:t>
      </w:r>
      <w:r w:rsidRPr="00166607">
        <w:rPr>
          <w:rFonts w:ascii="Times New Roman" w:eastAsia="Times New Roman" w:hAnsi="Times New Roman"/>
          <w:i/>
          <w:sz w:val="20"/>
          <w:szCs w:val="20"/>
        </w:rPr>
        <w:t xml:space="preserve"> the</w:t>
      </w:r>
      <w:r w:rsidR="001208AD" w:rsidRPr="00166607">
        <w:rPr>
          <w:rFonts w:ascii="Times New Roman" w:eastAsia="Times New Roman" w:hAnsi="Times New Roman"/>
          <w:i/>
          <w:sz w:val="20"/>
          <w:szCs w:val="20"/>
        </w:rPr>
        <w:t xml:space="preserve"> program’s</w:t>
      </w:r>
      <w:r w:rsidRPr="00166607">
        <w:rPr>
          <w:rFonts w:ascii="Times New Roman" w:eastAsia="Times New Roman" w:hAnsi="Times New Roman"/>
          <w:i/>
          <w:sz w:val="20"/>
          <w:szCs w:val="20"/>
        </w:rPr>
        <w:t xml:space="preserve"> fiscal cost</w:t>
      </w:r>
      <w:r w:rsidR="006E11BC" w:rsidRPr="00166607">
        <w:rPr>
          <w:rFonts w:ascii="Times New Roman" w:eastAsia="Times New Roman" w:hAnsi="Times New Roman"/>
          <w:i/>
          <w:sz w:val="20"/>
          <w:szCs w:val="20"/>
        </w:rPr>
        <w:t xml:space="preserve"> and t</w:t>
      </w:r>
      <w:r w:rsidR="008F782C" w:rsidRPr="00166607">
        <w:rPr>
          <w:rFonts w:ascii="Times New Roman" w:eastAsia="Times New Roman" w:hAnsi="Times New Roman"/>
          <w:i/>
          <w:sz w:val="20"/>
          <w:szCs w:val="20"/>
        </w:rPr>
        <w:t>he program is welfare improving</w:t>
      </w:r>
      <w:r w:rsidR="00BC73C7" w:rsidRPr="00166607">
        <w:rPr>
          <w:rFonts w:ascii="Times New Roman" w:eastAsia="Times New Roman" w:hAnsi="Times New Roman"/>
          <w:i/>
          <w:sz w:val="20"/>
          <w:szCs w:val="20"/>
        </w:rPr>
        <w:t xml:space="preserve"> </w:t>
      </w:r>
      <w:r w:rsidR="006E11BC" w:rsidRPr="00166607">
        <w:rPr>
          <w:rFonts w:ascii="Times New Roman" w:eastAsia="Times New Roman" w:hAnsi="Times New Roman"/>
          <w:i/>
          <w:sz w:val="20"/>
          <w:szCs w:val="20"/>
        </w:rPr>
        <w:t xml:space="preserve">as long as externalities </w:t>
      </w:r>
      <w:r w:rsidR="00E96476" w:rsidRPr="00166607">
        <w:rPr>
          <w:rFonts w:ascii="Times New Roman" w:eastAsia="Times New Roman" w:hAnsi="Times New Roman"/>
          <w:i/>
          <w:sz w:val="20"/>
          <w:szCs w:val="20"/>
        </w:rPr>
        <w:t xml:space="preserve">on non-recipients </w:t>
      </w:r>
      <w:r w:rsidR="006E11BC" w:rsidRPr="00166607">
        <w:rPr>
          <w:rFonts w:ascii="Times New Roman" w:eastAsia="Times New Roman" w:hAnsi="Times New Roman"/>
          <w:i/>
          <w:sz w:val="20"/>
          <w:szCs w:val="20"/>
        </w:rPr>
        <w:t>are positive, zer</w:t>
      </w:r>
      <w:r w:rsidR="008F782C" w:rsidRPr="00166607">
        <w:rPr>
          <w:rFonts w:ascii="Times New Roman" w:eastAsia="Times New Roman" w:hAnsi="Times New Roman"/>
          <w:i/>
          <w:sz w:val="20"/>
          <w:szCs w:val="20"/>
        </w:rPr>
        <w:t xml:space="preserve">o, or negative but </w:t>
      </w:r>
      <w:r w:rsidR="00226EF5" w:rsidRPr="00166607">
        <w:rPr>
          <w:rFonts w:ascii="Times New Roman" w:eastAsia="Times New Roman" w:hAnsi="Times New Roman"/>
          <w:i/>
          <w:sz w:val="20"/>
          <w:szCs w:val="20"/>
        </w:rPr>
        <w:t>smaller</w:t>
      </w:r>
      <w:r w:rsidR="008F782C" w:rsidRPr="00166607">
        <w:rPr>
          <w:rFonts w:ascii="Times New Roman" w:eastAsia="Times New Roman" w:hAnsi="Times New Roman"/>
          <w:i/>
          <w:sz w:val="20"/>
          <w:szCs w:val="20"/>
        </w:rPr>
        <w:t xml:space="preserve"> than $1,916</w:t>
      </w:r>
      <w:r w:rsidR="00BC73C7" w:rsidRPr="00166607">
        <w:rPr>
          <w:rFonts w:ascii="Times New Roman" w:eastAsia="Times New Roman" w:hAnsi="Times New Roman"/>
          <w:i/>
          <w:sz w:val="20"/>
          <w:szCs w:val="20"/>
        </w:rPr>
        <w:t xml:space="preserve"> </w:t>
      </w:r>
      <w:r w:rsidR="001616AD" w:rsidRPr="00166607">
        <w:rPr>
          <w:rFonts w:ascii="Times New Roman" w:eastAsia="Times New Roman" w:hAnsi="Times New Roman"/>
          <w:i/>
          <w:sz w:val="20"/>
          <w:szCs w:val="20"/>
        </w:rPr>
        <w:t>per scholarship recipient</w:t>
      </w:r>
      <w:r w:rsidRPr="00166607">
        <w:rPr>
          <w:rFonts w:ascii="Times New Roman" w:eastAsia="Times New Roman" w:hAnsi="Times New Roman"/>
          <w:i/>
          <w:sz w:val="20"/>
          <w:szCs w:val="20"/>
        </w:rPr>
        <w:t>.</w:t>
      </w:r>
    </w:p>
    <w:p w14:paraId="686A5FD0" w14:textId="6F70289C" w:rsidR="008C36B9" w:rsidRPr="00166607" w:rsidRDefault="008E367C" w:rsidP="00254BEF">
      <w:pPr>
        <w:spacing w:line="480" w:lineRule="auto"/>
        <w:rPr>
          <w:rFonts w:ascii="Times New Roman" w:hAnsi="Times New Roman"/>
          <w:b/>
        </w:rPr>
      </w:pPr>
      <w:r w:rsidRPr="00166607">
        <w:rPr>
          <w:rFonts w:ascii="Times New Roman" w:hAnsi="Times New Roman"/>
          <w:b/>
        </w:rPr>
        <w:t>_____________________</w:t>
      </w:r>
    </w:p>
    <w:p w14:paraId="53EAA5A9" w14:textId="77C22838" w:rsidR="008C36B9" w:rsidRPr="00166607" w:rsidRDefault="007321DF" w:rsidP="006A3216">
      <w:pPr>
        <w:jc w:val="both"/>
        <w:rPr>
          <w:rFonts w:ascii="Times" w:eastAsia="Times New Roman" w:hAnsi="Times"/>
          <w:sz w:val="20"/>
          <w:szCs w:val="20"/>
        </w:rPr>
      </w:pPr>
      <w:r w:rsidRPr="00166607">
        <w:rPr>
          <w:rFonts w:ascii="Times New Roman" w:hAnsi="Times New Roman"/>
          <w:sz w:val="20"/>
          <w:szCs w:val="20"/>
        </w:rPr>
        <w:t xml:space="preserve">* Bettinger: Stanford Graduate School of Education, </w:t>
      </w:r>
      <w:r w:rsidR="009F78D7" w:rsidRPr="00166607">
        <w:rPr>
          <w:rFonts w:ascii="Times New Roman" w:hAnsi="Times New Roman"/>
          <w:sz w:val="20"/>
          <w:szCs w:val="20"/>
        </w:rPr>
        <w:t>522 CERAS, 520 Galvez Mall</w:t>
      </w:r>
      <w:r w:rsidRPr="00166607">
        <w:rPr>
          <w:rFonts w:ascii="Times New Roman" w:hAnsi="Times New Roman"/>
          <w:sz w:val="20"/>
          <w:szCs w:val="20"/>
        </w:rPr>
        <w:t xml:space="preserve">, Stanford, CA 94305 (e-mail: </w:t>
      </w:r>
      <w:hyperlink r:id="rId13" w:history="1">
        <w:r w:rsidRPr="008233C3">
          <w:rPr>
            <w:rStyle w:val="Hyperlink"/>
            <w:rFonts w:ascii="Times New Roman" w:hAnsi="Times New Roman"/>
            <w:sz w:val="20"/>
            <w:szCs w:val="20"/>
          </w:rPr>
          <w:t>ebettinger@stanford.edu</w:t>
        </w:r>
      </w:hyperlink>
      <w:r w:rsidRPr="00166607">
        <w:rPr>
          <w:rFonts w:ascii="Times New Roman" w:hAnsi="Times New Roman"/>
          <w:sz w:val="20"/>
          <w:szCs w:val="20"/>
        </w:rPr>
        <w:t xml:space="preserve">); </w:t>
      </w:r>
      <w:r w:rsidR="00D210EA" w:rsidRPr="008233C3">
        <w:rPr>
          <w:rFonts w:ascii="Times New Roman" w:hAnsi="Times New Roman"/>
          <w:sz w:val="20"/>
          <w:szCs w:val="20"/>
        </w:rPr>
        <w:t xml:space="preserve">Kremer: Harvard University Department of Economics, Littauer Center, Cambridge MA 02138 (email: </w:t>
      </w:r>
      <w:hyperlink r:id="rId14" w:history="1">
        <w:r w:rsidR="00D210EA" w:rsidRPr="008233C3">
          <w:rPr>
            <w:rStyle w:val="Hyperlink"/>
            <w:rFonts w:ascii="Times New Roman" w:hAnsi="Times New Roman"/>
            <w:sz w:val="20"/>
            <w:szCs w:val="20"/>
          </w:rPr>
          <w:t>mkremer@fas.harvard.edu</w:t>
        </w:r>
      </w:hyperlink>
      <w:r w:rsidR="00D210EA" w:rsidRPr="00166607">
        <w:rPr>
          <w:rFonts w:ascii="Times New Roman" w:hAnsi="Times New Roman"/>
          <w:sz w:val="20"/>
          <w:szCs w:val="20"/>
        </w:rPr>
        <w:t>); Kugler: United Nations Development Program</w:t>
      </w:r>
      <w:r w:rsidR="0051070A" w:rsidRPr="008233C3">
        <w:rPr>
          <w:rFonts w:ascii="Times New Roman" w:hAnsi="Times New Roman"/>
          <w:sz w:val="20"/>
          <w:szCs w:val="20"/>
        </w:rPr>
        <w:t>, 304 E 45</w:t>
      </w:r>
      <w:r w:rsidR="0051070A" w:rsidRPr="00166607">
        <w:rPr>
          <w:rFonts w:ascii="Times New Roman" w:hAnsi="Times New Roman"/>
          <w:sz w:val="20"/>
          <w:szCs w:val="20"/>
          <w:vertAlign w:val="superscript"/>
        </w:rPr>
        <w:t>th</w:t>
      </w:r>
      <w:r w:rsidR="0051070A" w:rsidRPr="00166607">
        <w:rPr>
          <w:rFonts w:ascii="Times New Roman" w:hAnsi="Times New Roman"/>
          <w:sz w:val="20"/>
          <w:szCs w:val="20"/>
        </w:rPr>
        <w:t xml:space="preserve"> Street, FF-12</w:t>
      </w:r>
      <w:r w:rsidR="0051070A" w:rsidRPr="00166607">
        <w:rPr>
          <w:rFonts w:ascii="Times New Roman" w:hAnsi="Times New Roman"/>
          <w:sz w:val="20"/>
          <w:szCs w:val="20"/>
          <w:vertAlign w:val="superscript"/>
        </w:rPr>
        <w:t>th</w:t>
      </w:r>
      <w:r w:rsidR="0051070A" w:rsidRPr="00166607">
        <w:rPr>
          <w:rFonts w:ascii="Times New Roman" w:hAnsi="Times New Roman"/>
          <w:sz w:val="20"/>
          <w:szCs w:val="20"/>
        </w:rPr>
        <w:t xml:space="preserve"> Floor, New York, NY 10017 (email: </w:t>
      </w:r>
      <w:hyperlink r:id="rId15" w:history="1">
        <w:r w:rsidR="0051070A" w:rsidRPr="008233C3">
          <w:rPr>
            <w:rStyle w:val="Hyperlink"/>
            <w:rFonts w:ascii="Times New Roman" w:hAnsi="Times New Roman"/>
            <w:sz w:val="20"/>
            <w:szCs w:val="20"/>
          </w:rPr>
          <w:t>maurice.kugler@gmail.com</w:t>
        </w:r>
      </w:hyperlink>
      <w:r w:rsidR="0051070A" w:rsidRPr="00166607">
        <w:rPr>
          <w:rFonts w:ascii="Times New Roman" w:hAnsi="Times New Roman"/>
          <w:sz w:val="20"/>
          <w:szCs w:val="20"/>
        </w:rPr>
        <w:t>); Medina</w:t>
      </w:r>
      <w:r w:rsidR="00174C95" w:rsidRPr="008233C3">
        <w:rPr>
          <w:rFonts w:ascii="Times New Roman" w:hAnsi="Times New Roman"/>
          <w:sz w:val="20"/>
          <w:szCs w:val="20"/>
        </w:rPr>
        <w:t xml:space="preserve"> and Posso</w:t>
      </w:r>
      <w:r w:rsidR="0051070A" w:rsidRPr="00166607">
        <w:rPr>
          <w:rFonts w:ascii="Times New Roman" w:hAnsi="Times New Roman"/>
          <w:sz w:val="20"/>
          <w:szCs w:val="20"/>
        </w:rPr>
        <w:t xml:space="preserve">: </w:t>
      </w:r>
      <w:r w:rsidR="0051070A" w:rsidRPr="00166607">
        <w:rPr>
          <w:rFonts w:ascii="Times New Roman" w:hAnsi="Times New Roman"/>
          <w:i/>
          <w:sz w:val="20"/>
          <w:szCs w:val="20"/>
        </w:rPr>
        <w:t>Banco de la República</w:t>
      </w:r>
      <w:r w:rsidR="009774F9" w:rsidRPr="00166607">
        <w:rPr>
          <w:rFonts w:ascii="Times New Roman" w:hAnsi="Times New Roman"/>
          <w:i/>
          <w:sz w:val="20"/>
          <w:szCs w:val="20"/>
        </w:rPr>
        <w:t xml:space="preserve"> de Colombia</w:t>
      </w:r>
      <w:r w:rsidR="0051070A" w:rsidRPr="00166607">
        <w:rPr>
          <w:rFonts w:ascii="Times New Roman" w:hAnsi="Times New Roman"/>
          <w:sz w:val="20"/>
          <w:szCs w:val="20"/>
        </w:rPr>
        <w:t xml:space="preserve">, Calle 50 # 50-21, Medellín, Colombia (email: </w:t>
      </w:r>
      <w:hyperlink r:id="rId16" w:history="1">
        <w:r w:rsidR="0051070A" w:rsidRPr="008233C3">
          <w:rPr>
            <w:rStyle w:val="Hyperlink"/>
            <w:rFonts w:ascii="Times New Roman" w:hAnsi="Times New Roman"/>
            <w:sz w:val="20"/>
            <w:szCs w:val="20"/>
          </w:rPr>
          <w:t>cmedindu@banrep.gov.co</w:t>
        </w:r>
      </w:hyperlink>
      <w:r w:rsidR="00174C95" w:rsidRPr="00166607">
        <w:rPr>
          <w:rStyle w:val="Hyperlink"/>
          <w:rFonts w:ascii="Times New Roman" w:hAnsi="Times New Roman"/>
          <w:sz w:val="20"/>
          <w:szCs w:val="20"/>
        </w:rPr>
        <w:t>, cpossosu@banrep.gov.co</w:t>
      </w:r>
      <w:r w:rsidR="0051070A" w:rsidRPr="008233C3">
        <w:rPr>
          <w:rFonts w:ascii="Times New Roman" w:hAnsi="Times New Roman"/>
          <w:sz w:val="20"/>
          <w:szCs w:val="20"/>
        </w:rPr>
        <w:t>);</w:t>
      </w:r>
      <w:r w:rsidR="00DF1A69" w:rsidRPr="00166607">
        <w:rPr>
          <w:rFonts w:ascii="Times New Roman" w:hAnsi="Times New Roman"/>
          <w:sz w:val="20"/>
          <w:szCs w:val="20"/>
        </w:rPr>
        <w:t xml:space="preserve"> Saavedra: </w:t>
      </w:r>
      <w:r w:rsidR="007111BC" w:rsidRPr="00166607">
        <w:rPr>
          <w:rFonts w:ascii="Times New Roman" w:hAnsi="Times New Roman"/>
          <w:sz w:val="20"/>
          <w:szCs w:val="20"/>
        </w:rPr>
        <w:t>University of Southern California</w:t>
      </w:r>
      <w:r w:rsidR="00DF1A69" w:rsidRPr="00166607">
        <w:rPr>
          <w:rFonts w:ascii="Times New Roman" w:hAnsi="Times New Roman"/>
          <w:sz w:val="20"/>
          <w:szCs w:val="20"/>
        </w:rPr>
        <w:t>,</w:t>
      </w:r>
      <w:r w:rsidR="003B648D" w:rsidRPr="00166607">
        <w:rPr>
          <w:rFonts w:ascii="Times New Roman" w:hAnsi="Times New Roman"/>
          <w:sz w:val="20"/>
          <w:szCs w:val="20"/>
        </w:rPr>
        <w:t xml:space="preserve"> Dornsife Center for Economic and Social Research</w:t>
      </w:r>
      <w:r w:rsidR="00DF1A69" w:rsidRPr="00166607">
        <w:rPr>
          <w:rFonts w:ascii="Times New Roman" w:hAnsi="Times New Roman"/>
          <w:sz w:val="20"/>
          <w:szCs w:val="20"/>
        </w:rPr>
        <w:t xml:space="preserve"> </w:t>
      </w:r>
      <w:r w:rsidR="007111BC" w:rsidRPr="00166607">
        <w:rPr>
          <w:rFonts w:ascii="Times New Roman" w:hAnsi="Times New Roman"/>
          <w:sz w:val="20"/>
          <w:szCs w:val="20"/>
        </w:rPr>
        <w:t>12015 Waterfront Drive, Playa Vista CA 900</w:t>
      </w:r>
      <w:r w:rsidR="00772AC7" w:rsidRPr="00166607">
        <w:rPr>
          <w:rFonts w:ascii="Times New Roman" w:hAnsi="Times New Roman"/>
          <w:sz w:val="20"/>
          <w:szCs w:val="20"/>
        </w:rPr>
        <w:t>94</w:t>
      </w:r>
      <w:r w:rsidR="00DF1A69" w:rsidRPr="00166607">
        <w:rPr>
          <w:rFonts w:ascii="Times New Roman" w:hAnsi="Times New Roman"/>
          <w:sz w:val="20"/>
          <w:szCs w:val="20"/>
        </w:rPr>
        <w:t xml:space="preserve"> (email: </w:t>
      </w:r>
      <w:hyperlink r:id="rId17" w:history="1">
        <w:r w:rsidR="00E47943" w:rsidRPr="008233C3">
          <w:rPr>
            <w:rStyle w:val="Hyperlink"/>
            <w:rFonts w:ascii="Times New Roman" w:hAnsi="Times New Roman"/>
            <w:sz w:val="20"/>
            <w:szCs w:val="20"/>
          </w:rPr>
          <w:t>juansaav@usc.edu</w:t>
        </w:r>
      </w:hyperlink>
      <w:r w:rsidR="00E47943" w:rsidRPr="00166607">
        <w:rPr>
          <w:rFonts w:ascii="Times New Roman" w:hAnsi="Times New Roman"/>
          <w:sz w:val="20"/>
          <w:szCs w:val="20"/>
        </w:rPr>
        <w:t>)</w:t>
      </w:r>
      <w:r w:rsidR="00240345" w:rsidRPr="008233C3">
        <w:rPr>
          <w:rFonts w:ascii="Times New Roman" w:hAnsi="Times New Roman"/>
          <w:sz w:val="20"/>
          <w:szCs w:val="20"/>
        </w:rPr>
        <w:t>.  We are grateful to Colombia’s Ministry of Education, Ministry of Social Protection</w:t>
      </w:r>
      <w:r w:rsidR="0046774B" w:rsidRPr="00166607">
        <w:rPr>
          <w:rFonts w:ascii="Times New Roman" w:hAnsi="Times New Roman"/>
          <w:sz w:val="20"/>
          <w:szCs w:val="20"/>
        </w:rPr>
        <w:t>, particularly</w:t>
      </w:r>
      <w:r w:rsidR="00D91194" w:rsidRPr="00166607">
        <w:rPr>
          <w:rFonts w:ascii="Times New Roman" w:hAnsi="Times New Roman"/>
          <w:sz w:val="20"/>
          <w:szCs w:val="20"/>
        </w:rPr>
        <w:t xml:space="preserve"> Dolly Ovalle, Edgar Mariño Esperanza Gutierrez and </w:t>
      </w:r>
      <w:r w:rsidR="0046774B" w:rsidRPr="00166607">
        <w:rPr>
          <w:rFonts w:ascii="Times New Roman" w:hAnsi="Times New Roman"/>
          <w:sz w:val="20"/>
          <w:szCs w:val="20"/>
        </w:rPr>
        <w:t>Luz Emilse Rincón</w:t>
      </w:r>
      <w:r w:rsidR="00240345" w:rsidRPr="00166607">
        <w:rPr>
          <w:rFonts w:ascii="Times New Roman" w:hAnsi="Times New Roman"/>
          <w:sz w:val="20"/>
          <w:szCs w:val="20"/>
        </w:rPr>
        <w:t>, Banco de la República and Instituto Colombiano de Evaluación de la Educación (ICFES) for generously providing access to data.  We thank Luis Omar Herrera and Arlén Guarín for excellent research assistance.  We thank seminar participants at</w:t>
      </w:r>
      <w:r w:rsidR="009266F3" w:rsidRPr="00166607">
        <w:rPr>
          <w:rFonts w:ascii="Times New Roman" w:hAnsi="Times New Roman"/>
          <w:sz w:val="20"/>
          <w:szCs w:val="20"/>
        </w:rPr>
        <w:t xml:space="preserve"> Harvard, MIT,</w:t>
      </w:r>
      <w:r w:rsidR="001F3CFD" w:rsidRPr="00166607">
        <w:rPr>
          <w:rFonts w:ascii="Times New Roman" w:hAnsi="Times New Roman"/>
          <w:sz w:val="20"/>
          <w:szCs w:val="20"/>
        </w:rPr>
        <w:t xml:space="preserve"> Chicago</w:t>
      </w:r>
      <w:r w:rsidR="009266F3" w:rsidRPr="00166607">
        <w:rPr>
          <w:rFonts w:ascii="Times New Roman" w:hAnsi="Times New Roman"/>
          <w:sz w:val="20"/>
          <w:szCs w:val="20"/>
        </w:rPr>
        <w:t xml:space="preserve"> </w:t>
      </w:r>
      <w:r w:rsidR="00A71717" w:rsidRPr="00166607">
        <w:rPr>
          <w:rFonts w:ascii="Times New Roman" w:hAnsi="Times New Roman"/>
          <w:sz w:val="20"/>
          <w:szCs w:val="20"/>
        </w:rPr>
        <w:t xml:space="preserve">Michigan, Aarhus, UCLA, </w:t>
      </w:r>
      <w:r w:rsidR="00500604" w:rsidRPr="00166607">
        <w:rPr>
          <w:rFonts w:ascii="Times New Roman" w:hAnsi="Times New Roman"/>
          <w:sz w:val="20"/>
          <w:szCs w:val="20"/>
        </w:rPr>
        <w:t xml:space="preserve">LSE, </w:t>
      </w:r>
      <w:r w:rsidR="00240345" w:rsidRPr="00166607">
        <w:rPr>
          <w:rFonts w:ascii="Times New Roman" w:hAnsi="Times New Roman"/>
          <w:i/>
          <w:sz w:val="20"/>
          <w:szCs w:val="20"/>
        </w:rPr>
        <w:t>Universidad de los Andes</w:t>
      </w:r>
      <w:r w:rsidR="00240345" w:rsidRPr="00166607">
        <w:rPr>
          <w:rFonts w:ascii="Times New Roman" w:hAnsi="Times New Roman"/>
          <w:sz w:val="20"/>
          <w:szCs w:val="20"/>
        </w:rPr>
        <w:t xml:space="preserve"> in Colombia, RAND Corporation, </w:t>
      </w:r>
      <w:r w:rsidR="001618A0" w:rsidRPr="00166607">
        <w:rPr>
          <w:rFonts w:ascii="Times New Roman" w:hAnsi="Times New Roman"/>
          <w:sz w:val="20"/>
          <w:szCs w:val="20"/>
        </w:rPr>
        <w:t xml:space="preserve">UC Irvine, </w:t>
      </w:r>
      <w:r w:rsidR="00745439" w:rsidRPr="00166607">
        <w:rPr>
          <w:rFonts w:ascii="Times New Roman" w:hAnsi="Times New Roman"/>
          <w:sz w:val="20"/>
          <w:szCs w:val="20"/>
        </w:rPr>
        <w:t xml:space="preserve">LACEA, </w:t>
      </w:r>
      <w:r w:rsidR="00240345" w:rsidRPr="00166607">
        <w:rPr>
          <w:rFonts w:ascii="Times New Roman" w:hAnsi="Times New Roman"/>
          <w:sz w:val="20"/>
          <w:szCs w:val="20"/>
        </w:rPr>
        <w:t>Society for Research on Educational Effectiveness, University of Arkansas, University of Texas, Austin</w:t>
      </w:r>
      <w:r w:rsidR="002B347B" w:rsidRPr="00166607">
        <w:rPr>
          <w:rFonts w:ascii="Times New Roman" w:hAnsi="Times New Roman"/>
          <w:sz w:val="20"/>
          <w:szCs w:val="20"/>
        </w:rPr>
        <w:t>, University of Michigan,</w:t>
      </w:r>
      <w:r w:rsidR="00A71717" w:rsidRPr="00166607">
        <w:rPr>
          <w:rFonts w:ascii="Times New Roman" w:hAnsi="Times New Roman"/>
          <w:sz w:val="20"/>
          <w:szCs w:val="20"/>
        </w:rPr>
        <w:t xml:space="preserve"> </w:t>
      </w:r>
      <w:r w:rsidR="00722FDF" w:rsidRPr="00166607">
        <w:rPr>
          <w:rFonts w:ascii="Times New Roman" w:hAnsi="Times New Roman"/>
          <w:sz w:val="20"/>
          <w:szCs w:val="20"/>
        </w:rPr>
        <w:t xml:space="preserve">the 2014 NBER meeting on Economics of Education, the 3rd Economics PhD Alumni Conference, the 11th World Congress of the Econometric Society, </w:t>
      </w:r>
      <w:r w:rsidR="00F36121" w:rsidRPr="00166607">
        <w:rPr>
          <w:rFonts w:ascii="Times New Roman" w:hAnsi="Times New Roman"/>
          <w:i/>
          <w:sz w:val="20"/>
          <w:szCs w:val="20"/>
        </w:rPr>
        <w:t>Banco de la República</w:t>
      </w:r>
      <w:r w:rsidR="00F36121" w:rsidRPr="00166607">
        <w:rPr>
          <w:rFonts w:ascii="Times New Roman" w:hAnsi="Times New Roman"/>
          <w:sz w:val="20"/>
          <w:szCs w:val="20"/>
        </w:rPr>
        <w:t xml:space="preserve"> in Bogotá and Cartagena, </w:t>
      </w:r>
      <w:r w:rsidR="0086057A" w:rsidRPr="00166607">
        <w:rPr>
          <w:rFonts w:ascii="Times New Roman" w:hAnsi="Times New Roman"/>
          <w:sz w:val="20"/>
          <w:szCs w:val="20"/>
        </w:rPr>
        <w:t>and The World Bank</w:t>
      </w:r>
      <w:r w:rsidR="00240345" w:rsidRPr="00166607">
        <w:rPr>
          <w:rFonts w:ascii="Times New Roman" w:hAnsi="Times New Roman"/>
          <w:sz w:val="20"/>
          <w:szCs w:val="20"/>
        </w:rPr>
        <w:t xml:space="preserve"> for helpful comments and suggestions.  Saavedra acknowledges financial support from </w:t>
      </w:r>
      <w:r w:rsidR="00646B67" w:rsidRPr="00166607">
        <w:rPr>
          <w:rFonts w:ascii="Times New Roman" w:hAnsi="Times New Roman"/>
          <w:sz w:val="20"/>
          <w:szCs w:val="20"/>
        </w:rPr>
        <w:t xml:space="preserve">the </w:t>
      </w:r>
      <w:r w:rsidR="00646B67" w:rsidRPr="00166607">
        <w:rPr>
          <w:rFonts w:ascii="Times New Roman" w:eastAsia="Times New Roman" w:hAnsi="Times New Roman"/>
          <w:color w:val="222222"/>
          <w:sz w:val="20"/>
          <w:szCs w:val="20"/>
          <w:shd w:val="clear" w:color="auto" w:fill="FFFFFF"/>
        </w:rPr>
        <w:t>National Institutes of Health RCMAR Grant P30AG043073)</w:t>
      </w:r>
      <w:r w:rsidR="00646B67" w:rsidRPr="00166607">
        <w:rPr>
          <w:rFonts w:ascii="Times New Roman" w:eastAsia="Times New Roman" w:hAnsi="Times New Roman"/>
          <w:sz w:val="20"/>
          <w:szCs w:val="20"/>
        </w:rPr>
        <w:t xml:space="preserve">, </w:t>
      </w:r>
      <w:r w:rsidR="00240345" w:rsidRPr="00166607">
        <w:rPr>
          <w:rFonts w:ascii="Times New Roman" w:hAnsi="Times New Roman"/>
          <w:i/>
          <w:sz w:val="20"/>
          <w:szCs w:val="20"/>
        </w:rPr>
        <w:t>Universidad de los Andes</w:t>
      </w:r>
      <w:r w:rsidR="00240345" w:rsidRPr="00166607">
        <w:rPr>
          <w:rFonts w:ascii="Times New Roman" w:hAnsi="Times New Roman"/>
          <w:sz w:val="20"/>
          <w:szCs w:val="20"/>
        </w:rPr>
        <w:t xml:space="preserve"> and the World Bank.  The views expressed in this document are solely those of the authors and do not reflect the views of </w:t>
      </w:r>
      <w:r w:rsidR="00240345" w:rsidRPr="00166607">
        <w:rPr>
          <w:rFonts w:ascii="Times New Roman" w:hAnsi="Times New Roman"/>
          <w:i/>
          <w:sz w:val="20"/>
          <w:szCs w:val="20"/>
        </w:rPr>
        <w:t>Banco de la República de Colombia</w:t>
      </w:r>
      <w:r w:rsidR="00240345" w:rsidRPr="00166607">
        <w:rPr>
          <w:rFonts w:ascii="Times New Roman" w:hAnsi="Times New Roman"/>
          <w:sz w:val="20"/>
          <w:szCs w:val="20"/>
        </w:rPr>
        <w:t xml:space="preserve">.    </w:t>
      </w:r>
      <w:r w:rsidR="0061722B" w:rsidRPr="00166607">
        <w:rPr>
          <w:rFonts w:ascii="Times New Roman" w:hAnsi="Times New Roman"/>
          <w:b/>
          <w:sz w:val="20"/>
          <w:szCs w:val="20"/>
        </w:rPr>
        <w:br w:type="page"/>
      </w:r>
    </w:p>
    <w:p w14:paraId="6BE2268C" w14:textId="77777777" w:rsidR="00A23680" w:rsidRPr="00166607" w:rsidRDefault="00023037" w:rsidP="00402892">
      <w:pPr>
        <w:pStyle w:val="ListParagraph"/>
        <w:numPr>
          <w:ilvl w:val="0"/>
          <w:numId w:val="3"/>
        </w:numPr>
        <w:spacing w:after="160" w:line="360" w:lineRule="auto"/>
        <w:ind w:left="720" w:hanging="720"/>
        <w:outlineLvl w:val="0"/>
        <w:rPr>
          <w:rFonts w:ascii="Times New Roman" w:hAnsi="Times New Roman"/>
          <w:b/>
          <w:sz w:val="28"/>
          <w:szCs w:val="28"/>
        </w:rPr>
      </w:pPr>
      <w:r w:rsidRPr="00166607">
        <w:rPr>
          <w:rFonts w:ascii="Times New Roman" w:hAnsi="Times New Roman"/>
          <w:b/>
          <w:sz w:val="28"/>
          <w:szCs w:val="28"/>
        </w:rPr>
        <w:lastRenderedPageBreak/>
        <w:t>Introduction</w:t>
      </w:r>
    </w:p>
    <w:p w14:paraId="4E0A7AC5" w14:textId="77777777" w:rsidR="00BD4573" w:rsidRPr="00166607" w:rsidRDefault="00193642" w:rsidP="00402892">
      <w:pPr>
        <w:pStyle w:val="ListParagraph"/>
        <w:autoSpaceDE w:val="0"/>
        <w:autoSpaceDN w:val="0"/>
        <w:adjustRightInd w:val="0"/>
        <w:spacing w:after="160" w:line="360" w:lineRule="auto"/>
        <w:ind w:left="0" w:firstLine="720"/>
        <w:jc w:val="both"/>
        <w:rPr>
          <w:rFonts w:ascii="Times New Roman" w:hAnsi="Times New Roman"/>
        </w:rPr>
      </w:pPr>
      <w:r w:rsidRPr="00166607">
        <w:rPr>
          <w:rFonts w:ascii="Times New Roman" w:hAnsi="Times New Roman"/>
        </w:rPr>
        <w:t xml:space="preserve">In many developing countries access to primary education is close to universal.  As more students transition into </w:t>
      </w:r>
      <w:r w:rsidR="00BD4573" w:rsidRPr="00166607">
        <w:rPr>
          <w:rFonts w:ascii="Times New Roman" w:hAnsi="Times New Roman"/>
        </w:rPr>
        <w:t>secondary schooling there is increasing</w:t>
      </w:r>
      <w:r w:rsidRPr="00166607">
        <w:rPr>
          <w:rFonts w:ascii="Times New Roman" w:hAnsi="Times New Roman"/>
        </w:rPr>
        <w:t xml:space="preserve"> pressure to </w:t>
      </w:r>
      <w:r w:rsidR="00BD4573" w:rsidRPr="00166607">
        <w:rPr>
          <w:rFonts w:ascii="Times New Roman" w:hAnsi="Times New Roman"/>
        </w:rPr>
        <w:t xml:space="preserve">expand capacity.  Expanding public secondary schooling is expensive, however, and in many countries there has been considerable private sector growth. </w:t>
      </w:r>
    </w:p>
    <w:p w14:paraId="12C44EDC" w14:textId="77777777" w:rsidR="00696A2D" w:rsidRDefault="00877F32" w:rsidP="00402892">
      <w:pPr>
        <w:pStyle w:val="ListParagraph"/>
        <w:autoSpaceDE w:val="0"/>
        <w:autoSpaceDN w:val="0"/>
        <w:adjustRightInd w:val="0"/>
        <w:spacing w:after="160" w:line="360" w:lineRule="auto"/>
        <w:ind w:left="0" w:firstLine="720"/>
        <w:jc w:val="both"/>
        <w:rPr>
          <w:rFonts w:ascii="Times New Roman" w:hAnsi="Times New Roman"/>
        </w:rPr>
      </w:pPr>
      <w:r w:rsidRPr="00166607">
        <w:rPr>
          <w:rFonts w:ascii="Times New Roman" w:hAnsi="Times New Roman"/>
        </w:rPr>
        <w:t>During the 1990s</w:t>
      </w:r>
      <w:r w:rsidR="00E825CA" w:rsidRPr="008233C3">
        <w:rPr>
          <w:rFonts w:ascii="Times New Roman" w:hAnsi="Times New Roman"/>
        </w:rPr>
        <w:t>,</w:t>
      </w:r>
      <w:r w:rsidR="00C6061A" w:rsidRPr="00166607">
        <w:rPr>
          <w:rFonts w:ascii="Times New Roman" w:hAnsi="Times New Roman"/>
        </w:rPr>
        <w:t xml:space="preserve"> </w:t>
      </w:r>
      <w:r w:rsidR="00BB7088" w:rsidRPr="00166607">
        <w:rPr>
          <w:rFonts w:ascii="Times New Roman" w:hAnsi="Times New Roman"/>
        </w:rPr>
        <w:t>Colombia</w:t>
      </w:r>
      <w:r w:rsidR="00307920" w:rsidRPr="00166607">
        <w:rPr>
          <w:rFonts w:ascii="Times New Roman" w:hAnsi="Times New Roman"/>
        </w:rPr>
        <w:t xml:space="preserve">’s PACES </w:t>
      </w:r>
      <w:r w:rsidR="00B63A0A" w:rsidRPr="00166607">
        <w:rPr>
          <w:rFonts w:ascii="Times New Roman" w:hAnsi="Times New Roman"/>
        </w:rPr>
        <w:t xml:space="preserve">program </w:t>
      </w:r>
      <w:r w:rsidR="00BB7088" w:rsidRPr="00166607">
        <w:rPr>
          <w:rFonts w:ascii="Times New Roman" w:hAnsi="Times New Roman"/>
        </w:rPr>
        <w:t xml:space="preserve">provided </w:t>
      </w:r>
      <w:r w:rsidR="00E537D7" w:rsidRPr="00166607">
        <w:rPr>
          <w:rFonts w:ascii="Times New Roman" w:hAnsi="Times New Roman"/>
        </w:rPr>
        <w:t xml:space="preserve">more than </w:t>
      </w:r>
      <w:r w:rsidR="00BB7088" w:rsidRPr="00166607">
        <w:rPr>
          <w:rFonts w:ascii="Times New Roman" w:hAnsi="Times New Roman"/>
        </w:rPr>
        <w:t>12</w:t>
      </w:r>
      <w:r w:rsidR="00307920" w:rsidRPr="00166607">
        <w:rPr>
          <w:rFonts w:ascii="Times New Roman" w:hAnsi="Times New Roman"/>
        </w:rPr>
        <w:t>5,000 scholarships to</w:t>
      </w:r>
      <w:r w:rsidR="00937453">
        <w:rPr>
          <w:rFonts w:ascii="Times New Roman" w:hAnsi="Times New Roman"/>
        </w:rPr>
        <w:t xml:space="preserve"> allow</w:t>
      </w:r>
      <w:r w:rsidR="00307920" w:rsidRPr="00166607">
        <w:rPr>
          <w:rFonts w:ascii="Times New Roman" w:hAnsi="Times New Roman"/>
        </w:rPr>
        <w:t xml:space="preserve"> disadvantaged</w:t>
      </w:r>
      <w:r w:rsidR="00BB7088" w:rsidRPr="00166607">
        <w:rPr>
          <w:rFonts w:ascii="Times New Roman" w:hAnsi="Times New Roman"/>
        </w:rPr>
        <w:t xml:space="preserve"> </w:t>
      </w:r>
      <w:r w:rsidR="00CB59FB">
        <w:rPr>
          <w:rFonts w:ascii="Times New Roman" w:hAnsi="Times New Roman"/>
        </w:rPr>
        <w:t>students</w:t>
      </w:r>
      <w:r w:rsidR="00307920" w:rsidRPr="00166607">
        <w:rPr>
          <w:rFonts w:ascii="Times New Roman" w:hAnsi="Times New Roman"/>
        </w:rPr>
        <w:t xml:space="preserve"> to attend private schools.</w:t>
      </w:r>
      <w:r w:rsidR="000366E0" w:rsidRPr="00166607">
        <w:rPr>
          <w:rFonts w:ascii="Times New Roman" w:hAnsi="Times New Roman"/>
        </w:rPr>
        <w:t xml:space="preserve">  </w:t>
      </w:r>
      <w:r w:rsidR="00622B4D" w:rsidRPr="00166607">
        <w:rPr>
          <w:rFonts w:ascii="Times New Roman" w:hAnsi="Times New Roman"/>
        </w:rPr>
        <w:t xml:space="preserve">The </w:t>
      </w:r>
      <w:r w:rsidR="0015683F" w:rsidRPr="00166607">
        <w:rPr>
          <w:rFonts w:ascii="Times New Roman" w:hAnsi="Times New Roman"/>
        </w:rPr>
        <w:t>program</w:t>
      </w:r>
      <w:r w:rsidR="00622B4D" w:rsidRPr="00166607">
        <w:rPr>
          <w:rFonts w:ascii="Times New Roman" w:hAnsi="Times New Roman"/>
        </w:rPr>
        <w:t>’s intended goal</w:t>
      </w:r>
      <w:r w:rsidR="0015683F" w:rsidRPr="00166607">
        <w:rPr>
          <w:rFonts w:ascii="Times New Roman" w:hAnsi="Times New Roman"/>
        </w:rPr>
        <w:t xml:space="preserve"> was to expand capacity to </w:t>
      </w:r>
      <w:r w:rsidR="00622B4D" w:rsidRPr="00166607">
        <w:rPr>
          <w:rFonts w:ascii="Times New Roman" w:hAnsi="Times New Roman"/>
        </w:rPr>
        <w:t xml:space="preserve">accommodate large numbers of public elementary-school students for whom public secondary-school slots were limited. </w:t>
      </w:r>
    </w:p>
    <w:p w14:paraId="22E84219" w14:textId="113081A5" w:rsidR="00B740D0" w:rsidRDefault="00CB59FB" w:rsidP="00402892">
      <w:pPr>
        <w:pStyle w:val="ListParagraph"/>
        <w:autoSpaceDE w:val="0"/>
        <w:autoSpaceDN w:val="0"/>
        <w:adjustRightInd w:val="0"/>
        <w:spacing w:after="160" w:line="360" w:lineRule="auto"/>
        <w:ind w:left="0" w:firstLine="720"/>
        <w:jc w:val="both"/>
        <w:rPr>
          <w:rFonts w:ascii="Times New Roman" w:hAnsi="Times New Roman"/>
        </w:rPr>
      </w:pPr>
      <w:r>
        <w:rPr>
          <w:rFonts w:ascii="Times New Roman" w:hAnsi="Times New Roman"/>
        </w:rPr>
        <w:t xml:space="preserve">Several design features </w:t>
      </w:r>
      <w:r w:rsidR="00A839FA">
        <w:rPr>
          <w:rFonts w:ascii="Times New Roman" w:hAnsi="Times New Roman"/>
        </w:rPr>
        <w:t xml:space="preserve">reduced the program’s </w:t>
      </w:r>
      <w:r>
        <w:rPr>
          <w:rFonts w:ascii="Times New Roman" w:hAnsi="Times New Roman"/>
        </w:rPr>
        <w:t>fiscal cost</w:t>
      </w:r>
      <w:r w:rsidR="00C33380">
        <w:rPr>
          <w:rFonts w:ascii="Times New Roman" w:hAnsi="Times New Roman"/>
        </w:rPr>
        <w:t xml:space="preserve">. These included </w:t>
      </w:r>
      <w:r>
        <w:rPr>
          <w:rFonts w:ascii="Times New Roman" w:hAnsi="Times New Roman"/>
        </w:rPr>
        <w:t>limiting scholarship</w:t>
      </w:r>
      <w:r w:rsidR="00A839FA">
        <w:rPr>
          <w:rFonts w:ascii="Times New Roman" w:hAnsi="Times New Roman"/>
        </w:rPr>
        <w:t xml:space="preserve"> value </w:t>
      </w:r>
      <w:r>
        <w:rPr>
          <w:rFonts w:ascii="Times New Roman" w:hAnsi="Times New Roman"/>
        </w:rPr>
        <w:t>to a</w:t>
      </w:r>
      <w:r w:rsidR="00A839FA">
        <w:rPr>
          <w:rFonts w:ascii="Times New Roman" w:hAnsi="Times New Roman"/>
        </w:rPr>
        <w:t xml:space="preserve">bout </w:t>
      </w:r>
      <w:r w:rsidR="00B73CE9" w:rsidRPr="00166607">
        <w:rPr>
          <w:rFonts w:ascii="Times New Roman" w:hAnsi="Times New Roman"/>
        </w:rPr>
        <w:t xml:space="preserve">two thirds of </w:t>
      </w:r>
      <w:r w:rsidR="00A839FA">
        <w:rPr>
          <w:rFonts w:ascii="Times New Roman" w:hAnsi="Times New Roman"/>
        </w:rPr>
        <w:t>costs at the</w:t>
      </w:r>
      <w:r w:rsidR="00B73CE9" w:rsidRPr="00166607">
        <w:rPr>
          <w:rFonts w:ascii="Times New Roman" w:hAnsi="Times New Roman"/>
        </w:rPr>
        <w:t xml:space="preserve"> typical private participating school</w:t>
      </w:r>
      <w:r w:rsidR="00F46B5D">
        <w:rPr>
          <w:rFonts w:ascii="Times New Roman" w:hAnsi="Times New Roman"/>
        </w:rPr>
        <w:t>, while allowing families to top up scholarships with private funds</w:t>
      </w:r>
      <w:r w:rsidR="00A839FA">
        <w:rPr>
          <w:rFonts w:ascii="Times New Roman" w:hAnsi="Times New Roman"/>
        </w:rPr>
        <w:t xml:space="preserve">; </w:t>
      </w:r>
      <w:r w:rsidR="00EB31BB">
        <w:rPr>
          <w:rFonts w:ascii="Times New Roman" w:hAnsi="Times New Roman"/>
        </w:rPr>
        <w:t xml:space="preserve">conditioning </w:t>
      </w:r>
      <w:r w:rsidR="00A839FA">
        <w:rPr>
          <w:rFonts w:ascii="Times New Roman" w:hAnsi="Times New Roman"/>
        </w:rPr>
        <w:t xml:space="preserve">scholarship </w:t>
      </w:r>
      <w:r w:rsidR="00EB31BB">
        <w:rPr>
          <w:rFonts w:ascii="Times New Roman" w:hAnsi="Times New Roman"/>
        </w:rPr>
        <w:t xml:space="preserve">renewal </w:t>
      </w:r>
      <w:r w:rsidR="00EE7FC5" w:rsidRPr="00166607">
        <w:rPr>
          <w:rFonts w:ascii="Times New Roman" w:hAnsi="Times New Roman"/>
        </w:rPr>
        <w:t>on passing each grade</w:t>
      </w:r>
      <w:r w:rsidR="00A839FA">
        <w:rPr>
          <w:rFonts w:ascii="Times New Roman" w:hAnsi="Times New Roman"/>
        </w:rPr>
        <w:t xml:space="preserve"> (</w:t>
      </w:r>
      <w:r w:rsidR="00EB31BB">
        <w:rPr>
          <w:rFonts w:ascii="Times New Roman" w:hAnsi="Times New Roman"/>
        </w:rPr>
        <w:t>which holds down</w:t>
      </w:r>
      <w:r w:rsidR="00AD21DF">
        <w:rPr>
          <w:rFonts w:ascii="Times New Roman" w:hAnsi="Times New Roman"/>
        </w:rPr>
        <w:t xml:space="preserve"> the costs of grade repetition</w:t>
      </w:r>
      <w:r w:rsidR="00A839FA">
        <w:rPr>
          <w:rFonts w:ascii="Times New Roman" w:hAnsi="Times New Roman"/>
        </w:rPr>
        <w:t>)</w:t>
      </w:r>
      <w:r w:rsidR="00AD21DF">
        <w:rPr>
          <w:rFonts w:ascii="Times New Roman" w:hAnsi="Times New Roman"/>
        </w:rPr>
        <w:t xml:space="preserve">; and limiting eligibility </w:t>
      </w:r>
      <w:r w:rsidR="00AD21DF" w:rsidRPr="00B740D0">
        <w:rPr>
          <w:rFonts w:ascii="Times New Roman" w:hAnsi="Times New Roman"/>
        </w:rPr>
        <w:t>to residents of poor neighborhoods who had attended public primary schools</w:t>
      </w:r>
      <w:r w:rsidR="00A839FA" w:rsidRPr="00B740D0">
        <w:rPr>
          <w:rFonts w:ascii="Times New Roman" w:hAnsi="Times New Roman"/>
        </w:rPr>
        <w:t xml:space="preserve"> (which </w:t>
      </w:r>
      <w:r w:rsidR="000F16FC" w:rsidRPr="00B740D0">
        <w:rPr>
          <w:rFonts w:ascii="Times New Roman" w:hAnsi="Times New Roman"/>
        </w:rPr>
        <w:t xml:space="preserve">avoids </w:t>
      </w:r>
      <w:r w:rsidR="00EB28EF" w:rsidRPr="00B740D0">
        <w:rPr>
          <w:rFonts w:ascii="Times New Roman" w:hAnsi="Times New Roman"/>
        </w:rPr>
        <w:t>subsidiz</w:t>
      </w:r>
      <w:r w:rsidR="000F16FC" w:rsidRPr="00B740D0">
        <w:rPr>
          <w:rFonts w:ascii="Times New Roman" w:hAnsi="Times New Roman"/>
        </w:rPr>
        <w:t>ing</w:t>
      </w:r>
      <w:r w:rsidR="00EB28EF" w:rsidRPr="00B740D0">
        <w:rPr>
          <w:rFonts w:ascii="Times New Roman" w:hAnsi="Times New Roman"/>
        </w:rPr>
        <w:t xml:space="preserve"> students who would have paid for private secondary school out of pocket in the absence of the program</w:t>
      </w:r>
      <w:r w:rsidR="00A839FA" w:rsidRPr="00B740D0">
        <w:rPr>
          <w:rFonts w:ascii="Times New Roman" w:hAnsi="Times New Roman"/>
        </w:rPr>
        <w:t>)</w:t>
      </w:r>
      <w:r w:rsidR="00EB28EF" w:rsidRPr="00B740D0">
        <w:rPr>
          <w:rFonts w:ascii="Times New Roman" w:hAnsi="Times New Roman"/>
        </w:rPr>
        <w:t>.</w:t>
      </w:r>
    </w:p>
    <w:p w14:paraId="05FC7FED" w14:textId="433C782C" w:rsidR="00307920" w:rsidRPr="00B740D0" w:rsidRDefault="00277038" w:rsidP="00402892">
      <w:pPr>
        <w:pStyle w:val="ListParagraph"/>
        <w:autoSpaceDE w:val="0"/>
        <w:autoSpaceDN w:val="0"/>
        <w:adjustRightInd w:val="0"/>
        <w:spacing w:after="160" w:line="360" w:lineRule="auto"/>
        <w:ind w:left="0" w:firstLine="720"/>
        <w:jc w:val="both"/>
        <w:rPr>
          <w:rFonts w:ascii="Times New Roman" w:hAnsi="Times New Roman"/>
        </w:rPr>
      </w:pPr>
      <w:r w:rsidRPr="00B740D0">
        <w:rPr>
          <w:rFonts w:ascii="Times New Roman" w:hAnsi="Times New Roman"/>
        </w:rPr>
        <w:t>W</w:t>
      </w:r>
      <w:r w:rsidR="00307920" w:rsidRPr="00B740D0">
        <w:rPr>
          <w:rFonts w:ascii="Times New Roman" w:hAnsi="Times New Roman"/>
        </w:rPr>
        <w:t>e take</w:t>
      </w:r>
      <w:r w:rsidR="0087051C" w:rsidRPr="00B740D0">
        <w:rPr>
          <w:rFonts w:ascii="Times New Roman" w:hAnsi="Times New Roman"/>
        </w:rPr>
        <w:t xml:space="preserve"> advantage of </w:t>
      </w:r>
      <w:r w:rsidR="00EE324E" w:rsidRPr="00B740D0">
        <w:rPr>
          <w:rFonts w:ascii="Times New Roman" w:hAnsi="Times New Roman"/>
        </w:rPr>
        <w:t>a</w:t>
      </w:r>
      <w:r w:rsidR="0087051C" w:rsidRPr="00B740D0">
        <w:rPr>
          <w:rFonts w:ascii="Times New Roman" w:hAnsi="Times New Roman"/>
        </w:rPr>
        <w:t xml:space="preserve"> lotter</w:t>
      </w:r>
      <w:r w:rsidR="00EE324E" w:rsidRPr="00B740D0">
        <w:rPr>
          <w:rFonts w:ascii="Times New Roman" w:hAnsi="Times New Roman"/>
        </w:rPr>
        <w:t xml:space="preserve">y </w:t>
      </w:r>
      <w:r w:rsidR="0087051C" w:rsidRPr="00B740D0">
        <w:rPr>
          <w:rFonts w:ascii="Times New Roman" w:hAnsi="Times New Roman"/>
        </w:rPr>
        <w:t xml:space="preserve">used to allocate scholarships, </w:t>
      </w:r>
      <w:r w:rsidR="00307920" w:rsidRPr="00B740D0">
        <w:rPr>
          <w:rFonts w:ascii="Times New Roman" w:hAnsi="Times New Roman"/>
        </w:rPr>
        <w:t>as well as a unique data</w:t>
      </w:r>
      <w:r w:rsidR="007604AA" w:rsidRPr="00B740D0">
        <w:rPr>
          <w:rFonts w:ascii="Times New Roman" w:hAnsi="Times New Roman"/>
        </w:rPr>
        <w:t>-set</w:t>
      </w:r>
      <w:r w:rsidR="00307920" w:rsidRPr="00B740D0">
        <w:rPr>
          <w:rFonts w:ascii="Times New Roman" w:hAnsi="Times New Roman"/>
        </w:rPr>
        <w:t xml:space="preserve"> compiled from five different sources of </w:t>
      </w:r>
      <w:r w:rsidR="000B2C88" w:rsidRPr="00B740D0">
        <w:rPr>
          <w:rFonts w:ascii="Times New Roman" w:hAnsi="Times New Roman"/>
        </w:rPr>
        <w:t xml:space="preserve">Colombian administrative data, </w:t>
      </w:r>
      <w:r w:rsidR="00307920" w:rsidRPr="00B740D0">
        <w:rPr>
          <w:rFonts w:ascii="Times New Roman" w:hAnsi="Times New Roman"/>
        </w:rPr>
        <w:t>to</w:t>
      </w:r>
      <w:r w:rsidR="00D40547" w:rsidRPr="00B740D0">
        <w:rPr>
          <w:rFonts w:ascii="Times New Roman" w:hAnsi="Times New Roman"/>
        </w:rPr>
        <w:t xml:space="preserve"> document </w:t>
      </w:r>
      <w:r w:rsidR="00307920" w:rsidRPr="00B740D0">
        <w:rPr>
          <w:rFonts w:ascii="Times New Roman" w:hAnsi="Times New Roman"/>
        </w:rPr>
        <w:t xml:space="preserve">the impact of receiving these scholarships on </w:t>
      </w:r>
      <w:r w:rsidR="009D4A25" w:rsidRPr="00B740D0">
        <w:rPr>
          <w:rFonts w:ascii="Times New Roman" w:hAnsi="Times New Roman"/>
        </w:rPr>
        <w:t>educational, family formation</w:t>
      </w:r>
      <w:r w:rsidR="007611D6" w:rsidRPr="00B740D0">
        <w:rPr>
          <w:rFonts w:ascii="Times New Roman" w:hAnsi="Times New Roman"/>
        </w:rPr>
        <w:t xml:space="preserve">, </w:t>
      </w:r>
      <w:r w:rsidR="00307920" w:rsidRPr="00B740D0">
        <w:rPr>
          <w:rFonts w:ascii="Times New Roman" w:hAnsi="Times New Roman"/>
        </w:rPr>
        <w:t xml:space="preserve">and </w:t>
      </w:r>
      <w:r w:rsidR="007611D6" w:rsidRPr="00B740D0">
        <w:rPr>
          <w:rFonts w:ascii="Times New Roman" w:hAnsi="Times New Roman"/>
        </w:rPr>
        <w:t xml:space="preserve">labor market </w:t>
      </w:r>
      <w:r w:rsidR="00307920" w:rsidRPr="00B740D0">
        <w:rPr>
          <w:rFonts w:ascii="Times New Roman" w:hAnsi="Times New Roman"/>
        </w:rPr>
        <w:t xml:space="preserve">outcomes </w:t>
      </w:r>
      <w:r w:rsidR="00A2374B" w:rsidRPr="00B740D0">
        <w:rPr>
          <w:rFonts w:ascii="Times New Roman" w:hAnsi="Times New Roman"/>
        </w:rPr>
        <w:t xml:space="preserve">up to </w:t>
      </w:r>
      <w:r w:rsidR="007A6D35" w:rsidRPr="00B740D0">
        <w:rPr>
          <w:rFonts w:ascii="Times New Roman" w:hAnsi="Times New Roman"/>
        </w:rPr>
        <w:t xml:space="preserve">20 </w:t>
      </w:r>
      <w:r w:rsidR="00D92F73" w:rsidRPr="00B740D0">
        <w:rPr>
          <w:rFonts w:ascii="Times New Roman" w:hAnsi="Times New Roman"/>
        </w:rPr>
        <w:t>years after initial scholarship award</w:t>
      </w:r>
      <w:r w:rsidR="00307920" w:rsidRPr="00B740D0">
        <w:rPr>
          <w:rFonts w:ascii="Times New Roman" w:hAnsi="Times New Roman"/>
        </w:rPr>
        <w:t xml:space="preserve">, </w:t>
      </w:r>
      <w:r w:rsidR="008266FB" w:rsidRPr="00B740D0">
        <w:rPr>
          <w:rFonts w:ascii="Times New Roman" w:hAnsi="Times New Roman"/>
        </w:rPr>
        <w:t>when applicant</w:t>
      </w:r>
      <w:r w:rsidR="00D5154C" w:rsidRPr="00B740D0">
        <w:rPr>
          <w:rFonts w:ascii="Times New Roman" w:hAnsi="Times New Roman"/>
        </w:rPr>
        <w:t>s</w:t>
      </w:r>
      <w:r w:rsidR="008266FB" w:rsidRPr="00B740D0">
        <w:rPr>
          <w:rFonts w:ascii="Times New Roman" w:hAnsi="Times New Roman"/>
        </w:rPr>
        <w:t xml:space="preserve"> </w:t>
      </w:r>
      <w:r w:rsidR="00307920" w:rsidRPr="00B740D0">
        <w:rPr>
          <w:rFonts w:ascii="Times New Roman" w:hAnsi="Times New Roman"/>
        </w:rPr>
        <w:t xml:space="preserve">were </w:t>
      </w:r>
      <w:r w:rsidR="008266FB" w:rsidRPr="00B740D0">
        <w:rPr>
          <w:rFonts w:ascii="Times New Roman" w:hAnsi="Times New Roman"/>
        </w:rPr>
        <w:t xml:space="preserve">near age </w:t>
      </w:r>
      <w:r w:rsidR="007A6D35" w:rsidRPr="00B740D0">
        <w:rPr>
          <w:rFonts w:ascii="Times New Roman" w:hAnsi="Times New Roman"/>
        </w:rPr>
        <w:t>33</w:t>
      </w:r>
      <w:r w:rsidR="00C6061A" w:rsidRPr="00B740D0">
        <w:rPr>
          <w:rFonts w:ascii="Times New Roman" w:hAnsi="Times New Roman"/>
        </w:rPr>
        <w:t>.</w:t>
      </w:r>
      <w:r w:rsidR="00307920" w:rsidRPr="00B740D0">
        <w:rPr>
          <w:rFonts w:ascii="Times New Roman" w:hAnsi="Times New Roman"/>
        </w:rPr>
        <w:t xml:space="preserve">  </w:t>
      </w:r>
      <w:r w:rsidR="00EE324E" w:rsidRPr="00B740D0">
        <w:rPr>
          <w:rFonts w:ascii="Times New Roman" w:hAnsi="Times New Roman"/>
        </w:rPr>
        <w:t xml:space="preserve">We then use these data to estimate the fiscal impact of the program. As in Bettinger, Kremer and Saavedra (2010), we pay close attention to impacts among the subpopulation of vocational school applicants. </w:t>
      </w:r>
    </w:p>
    <w:p w14:paraId="019CED89" w14:textId="2AE6BBB7" w:rsidR="00CC40F6" w:rsidRPr="00166607" w:rsidRDefault="00A43AD6" w:rsidP="00402892">
      <w:pPr>
        <w:pStyle w:val="ListParagraph"/>
        <w:autoSpaceDE w:val="0"/>
        <w:autoSpaceDN w:val="0"/>
        <w:adjustRightInd w:val="0"/>
        <w:spacing w:after="160" w:line="360" w:lineRule="auto"/>
        <w:ind w:left="0" w:firstLine="720"/>
        <w:jc w:val="both"/>
        <w:rPr>
          <w:rFonts w:ascii="Times New Roman" w:hAnsi="Times New Roman"/>
        </w:rPr>
      </w:pPr>
      <w:r w:rsidRPr="00166607">
        <w:rPr>
          <w:rFonts w:ascii="Times New Roman" w:hAnsi="Times New Roman"/>
        </w:rPr>
        <w:t>L</w:t>
      </w:r>
      <w:r w:rsidR="00602623" w:rsidRPr="00166607">
        <w:rPr>
          <w:rFonts w:ascii="Times New Roman" w:hAnsi="Times New Roman"/>
        </w:rPr>
        <w:t>ottery winners are</w:t>
      </w:r>
      <w:r w:rsidR="00E22045" w:rsidRPr="00166607">
        <w:rPr>
          <w:rFonts w:ascii="Times New Roman" w:hAnsi="Times New Roman"/>
        </w:rPr>
        <w:t xml:space="preserve"> about 7 percentage points more likely to </w:t>
      </w:r>
      <w:r w:rsidR="00307920" w:rsidRPr="00166607">
        <w:rPr>
          <w:rFonts w:ascii="Times New Roman" w:hAnsi="Times New Roman"/>
        </w:rPr>
        <w:t xml:space="preserve">have graduated </w:t>
      </w:r>
      <w:r w:rsidR="00012765" w:rsidRPr="00166607">
        <w:rPr>
          <w:rFonts w:ascii="Times New Roman" w:hAnsi="Times New Roman"/>
        </w:rPr>
        <w:t>from secondary school</w:t>
      </w:r>
      <w:r w:rsidR="00026CC2" w:rsidRPr="00166607">
        <w:rPr>
          <w:rFonts w:ascii="Times New Roman" w:hAnsi="Times New Roman"/>
        </w:rPr>
        <w:t xml:space="preserve"> </w:t>
      </w:r>
      <w:r w:rsidR="001616E7" w:rsidRPr="00166607">
        <w:rPr>
          <w:rFonts w:ascii="Times New Roman" w:hAnsi="Times New Roman"/>
        </w:rPr>
        <w:t>on schedule</w:t>
      </w:r>
      <w:r w:rsidR="00307920" w:rsidRPr="00166607">
        <w:rPr>
          <w:rFonts w:ascii="Times New Roman" w:hAnsi="Times New Roman"/>
        </w:rPr>
        <w:t xml:space="preserve"> </w:t>
      </w:r>
      <w:r w:rsidR="001208AD" w:rsidRPr="00166607">
        <w:rPr>
          <w:rFonts w:ascii="Times New Roman" w:hAnsi="Times New Roman"/>
        </w:rPr>
        <w:t xml:space="preserve">(on a 44 percent base) </w:t>
      </w:r>
      <w:r w:rsidR="00307920" w:rsidRPr="00166607">
        <w:rPr>
          <w:rFonts w:ascii="Times New Roman" w:hAnsi="Times New Roman"/>
        </w:rPr>
        <w:t xml:space="preserve">and </w:t>
      </w:r>
      <w:r w:rsidR="00E22045" w:rsidRPr="00166607">
        <w:rPr>
          <w:rFonts w:ascii="Times New Roman" w:hAnsi="Times New Roman"/>
        </w:rPr>
        <w:t>5 percentage points</w:t>
      </w:r>
      <w:r w:rsidR="0057732D" w:rsidRPr="00166607">
        <w:rPr>
          <w:rFonts w:ascii="Times New Roman" w:hAnsi="Times New Roman"/>
        </w:rPr>
        <w:t xml:space="preserve"> </w:t>
      </w:r>
      <w:r w:rsidR="00772AC7" w:rsidRPr="00166607">
        <w:rPr>
          <w:rFonts w:ascii="Times New Roman" w:hAnsi="Times New Roman"/>
        </w:rPr>
        <w:t>more likely to</w:t>
      </w:r>
      <w:r w:rsidR="00C03418" w:rsidRPr="00166607">
        <w:rPr>
          <w:rFonts w:ascii="Times New Roman" w:hAnsi="Times New Roman"/>
        </w:rPr>
        <w:t xml:space="preserve"> </w:t>
      </w:r>
      <w:r w:rsidR="00307920" w:rsidRPr="00166607">
        <w:rPr>
          <w:rFonts w:ascii="Times New Roman" w:hAnsi="Times New Roman"/>
        </w:rPr>
        <w:t xml:space="preserve">have </w:t>
      </w:r>
      <w:r w:rsidR="00F401A0" w:rsidRPr="00166607">
        <w:rPr>
          <w:rFonts w:ascii="Times New Roman" w:hAnsi="Times New Roman"/>
        </w:rPr>
        <w:t xml:space="preserve">ever </w:t>
      </w:r>
      <w:r w:rsidR="00C03418" w:rsidRPr="00166607">
        <w:rPr>
          <w:rFonts w:ascii="Times New Roman" w:hAnsi="Times New Roman"/>
        </w:rPr>
        <w:t>graduate</w:t>
      </w:r>
      <w:r w:rsidR="00307920" w:rsidRPr="00166607">
        <w:rPr>
          <w:rFonts w:ascii="Times New Roman" w:hAnsi="Times New Roman"/>
        </w:rPr>
        <w:t>d from</w:t>
      </w:r>
      <w:r w:rsidR="00C03418" w:rsidRPr="00166607">
        <w:rPr>
          <w:rFonts w:ascii="Times New Roman" w:hAnsi="Times New Roman"/>
        </w:rPr>
        <w:t xml:space="preserve"> </w:t>
      </w:r>
      <w:r w:rsidR="006B262A" w:rsidRPr="00166607">
        <w:rPr>
          <w:rFonts w:ascii="Times New Roman" w:hAnsi="Times New Roman"/>
        </w:rPr>
        <w:t>secondary school</w:t>
      </w:r>
      <w:r w:rsidR="001208AD" w:rsidRPr="00166607">
        <w:rPr>
          <w:rFonts w:ascii="Times New Roman" w:hAnsi="Times New Roman"/>
        </w:rPr>
        <w:t xml:space="preserve"> (on a 55 percent base)</w:t>
      </w:r>
      <w:r w:rsidR="00E22045" w:rsidRPr="00166607">
        <w:rPr>
          <w:rFonts w:ascii="Times New Roman" w:hAnsi="Times New Roman"/>
        </w:rPr>
        <w:t xml:space="preserve">. </w:t>
      </w:r>
      <w:r w:rsidR="00395431" w:rsidRPr="00166607">
        <w:rPr>
          <w:rFonts w:ascii="Times New Roman" w:hAnsi="Times New Roman"/>
        </w:rPr>
        <w:t xml:space="preserve"> Secondary school graduation impacts are similar for applicants to vocational</w:t>
      </w:r>
      <w:r w:rsidR="007604AA" w:rsidRPr="00166607">
        <w:rPr>
          <w:rFonts w:ascii="Times New Roman" w:hAnsi="Times New Roman"/>
        </w:rPr>
        <w:t xml:space="preserve"> schools</w:t>
      </w:r>
      <w:r w:rsidR="00395431" w:rsidRPr="00166607">
        <w:rPr>
          <w:rFonts w:ascii="Times New Roman" w:hAnsi="Times New Roman"/>
        </w:rPr>
        <w:t xml:space="preserve"> and to the more traditional academic schools.  </w:t>
      </w:r>
      <w:r w:rsidR="00E8710F" w:rsidRPr="00166607">
        <w:rPr>
          <w:rFonts w:ascii="Times New Roman" w:hAnsi="Times New Roman"/>
        </w:rPr>
        <w:t xml:space="preserve">Lottery winners were also </w:t>
      </w:r>
      <w:r w:rsidR="00E22045" w:rsidRPr="00166607">
        <w:rPr>
          <w:rFonts w:ascii="Times New Roman" w:hAnsi="Times New Roman"/>
        </w:rPr>
        <w:t>3 percentage points</w:t>
      </w:r>
      <w:r w:rsidR="00E8710F" w:rsidRPr="00166607">
        <w:rPr>
          <w:rFonts w:ascii="Times New Roman" w:hAnsi="Times New Roman"/>
        </w:rPr>
        <w:t xml:space="preserve"> more likely to have attended college at some point, a 16 percent relative increase in attendance. </w:t>
      </w:r>
      <w:r w:rsidR="00395431" w:rsidRPr="00166607">
        <w:rPr>
          <w:rFonts w:ascii="Times New Roman" w:hAnsi="Times New Roman"/>
        </w:rPr>
        <w:t xml:space="preserve">They are 58 percent more likely to be </w:t>
      </w:r>
      <w:r w:rsidR="00EF4BAA">
        <w:rPr>
          <w:rFonts w:ascii="Times New Roman" w:hAnsi="Times New Roman"/>
        </w:rPr>
        <w:t xml:space="preserve">currently </w:t>
      </w:r>
      <w:r w:rsidR="00395431" w:rsidRPr="00166607">
        <w:rPr>
          <w:rFonts w:ascii="Times New Roman" w:hAnsi="Times New Roman"/>
        </w:rPr>
        <w:t>enrolled in tertiary education (Base rate is 4 percent.)</w:t>
      </w:r>
      <w:r w:rsidR="00BB11FE" w:rsidRPr="00166607">
        <w:rPr>
          <w:rFonts w:ascii="Times New Roman" w:hAnsi="Times New Roman"/>
        </w:rPr>
        <w:t>.</w:t>
      </w:r>
      <w:r w:rsidR="00395431" w:rsidRPr="00166607">
        <w:rPr>
          <w:rFonts w:ascii="Times New Roman" w:hAnsi="Times New Roman"/>
        </w:rPr>
        <w:t xml:space="preserve">  Scholarship impacts a</w:t>
      </w:r>
      <w:r w:rsidR="007604AA" w:rsidRPr="008233C3">
        <w:rPr>
          <w:rFonts w:ascii="Times New Roman" w:hAnsi="Times New Roman"/>
        </w:rPr>
        <w:t>t the tertiary level</w:t>
      </w:r>
      <w:r w:rsidR="00395431" w:rsidRPr="00166607">
        <w:rPr>
          <w:rFonts w:ascii="Times New Roman" w:hAnsi="Times New Roman"/>
        </w:rPr>
        <w:t xml:space="preserve"> </w:t>
      </w:r>
      <w:r w:rsidR="006627BF" w:rsidRPr="00166607">
        <w:rPr>
          <w:rFonts w:ascii="Times New Roman" w:hAnsi="Times New Roman"/>
        </w:rPr>
        <w:t xml:space="preserve">are </w:t>
      </w:r>
      <w:r w:rsidR="00395431" w:rsidRPr="00166607">
        <w:rPr>
          <w:rFonts w:ascii="Times New Roman" w:hAnsi="Times New Roman"/>
        </w:rPr>
        <w:t>entirely drive</w:t>
      </w:r>
      <w:r w:rsidR="007604AA" w:rsidRPr="00166607">
        <w:rPr>
          <w:rFonts w:ascii="Times New Roman" w:hAnsi="Times New Roman"/>
        </w:rPr>
        <w:t>n by applicants who applied to vocational schools</w:t>
      </w:r>
      <w:r w:rsidR="00395431" w:rsidRPr="00166607">
        <w:rPr>
          <w:rFonts w:ascii="Times New Roman" w:hAnsi="Times New Roman"/>
        </w:rPr>
        <w:t xml:space="preserve">.  In this </w:t>
      </w:r>
      <w:r w:rsidR="00395431" w:rsidRPr="00166607">
        <w:rPr>
          <w:rFonts w:ascii="Times New Roman" w:hAnsi="Times New Roman"/>
        </w:rPr>
        <w:lastRenderedPageBreak/>
        <w:t>subpopulation, lottery winners are 7 percentage points more likely to have at</w:t>
      </w:r>
      <w:r w:rsidR="00FA0223" w:rsidRPr="00166607">
        <w:rPr>
          <w:rFonts w:ascii="Times New Roman" w:hAnsi="Times New Roman"/>
        </w:rPr>
        <w:t>tended college at some point—a 38 percent relative increase—</w:t>
      </w:r>
      <w:r w:rsidR="00395431" w:rsidRPr="00166607">
        <w:rPr>
          <w:rFonts w:ascii="Times New Roman" w:hAnsi="Times New Roman"/>
        </w:rPr>
        <w:t>and 2.4 percentage points more like to graduate</w:t>
      </w:r>
      <w:r w:rsidR="00FA0223" w:rsidRPr="00166607">
        <w:rPr>
          <w:rFonts w:ascii="Times New Roman" w:hAnsi="Times New Roman"/>
        </w:rPr>
        <w:t>—a 49 percent relative increase.  There is also some heterogeneity by gender</w:t>
      </w:r>
      <w:r w:rsidR="007604AA" w:rsidRPr="00166607">
        <w:rPr>
          <w:rFonts w:ascii="Times New Roman" w:hAnsi="Times New Roman"/>
        </w:rPr>
        <w:t>,</w:t>
      </w:r>
      <w:r w:rsidR="00FA0223" w:rsidRPr="00166607">
        <w:rPr>
          <w:rFonts w:ascii="Times New Roman" w:hAnsi="Times New Roman"/>
        </w:rPr>
        <w:t xml:space="preserve"> as </w:t>
      </w:r>
      <w:r w:rsidR="00A72E68" w:rsidRPr="00166607">
        <w:rPr>
          <w:rFonts w:ascii="Times New Roman" w:hAnsi="Times New Roman"/>
        </w:rPr>
        <w:t xml:space="preserve">the secondary school scholarships increased women’s enrollment </w:t>
      </w:r>
      <w:r w:rsidR="00FA0223" w:rsidRPr="00166607">
        <w:rPr>
          <w:rFonts w:ascii="Times New Roman" w:hAnsi="Times New Roman"/>
        </w:rPr>
        <w:t xml:space="preserve">primarily </w:t>
      </w:r>
      <w:r w:rsidR="00A72E68" w:rsidRPr="00166607">
        <w:rPr>
          <w:rFonts w:ascii="Times New Roman" w:hAnsi="Times New Roman"/>
        </w:rPr>
        <w:t>in five-year universities and men’s enrollment in two-year vocational institutions.</w:t>
      </w:r>
      <w:r w:rsidR="003847F1" w:rsidRPr="00166607">
        <w:rPr>
          <w:rFonts w:ascii="Times New Roman" w:hAnsi="Times New Roman"/>
        </w:rPr>
        <w:t xml:space="preserve">  </w:t>
      </w:r>
      <w:r w:rsidR="003847F1" w:rsidRPr="00166607">
        <w:rPr>
          <w:rFonts w:ascii="Times New Roman" w:hAnsi="Times New Roman"/>
          <w:color w:val="222222"/>
        </w:rPr>
        <w:t xml:space="preserve"> </w:t>
      </w:r>
      <w:r w:rsidR="00B202A5" w:rsidRPr="00166607">
        <w:rPr>
          <w:rFonts w:ascii="Times New Roman" w:hAnsi="Times New Roman"/>
        </w:rPr>
        <w:t xml:space="preserve"> </w:t>
      </w:r>
    </w:p>
    <w:p w14:paraId="7F2AAF36" w14:textId="08C95251" w:rsidR="00F60950" w:rsidRPr="00166607" w:rsidRDefault="00DA14AD" w:rsidP="00402892">
      <w:pPr>
        <w:pStyle w:val="ListParagraph"/>
        <w:autoSpaceDE w:val="0"/>
        <w:autoSpaceDN w:val="0"/>
        <w:adjustRightInd w:val="0"/>
        <w:spacing w:after="160" w:line="360" w:lineRule="auto"/>
        <w:ind w:left="0" w:firstLine="720"/>
        <w:jc w:val="both"/>
        <w:rPr>
          <w:rFonts w:ascii="Times New Roman" w:hAnsi="Times New Roman"/>
        </w:rPr>
      </w:pPr>
      <w:r w:rsidRPr="00166607">
        <w:rPr>
          <w:rFonts w:ascii="Times New Roman" w:hAnsi="Times New Roman"/>
        </w:rPr>
        <w:t>Winning the lottery did not increase the probability of working in the formal sector o</w:t>
      </w:r>
      <w:r w:rsidR="00EF4BAA">
        <w:rPr>
          <w:rFonts w:ascii="Times New Roman" w:hAnsi="Times New Roman"/>
        </w:rPr>
        <w:t xml:space="preserve">r </w:t>
      </w:r>
      <w:r w:rsidRPr="00166607">
        <w:rPr>
          <w:rFonts w:ascii="Times New Roman" w:hAnsi="Times New Roman"/>
        </w:rPr>
        <w:t xml:space="preserve">the number </w:t>
      </w:r>
      <w:r w:rsidR="00EF4BAA">
        <w:rPr>
          <w:rFonts w:ascii="Times New Roman" w:hAnsi="Times New Roman"/>
        </w:rPr>
        <w:t>of formal-sector days worked per year</w:t>
      </w:r>
      <w:r w:rsidRPr="00166607">
        <w:rPr>
          <w:rFonts w:ascii="Times New Roman" w:hAnsi="Times New Roman"/>
        </w:rPr>
        <w:t>. However, p</w:t>
      </w:r>
      <w:r w:rsidR="00301A88" w:rsidRPr="00166607">
        <w:rPr>
          <w:rFonts w:ascii="Times New Roman" w:hAnsi="Times New Roman"/>
        </w:rPr>
        <w:t xml:space="preserve">oint estimates </w:t>
      </w:r>
      <w:r w:rsidR="00A43AD6" w:rsidRPr="00166607">
        <w:rPr>
          <w:rFonts w:ascii="Times New Roman" w:hAnsi="Times New Roman"/>
        </w:rPr>
        <w:t>of the scholarship</w:t>
      </w:r>
      <w:r w:rsidR="00242BC5" w:rsidRPr="00166607">
        <w:rPr>
          <w:rFonts w:ascii="Times New Roman" w:hAnsi="Times New Roman"/>
        </w:rPr>
        <w:t>’s</w:t>
      </w:r>
      <w:r w:rsidR="00A43AD6" w:rsidRPr="00166607">
        <w:rPr>
          <w:rFonts w:ascii="Times New Roman" w:hAnsi="Times New Roman"/>
        </w:rPr>
        <w:t xml:space="preserve"> impact on total formal sector earnings at around age 30 suggest that lottery winners </w:t>
      </w:r>
      <w:r w:rsidR="00233FEF" w:rsidRPr="00166607">
        <w:rPr>
          <w:rFonts w:ascii="Times New Roman" w:hAnsi="Times New Roman"/>
        </w:rPr>
        <w:t>have</w:t>
      </w:r>
      <w:r w:rsidR="00A43AD6" w:rsidRPr="00166607">
        <w:rPr>
          <w:rFonts w:ascii="Times New Roman" w:hAnsi="Times New Roman"/>
        </w:rPr>
        <w:t xml:space="preserve"> 8 percent </w:t>
      </w:r>
      <w:r w:rsidR="002A64D0" w:rsidRPr="00166607">
        <w:rPr>
          <w:rFonts w:ascii="Times New Roman" w:hAnsi="Times New Roman"/>
        </w:rPr>
        <w:t>greater</w:t>
      </w:r>
      <w:r w:rsidR="00A43AD6" w:rsidRPr="00166607">
        <w:rPr>
          <w:rFonts w:ascii="Times New Roman" w:hAnsi="Times New Roman"/>
        </w:rPr>
        <w:t xml:space="preserve"> formal </w:t>
      </w:r>
      <w:r w:rsidR="002A64D0" w:rsidRPr="00166607">
        <w:rPr>
          <w:rFonts w:ascii="Times New Roman" w:hAnsi="Times New Roman"/>
        </w:rPr>
        <w:t>sector earnings</w:t>
      </w:r>
      <w:r w:rsidR="00A43AD6" w:rsidRPr="00166607">
        <w:rPr>
          <w:rFonts w:ascii="Times New Roman" w:hAnsi="Times New Roman"/>
        </w:rPr>
        <w:t xml:space="preserve"> than </w:t>
      </w:r>
      <w:r w:rsidR="00FF345E" w:rsidRPr="00166607">
        <w:rPr>
          <w:rFonts w:ascii="Times New Roman" w:hAnsi="Times New Roman"/>
        </w:rPr>
        <w:t>scholarship lottery loser</w:t>
      </w:r>
      <w:r w:rsidR="00A43AD6" w:rsidRPr="00166607">
        <w:rPr>
          <w:rFonts w:ascii="Times New Roman" w:hAnsi="Times New Roman"/>
        </w:rPr>
        <w:t>s</w:t>
      </w:r>
      <w:r w:rsidR="00E8710F" w:rsidRPr="00166607">
        <w:rPr>
          <w:rFonts w:ascii="Times New Roman" w:hAnsi="Times New Roman"/>
        </w:rPr>
        <w:t xml:space="preserve"> (p-value = </w:t>
      </w:r>
      <w:r w:rsidR="006B0D0E" w:rsidRPr="00166607">
        <w:rPr>
          <w:rFonts w:ascii="Times New Roman" w:hAnsi="Times New Roman"/>
        </w:rPr>
        <w:t>0</w:t>
      </w:r>
      <w:r w:rsidR="00E8710F" w:rsidRPr="00166607">
        <w:rPr>
          <w:rFonts w:ascii="Times New Roman" w:hAnsi="Times New Roman"/>
        </w:rPr>
        <w:t>.0</w:t>
      </w:r>
      <w:r w:rsidR="00242BC5" w:rsidRPr="00166607">
        <w:rPr>
          <w:rFonts w:ascii="Times New Roman" w:hAnsi="Times New Roman"/>
        </w:rPr>
        <w:t>6</w:t>
      </w:r>
      <w:r w:rsidR="00E8710F" w:rsidRPr="00166607">
        <w:rPr>
          <w:rFonts w:ascii="Times New Roman" w:hAnsi="Times New Roman"/>
        </w:rPr>
        <w:t>).</w:t>
      </w:r>
      <w:r w:rsidR="00A43AD6" w:rsidRPr="00166607">
        <w:rPr>
          <w:rFonts w:ascii="Times New Roman" w:hAnsi="Times New Roman"/>
        </w:rPr>
        <w:t xml:space="preserve">   </w:t>
      </w:r>
      <w:r w:rsidR="00FA0223" w:rsidRPr="00166607">
        <w:rPr>
          <w:rFonts w:ascii="Times New Roman" w:hAnsi="Times New Roman"/>
        </w:rPr>
        <w:t>Impacts among vocational applicants entirely drive scholarship effects</w:t>
      </w:r>
      <w:r w:rsidR="002826BC" w:rsidRPr="00166607">
        <w:rPr>
          <w:rFonts w:ascii="Times New Roman" w:hAnsi="Times New Roman"/>
        </w:rPr>
        <w:t xml:space="preserve"> on formal earnings: v</w:t>
      </w:r>
      <w:r w:rsidR="00FA0223" w:rsidRPr="00166607">
        <w:rPr>
          <w:rFonts w:ascii="Times New Roman" w:hAnsi="Times New Roman"/>
        </w:rPr>
        <w:t>ocational lottery winners have 17 percent greater formal sector earnings than</w:t>
      </w:r>
      <w:r w:rsidR="002826BC" w:rsidRPr="00166607">
        <w:rPr>
          <w:rFonts w:ascii="Times New Roman" w:hAnsi="Times New Roman"/>
        </w:rPr>
        <w:t xml:space="preserve"> vocational lottery</w:t>
      </w:r>
      <w:r w:rsidR="00FA0223" w:rsidRPr="00166607">
        <w:rPr>
          <w:rFonts w:ascii="Times New Roman" w:hAnsi="Times New Roman"/>
        </w:rPr>
        <w:t xml:space="preserve"> losers.</w:t>
      </w:r>
      <w:r w:rsidR="006627BF" w:rsidRPr="00166607">
        <w:rPr>
          <w:rFonts w:ascii="Times New Roman" w:hAnsi="Times New Roman"/>
        </w:rPr>
        <w:t xml:space="preserve">  </w:t>
      </w:r>
      <w:r w:rsidRPr="00166607">
        <w:rPr>
          <w:rFonts w:ascii="Times New Roman" w:hAnsi="Times New Roman"/>
        </w:rPr>
        <w:t>(</w:t>
      </w:r>
      <w:r w:rsidR="006627BF" w:rsidRPr="00166607">
        <w:rPr>
          <w:rFonts w:ascii="Times New Roman" w:hAnsi="Times New Roman"/>
        </w:rPr>
        <w:t xml:space="preserve">This is </w:t>
      </w:r>
      <w:r w:rsidRPr="00166607">
        <w:rPr>
          <w:rFonts w:ascii="Times New Roman" w:hAnsi="Times New Roman"/>
        </w:rPr>
        <w:t xml:space="preserve">not completely </w:t>
      </w:r>
      <w:r w:rsidR="006627BF" w:rsidRPr="00166607">
        <w:rPr>
          <w:rFonts w:ascii="Times New Roman" w:hAnsi="Times New Roman"/>
        </w:rPr>
        <w:t>surprising</w:t>
      </w:r>
      <w:r w:rsidRPr="00166607">
        <w:rPr>
          <w:rFonts w:ascii="Times New Roman" w:hAnsi="Times New Roman"/>
        </w:rPr>
        <w:t>,</w:t>
      </w:r>
      <w:r w:rsidR="006627BF" w:rsidRPr="00166607">
        <w:rPr>
          <w:rFonts w:ascii="Times New Roman" w:hAnsi="Times New Roman"/>
        </w:rPr>
        <w:t xml:space="preserve"> given that our prior work (Bettinger, Kremer, Saavedra 2010)</w:t>
      </w:r>
      <w:r w:rsidR="00057578" w:rsidRPr="00166607">
        <w:rPr>
          <w:rFonts w:ascii="Times New Roman" w:hAnsi="Times New Roman"/>
        </w:rPr>
        <w:t xml:space="preserve"> finds that short-run educational impacts were much larger among vocational lottery winners than the impacts among non-vocational lottery winners.</w:t>
      </w:r>
      <w:r w:rsidRPr="00166607">
        <w:rPr>
          <w:rFonts w:ascii="Times New Roman" w:hAnsi="Times New Roman"/>
        </w:rPr>
        <w:t>)</w:t>
      </w:r>
      <w:r w:rsidR="00057578" w:rsidRPr="00166607">
        <w:rPr>
          <w:rFonts w:ascii="Times New Roman" w:hAnsi="Times New Roman"/>
        </w:rPr>
        <w:t xml:space="preserve">  </w:t>
      </w:r>
    </w:p>
    <w:p w14:paraId="79AD8930" w14:textId="0D8F831A" w:rsidR="00E46B1A" w:rsidRPr="00E46B1A" w:rsidRDefault="00F60950" w:rsidP="00402892">
      <w:pPr>
        <w:pStyle w:val="ListParagraph"/>
        <w:autoSpaceDE w:val="0"/>
        <w:autoSpaceDN w:val="0"/>
        <w:adjustRightInd w:val="0"/>
        <w:spacing w:after="160" w:line="360" w:lineRule="auto"/>
        <w:ind w:left="0" w:firstLine="720"/>
        <w:jc w:val="both"/>
        <w:rPr>
          <w:rFonts w:ascii="Times New Roman" w:eastAsia="Times New Roman" w:hAnsi="Times New Roman"/>
          <w:color w:val="222222"/>
          <w:shd w:val="clear" w:color="auto" w:fill="FFFFFF"/>
        </w:rPr>
      </w:pPr>
      <w:r w:rsidRPr="00166607">
        <w:rPr>
          <w:rFonts w:ascii="Times New Roman" w:hAnsi="Times New Roman"/>
        </w:rPr>
        <w:t xml:space="preserve">Winning a scholarship </w:t>
      </w:r>
      <w:r w:rsidR="00964CD8" w:rsidRPr="00166607">
        <w:rPr>
          <w:rFonts w:ascii="Times New Roman" w:hAnsi="Times New Roman"/>
        </w:rPr>
        <w:t xml:space="preserve">also </w:t>
      </w:r>
      <w:r w:rsidRPr="00166607">
        <w:rPr>
          <w:rFonts w:ascii="Times New Roman" w:hAnsi="Times New Roman"/>
        </w:rPr>
        <w:t xml:space="preserve">reduces teen fertility. Among female applicants, lottery winners are </w:t>
      </w:r>
      <w:r w:rsidR="00964CD8" w:rsidRPr="00E46B1A">
        <w:rPr>
          <w:rFonts w:ascii="Times New Roman" w:hAnsi="Times New Roman"/>
        </w:rPr>
        <w:t>6 percentage points</w:t>
      </w:r>
      <w:r w:rsidRPr="00E46B1A">
        <w:rPr>
          <w:rFonts w:ascii="Times New Roman" w:hAnsi="Times New Roman"/>
        </w:rPr>
        <w:t xml:space="preserve"> less likely to have had a child as a teen</w:t>
      </w:r>
      <w:r w:rsidR="00964CD8" w:rsidRPr="00E46B1A">
        <w:rPr>
          <w:rFonts w:ascii="Times New Roman" w:hAnsi="Times New Roman"/>
        </w:rPr>
        <w:t>, a 16 percent relative decrease in teen fertility</w:t>
      </w:r>
      <w:r w:rsidRPr="00274C17">
        <w:rPr>
          <w:rFonts w:ascii="Times New Roman" w:hAnsi="Times New Roman"/>
        </w:rPr>
        <w:t xml:space="preserve">.  </w:t>
      </w:r>
      <w:r w:rsidR="001F612F" w:rsidRPr="00274C17">
        <w:rPr>
          <w:rFonts w:ascii="Times New Roman" w:hAnsi="Times New Roman"/>
        </w:rPr>
        <w:t xml:space="preserve">These effects are driven by applicants to academic secondary schools.  </w:t>
      </w:r>
      <w:r w:rsidRPr="00274C17">
        <w:rPr>
          <w:rFonts w:ascii="Times New Roman" w:hAnsi="Times New Roman"/>
        </w:rPr>
        <w:t>We find no effect on total fertility</w:t>
      </w:r>
      <w:r w:rsidR="00A71717" w:rsidRPr="00373DAE">
        <w:rPr>
          <w:rFonts w:ascii="Times New Roman" w:hAnsi="Times New Roman"/>
        </w:rPr>
        <w:t xml:space="preserve"> </w:t>
      </w:r>
      <w:r w:rsidR="00736A8F" w:rsidRPr="00373DAE">
        <w:rPr>
          <w:rFonts w:ascii="Times New Roman" w:hAnsi="Times New Roman"/>
        </w:rPr>
        <w:t>as of</w:t>
      </w:r>
      <w:r w:rsidR="00A71717" w:rsidRPr="00373DAE">
        <w:rPr>
          <w:rFonts w:ascii="Times New Roman" w:hAnsi="Times New Roman"/>
        </w:rPr>
        <w:t xml:space="preserve"> age 30</w:t>
      </w:r>
      <w:r w:rsidRPr="0029520A">
        <w:rPr>
          <w:rFonts w:ascii="Times New Roman" w:hAnsi="Times New Roman"/>
        </w:rPr>
        <w:t xml:space="preserve">, </w:t>
      </w:r>
      <w:r w:rsidR="00A71717" w:rsidRPr="00631418">
        <w:rPr>
          <w:rFonts w:ascii="Times New Roman" w:hAnsi="Times New Roman"/>
        </w:rPr>
        <w:t>consistent with the notion</w:t>
      </w:r>
      <w:r w:rsidRPr="00A91851">
        <w:rPr>
          <w:rFonts w:ascii="Times New Roman" w:hAnsi="Times New Roman"/>
        </w:rPr>
        <w:t xml:space="preserve"> that the teen </w:t>
      </w:r>
      <w:r w:rsidRPr="009A5F49">
        <w:rPr>
          <w:rFonts w:ascii="Times New Roman" w:hAnsi="Times New Roman"/>
        </w:rPr>
        <w:t xml:space="preserve">fertility </w:t>
      </w:r>
      <w:r w:rsidRPr="003C2F92">
        <w:rPr>
          <w:rFonts w:ascii="Times New Roman" w:eastAsia="Times New Roman" w:hAnsi="Times New Roman"/>
          <w:color w:val="222222"/>
          <w:shd w:val="clear" w:color="auto" w:fill="FFFFFF"/>
        </w:rPr>
        <w:t>effect we observe is mostly a</w:t>
      </w:r>
      <w:r w:rsidR="00057578" w:rsidRPr="00F66B1F">
        <w:rPr>
          <w:rFonts w:ascii="Times New Roman" w:eastAsia="Times New Roman" w:hAnsi="Times New Roman"/>
          <w:color w:val="222222"/>
          <w:shd w:val="clear" w:color="auto" w:fill="FFFFFF"/>
        </w:rPr>
        <w:t>n “incarceration” or</w:t>
      </w:r>
      <w:r w:rsidR="00177D05" w:rsidRPr="00F46DD5">
        <w:rPr>
          <w:rFonts w:ascii="Times New Roman" w:eastAsia="Times New Roman" w:hAnsi="Times New Roman"/>
          <w:color w:val="222222"/>
          <w:shd w:val="clear" w:color="auto" w:fill="FFFFFF"/>
        </w:rPr>
        <w:t xml:space="preserve"> “delay”</w:t>
      </w:r>
      <w:r w:rsidRPr="001C461A">
        <w:rPr>
          <w:rFonts w:ascii="Times New Roman" w:eastAsia="Times New Roman" w:hAnsi="Times New Roman"/>
          <w:color w:val="222222"/>
          <w:shd w:val="clear" w:color="auto" w:fill="FFFFFF"/>
        </w:rPr>
        <w:t xml:space="preserve"> effect rather than an opportunity-cost effect</w:t>
      </w:r>
      <w:r w:rsidR="003A2220" w:rsidRPr="00B05807">
        <w:rPr>
          <w:rFonts w:ascii="Times New Roman" w:eastAsia="Times New Roman" w:hAnsi="Times New Roman"/>
          <w:color w:val="222222"/>
          <w:shd w:val="clear" w:color="auto" w:fill="FFFFFF"/>
        </w:rPr>
        <w:t>.</w:t>
      </w:r>
    </w:p>
    <w:p w14:paraId="31702CEE" w14:textId="2CC487F9" w:rsidR="003847F1" w:rsidRPr="00166607" w:rsidRDefault="003847F1" w:rsidP="00402892">
      <w:pPr>
        <w:pStyle w:val="ListParagraph"/>
        <w:autoSpaceDE w:val="0"/>
        <w:autoSpaceDN w:val="0"/>
        <w:adjustRightInd w:val="0"/>
        <w:spacing w:after="160" w:line="360" w:lineRule="auto"/>
        <w:ind w:left="0" w:firstLine="720"/>
        <w:jc w:val="both"/>
        <w:rPr>
          <w:rFonts w:ascii="Times New Roman" w:eastAsia="Times New Roman" w:hAnsi="Times New Roman"/>
          <w:color w:val="222222"/>
          <w:shd w:val="clear" w:color="auto" w:fill="FFFFFF"/>
        </w:rPr>
      </w:pPr>
      <w:r w:rsidRPr="00274C17">
        <w:rPr>
          <w:rFonts w:ascii="Times New Roman" w:hAnsi="Times New Roman"/>
        </w:rPr>
        <w:t>Our fiscal and welfare estimates indicate that the net fiscal cost of the program is likely negative because the net present value of extra tax revenue generated by the program exceeds the cost.</w:t>
      </w:r>
      <w:r w:rsidR="00EB28EF" w:rsidRPr="00E46B1A">
        <w:rPr>
          <w:rStyle w:val="FootnoteReference"/>
          <w:rFonts w:ascii="Times New Roman" w:hAnsi="Times New Roman"/>
          <w:color w:val="222222"/>
        </w:rPr>
        <w:footnoteReference w:id="2"/>
      </w:r>
      <w:r w:rsidRPr="00274C17">
        <w:rPr>
          <w:rFonts w:ascii="Times New Roman" w:hAnsi="Times New Roman"/>
        </w:rPr>
        <w:t> </w:t>
      </w:r>
      <w:r w:rsidR="002931E8" w:rsidRPr="00274C17">
        <w:rPr>
          <w:rFonts w:ascii="Times New Roman" w:hAnsi="Times New Roman"/>
        </w:rPr>
        <w:t xml:space="preserve">This implies that </w:t>
      </w:r>
      <w:r w:rsidRPr="00274C17">
        <w:rPr>
          <w:rFonts w:ascii="Times New Roman" w:hAnsi="Times New Roman"/>
        </w:rPr>
        <w:t xml:space="preserve">taxpayers </w:t>
      </w:r>
      <w:r w:rsidR="002931E8" w:rsidRPr="00274C17">
        <w:rPr>
          <w:rFonts w:ascii="Times New Roman" w:hAnsi="Times New Roman"/>
        </w:rPr>
        <w:t xml:space="preserve">were made </w:t>
      </w:r>
      <w:r w:rsidRPr="00274C17">
        <w:rPr>
          <w:rFonts w:ascii="Times New Roman" w:hAnsi="Times New Roman"/>
        </w:rPr>
        <w:t>better off</w:t>
      </w:r>
      <w:r w:rsidR="002931E8" w:rsidRPr="00274C17">
        <w:rPr>
          <w:rFonts w:ascii="Times New Roman" w:hAnsi="Times New Roman"/>
        </w:rPr>
        <w:t xml:space="preserve"> by the program</w:t>
      </w:r>
      <w:r w:rsidRPr="00274C17">
        <w:rPr>
          <w:rFonts w:ascii="Times New Roman" w:hAnsi="Times New Roman"/>
        </w:rPr>
        <w:t xml:space="preserve"> </w:t>
      </w:r>
      <w:r w:rsidR="002931E8" w:rsidRPr="00274C17">
        <w:rPr>
          <w:rFonts w:ascii="Times New Roman" w:hAnsi="Times New Roman"/>
        </w:rPr>
        <w:t xml:space="preserve">since it </w:t>
      </w:r>
      <w:r w:rsidRPr="00274C17">
        <w:rPr>
          <w:rFonts w:ascii="Times New Roman" w:hAnsi="Times New Roman"/>
        </w:rPr>
        <w:t xml:space="preserve">more than paid for itself by increasing future tax revenue.  </w:t>
      </w:r>
      <w:r w:rsidR="002931E8" w:rsidRPr="00274C17">
        <w:rPr>
          <w:rFonts w:ascii="Times New Roman" w:hAnsi="Times New Roman"/>
        </w:rPr>
        <w:t xml:space="preserve">These effects are driven by applicants to vocational schools.  </w:t>
      </w:r>
      <w:r w:rsidRPr="00274C17">
        <w:rPr>
          <w:rFonts w:ascii="Times New Roman" w:hAnsi="Times New Roman"/>
        </w:rPr>
        <w:t>Although winners may have spent more on schooling or increased effort, it is possible to construct a lower bound on net benefits to lottery winners based on revealed preference</w:t>
      </w:r>
      <w:r w:rsidR="00DA14AD" w:rsidRPr="00274C17">
        <w:rPr>
          <w:rFonts w:ascii="Times New Roman" w:hAnsi="Times New Roman"/>
        </w:rPr>
        <w:t>,</w:t>
      </w:r>
      <w:r w:rsidRPr="00274C17">
        <w:rPr>
          <w:rFonts w:ascii="Times New Roman" w:hAnsi="Times New Roman"/>
        </w:rPr>
        <w:t xml:space="preserve"> since payments to intra-marginal applicants who would have gone to private school in any case constitute a pure transfer.</w:t>
      </w:r>
      <w:r w:rsidRPr="00E46B1A">
        <w:rPr>
          <w:rStyle w:val="FootnoteReference"/>
          <w:rFonts w:ascii="Times New Roman" w:hAnsi="Times New Roman"/>
          <w:color w:val="222222"/>
        </w:rPr>
        <w:t xml:space="preserve"> </w:t>
      </w:r>
      <w:r w:rsidR="006274D0" w:rsidRPr="00274C17">
        <w:rPr>
          <w:rFonts w:ascii="Times New Roman" w:hAnsi="Times New Roman"/>
        </w:rPr>
        <w:t xml:space="preserve"> </w:t>
      </w:r>
      <w:r w:rsidRPr="00E46B1A">
        <w:rPr>
          <w:rFonts w:ascii="Times New Roman" w:hAnsi="Times New Roman"/>
          <w:color w:val="222222"/>
        </w:rPr>
        <w:t>For the program to have been negative from a welfare point of view,</w:t>
      </w:r>
      <w:r w:rsidR="002C6A56" w:rsidRPr="00E46B1A">
        <w:rPr>
          <w:rFonts w:ascii="Times New Roman" w:hAnsi="Times New Roman"/>
          <w:color w:val="222222"/>
        </w:rPr>
        <w:t xml:space="preserve"> net</w:t>
      </w:r>
      <w:r w:rsidRPr="00E46B1A">
        <w:rPr>
          <w:rFonts w:ascii="Times New Roman" w:hAnsi="Times New Roman"/>
          <w:color w:val="222222"/>
        </w:rPr>
        <w:t xml:space="preserve"> externalities on non-participants would have</w:t>
      </w:r>
      <w:r w:rsidRPr="00166607">
        <w:rPr>
          <w:rFonts w:ascii="Times New Roman" w:hAnsi="Times New Roman"/>
          <w:color w:val="222222"/>
        </w:rPr>
        <w:t xml:space="preserve"> to be </w:t>
      </w:r>
      <w:r w:rsidRPr="00166607">
        <w:rPr>
          <w:rFonts w:ascii="Times New Roman" w:hAnsi="Times New Roman"/>
          <w:color w:val="222222"/>
        </w:rPr>
        <w:lastRenderedPageBreak/>
        <w:t>negative and greater than the sum of the fiscal benefits to taxpayers and the benefits to participants.</w:t>
      </w:r>
      <w:r w:rsidRPr="00166607">
        <w:rPr>
          <w:rStyle w:val="FootnoteReference"/>
          <w:rFonts w:ascii="Times New Roman" w:hAnsi="Times New Roman"/>
          <w:color w:val="222222"/>
        </w:rPr>
        <w:footnoteReference w:id="3"/>
      </w:r>
    </w:p>
    <w:p w14:paraId="599AA020" w14:textId="77777777" w:rsidR="00373DAE" w:rsidRPr="00373DAE" w:rsidRDefault="00E4602E" w:rsidP="00402892">
      <w:pPr>
        <w:pStyle w:val="ListParagraph"/>
        <w:autoSpaceDE w:val="0"/>
        <w:autoSpaceDN w:val="0"/>
        <w:adjustRightInd w:val="0"/>
        <w:spacing w:after="160" w:line="360" w:lineRule="auto"/>
        <w:ind w:left="0" w:firstLine="720"/>
        <w:jc w:val="both"/>
        <w:rPr>
          <w:rFonts w:ascii="Times New Roman" w:hAnsi="Times New Roman"/>
          <w:color w:val="222222"/>
        </w:rPr>
      </w:pPr>
      <w:r w:rsidRPr="008233C3">
        <w:rPr>
          <w:rFonts w:ascii="Times New Roman" w:hAnsi="Times New Roman"/>
          <w:color w:val="222222"/>
        </w:rPr>
        <w:t>Th</w:t>
      </w:r>
      <w:r w:rsidR="00BA20D4" w:rsidRPr="00166607">
        <w:rPr>
          <w:rFonts w:ascii="Times New Roman" w:hAnsi="Times New Roman"/>
          <w:color w:val="222222"/>
        </w:rPr>
        <w:t>e concentration of long-term effects among vocational school applicants</w:t>
      </w:r>
      <w:r w:rsidRPr="00166607">
        <w:rPr>
          <w:rFonts w:ascii="Times New Roman" w:hAnsi="Times New Roman"/>
          <w:color w:val="222222"/>
        </w:rPr>
        <w:t xml:space="preserve"> helps shed light on potential channels although it is difficult to make definitive statements. </w:t>
      </w:r>
      <w:r w:rsidR="003829D4" w:rsidRPr="00166607">
        <w:rPr>
          <w:rFonts w:ascii="Times New Roman" w:hAnsi="Times New Roman"/>
          <w:color w:val="222222"/>
        </w:rPr>
        <w:t xml:space="preserve">Scholarship impacts for tertiary education outcomes and formal earnings near age 30 are greater </w:t>
      </w:r>
      <w:r w:rsidR="00057578" w:rsidRPr="00166607">
        <w:rPr>
          <w:rFonts w:ascii="Times New Roman" w:hAnsi="Times New Roman"/>
          <w:color w:val="222222"/>
        </w:rPr>
        <w:t xml:space="preserve">for </w:t>
      </w:r>
      <w:r w:rsidR="003829D4" w:rsidRPr="00166607">
        <w:rPr>
          <w:rFonts w:ascii="Times New Roman" w:hAnsi="Times New Roman"/>
          <w:color w:val="222222"/>
        </w:rPr>
        <w:t xml:space="preserve">vocational school applicants than those on academic school applicants.  In this subpopulation winners attend schools with peers who are less desirable on observables, casting doubt on the notion that peer quality is the only mechanism driving observed scholarship effects. </w:t>
      </w:r>
      <w:r w:rsidR="002C6A56" w:rsidRPr="00166607">
        <w:rPr>
          <w:rFonts w:ascii="Times New Roman" w:hAnsi="Times New Roman"/>
          <w:color w:val="222222"/>
        </w:rPr>
        <w:t xml:space="preserve">One </w:t>
      </w:r>
      <w:r w:rsidR="002C6A56" w:rsidRPr="00373DAE">
        <w:rPr>
          <w:rFonts w:ascii="Times New Roman" w:hAnsi="Times New Roman"/>
          <w:color w:val="222222"/>
        </w:rPr>
        <w:t>plausible hypothesis is</w:t>
      </w:r>
      <w:r w:rsidR="003829D4" w:rsidRPr="00373DAE">
        <w:rPr>
          <w:rFonts w:ascii="Times New Roman" w:hAnsi="Times New Roman"/>
          <w:color w:val="222222"/>
        </w:rPr>
        <w:t xml:space="preserve"> that private vocational education </w:t>
      </w:r>
      <w:r w:rsidR="002C6A56" w:rsidRPr="00373DAE">
        <w:rPr>
          <w:rFonts w:ascii="Times New Roman" w:hAnsi="Times New Roman"/>
          <w:color w:val="222222"/>
        </w:rPr>
        <w:t xml:space="preserve">is more responsive to labor market and advanced training opportunities than is public education. </w:t>
      </w:r>
    </w:p>
    <w:p w14:paraId="25B091AB" w14:textId="7F6B62C7" w:rsidR="007C3D25" w:rsidRPr="00373DAE" w:rsidRDefault="00C91C62" w:rsidP="00402892">
      <w:pPr>
        <w:pStyle w:val="ListParagraph"/>
        <w:autoSpaceDE w:val="0"/>
        <w:autoSpaceDN w:val="0"/>
        <w:adjustRightInd w:val="0"/>
        <w:spacing w:after="160" w:line="360" w:lineRule="auto"/>
        <w:ind w:left="0" w:firstLine="720"/>
        <w:jc w:val="both"/>
        <w:rPr>
          <w:rFonts w:ascii="Times New Roman" w:eastAsia="Times New Roman" w:hAnsi="Times New Roman"/>
        </w:rPr>
      </w:pPr>
      <w:r w:rsidRPr="00373DAE">
        <w:rPr>
          <w:rFonts w:ascii="Times New Roman" w:hAnsi="Times New Roman"/>
        </w:rPr>
        <w:t>Our results should be interpreted as suggesting that, at least in the context of 1990s Bogotá, a suitably designed system of offering students from poor neighborhoods partial scholarships for private schools had a</w:t>
      </w:r>
      <w:r w:rsidR="00D92EAB" w:rsidRPr="00373DAE">
        <w:rPr>
          <w:rFonts w:ascii="Times New Roman" w:hAnsi="Times New Roman"/>
        </w:rPr>
        <w:t xml:space="preserve"> </w:t>
      </w:r>
      <w:r w:rsidR="001B5DEE" w:rsidRPr="00373DAE">
        <w:rPr>
          <w:rFonts w:ascii="Times New Roman" w:hAnsi="Times New Roman"/>
        </w:rPr>
        <w:t xml:space="preserve">low, and likely </w:t>
      </w:r>
      <w:r w:rsidR="00D92EAB" w:rsidRPr="00373DAE">
        <w:rPr>
          <w:rFonts w:ascii="Times New Roman" w:hAnsi="Times New Roman"/>
        </w:rPr>
        <w:t xml:space="preserve">negative </w:t>
      </w:r>
      <w:r w:rsidRPr="00373DAE">
        <w:rPr>
          <w:rFonts w:ascii="Times New Roman" w:hAnsi="Times New Roman"/>
        </w:rPr>
        <w:t>net fiscal cost. We take no stand on whether changes at the margin to make the program more generous and expansive —increasing the value of the scholarship, removing the conditionality on grade progression, or expanding eligibility further up the socio-economic ladder— would at the margin have passed a cost-benefit test.  Our data and identification strategy do not allow us to answer such questions</w:t>
      </w:r>
      <w:r w:rsidR="00651FD9" w:rsidRPr="00373DAE">
        <w:rPr>
          <w:rFonts w:ascii="Times New Roman" w:hAnsi="Times New Roman"/>
        </w:rPr>
        <w:t xml:space="preserve">. What is clear is that Colombia was able to implement a scholarship program to allow poor children to attend private </w:t>
      </w:r>
      <w:r w:rsidR="00043C3A" w:rsidRPr="00373DAE">
        <w:rPr>
          <w:rFonts w:ascii="Times New Roman" w:hAnsi="Times New Roman"/>
        </w:rPr>
        <w:t xml:space="preserve">secondary schools that made both program participants and taxpayers better off than they would have been in the absence of the program. </w:t>
      </w:r>
      <w:r w:rsidR="00651FD9" w:rsidRPr="00373DAE">
        <w:rPr>
          <w:rFonts w:ascii="Times New Roman" w:hAnsi="Times New Roman"/>
        </w:rPr>
        <w:t>I</w:t>
      </w:r>
      <w:r w:rsidRPr="00373DAE">
        <w:rPr>
          <w:rFonts w:ascii="Times New Roman" w:hAnsi="Times New Roman"/>
        </w:rPr>
        <w:t xml:space="preserve">dentifying the impact of the PACES scholarship program “as implemented” is </w:t>
      </w:r>
      <w:r w:rsidR="00043C3A" w:rsidRPr="00373DAE">
        <w:rPr>
          <w:rFonts w:ascii="Times New Roman" w:hAnsi="Times New Roman"/>
        </w:rPr>
        <w:t xml:space="preserve">also </w:t>
      </w:r>
      <w:r w:rsidRPr="00373DAE">
        <w:rPr>
          <w:rFonts w:ascii="Times New Roman" w:hAnsi="Times New Roman"/>
        </w:rPr>
        <w:t xml:space="preserve">of considerable interest given the program’s scale, </w:t>
      </w:r>
      <w:r w:rsidR="0008039A" w:rsidRPr="00373DAE">
        <w:rPr>
          <w:rFonts w:ascii="Times New Roman" w:hAnsi="Times New Roman"/>
        </w:rPr>
        <w:t xml:space="preserve">the fact that </w:t>
      </w:r>
      <w:r w:rsidRPr="00373DAE">
        <w:rPr>
          <w:rFonts w:ascii="Times New Roman" w:hAnsi="Times New Roman"/>
        </w:rPr>
        <w:t xml:space="preserve">its features </w:t>
      </w:r>
      <w:r w:rsidR="0008039A" w:rsidRPr="00373DAE">
        <w:rPr>
          <w:rFonts w:ascii="Times New Roman" w:hAnsi="Times New Roman"/>
        </w:rPr>
        <w:t xml:space="preserve">are </w:t>
      </w:r>
      <w:r w:rsidRPr="00373DAE">
        <w:rPr>
          <w:rFonts w:ascii="Times New Roman" w:hAnsi="Times New Roman"/>
        </w:rPr>
        <w:t>not uncommon among private school scholarship programs.</w:t>
      </w:r>
    </w:p>
    <w:p w14:paraId="4771970A" w14:textId="1A5B7696" w:rsidR="0029520A" w:rsidRDefault="00A61FC0" w:rsidP="00402892">
      <w:pPr>
        <w:spacing w:after="160" w:line="360" w:lineRule="auto"/>
        <w:ind w:firstLine="720"/>
        <w:contextualSpacing/>
        <w:jc w:val="both"/>
        <w:rPr>
          <w:rFonts w:ascii="Times New Roman" w:hAnsi="Times New Roman"/>
        </w:rPr>
      </w:pPr>
      <w:r w:rsidRPr="00373DAE">
        <w:rPr>
          <w:rFonts w:ascii="Times New Roman" w:hAnsi="Times New Roman"/>
        </w:rPr>
        <w:t xml:space="preserve">This paper </w:t>
      </w:r>
      <w:r w:rsidR="00F94BCB" w:rsidRPr="00373DAE">
        <w:rPr>
          <w:rFonts w:ascii="Times New Roman" w:hAnsi="Times New Roman"/>
        </w:rPr>
        <w:t>contribute</w:t>
      </w:r>
      <w:r w:rsidRPr="0029520A">
        <w:rPr>
          <w:rFonts w:ascii="Times New Roman" w:hAnsi="Times New Roman"/>
        </w:rPr>
        <w:t>s</w:t>
      </w:r>
      <w:r w:rsidR="00F94BCB" w:rsidRPr="0029520A">
        <w:rPr>
          <w:rFonts w:ascii="Times New Roman" w:hAnsi="Times New Roman"/>
        </w:rPr>
        <w:t xml:space="preserve"> to</w:t>
      </w:r>
      <w:r w:rsidRPr="0029520A">
        <w:rPr>
          <w:rFonts w:ascii="Times New Roman" w:hAnsi="Times New Roman"/>
        </w:rPr>
        <w:t xml:space="preserve"> </w:t>
      </w:r>
      <w:r w:rsidR="00802543" w:rsidRPr="0029520A">
        <w:rPr>
          <w:rFonts w:ascii="Times New Roman" w:hAnsi="Times New Roman"/>
        </w:rPr>
        <w:t>several</w:t>
      </w:r>
      <w:r w:rsidR="001B14B9" w:rsidRPr="0029520A">
        <w:rPr>
          <w:rFonts w:ascii="Times New Roman" w:hAnsi="Times New Roman"/>
        </w:rPr>
        <w:t xml:space="preserve"> strands of</w:t>
      </w:r>
      <w:r w:rsidR="00802543" w:rsidRPr="0029520A">
        <w:rPr>
          <w:rFonts w:ascii="Times New Roman" w:hAnsi="Times New Roman"/>
        </w:rPr>
        <w:t xml:space="preserve"> the</w:t>
      </w:r>
      <w:r w:rsidR="001B14B9" w:rsidRPr="0029520A">
        <w:rPr>
          <w:rFonts w:ascii="Times New Roman" w:hAnsi="Times New Roman"/>
        </w:rPr>
        <w:t xml:space="preserve"> literature</w:t>
      </w:r>
      <w:r w:rsidR="00E71FCD" w:rsidRPr="0029520A">
        <w:rPr>
          <w:rFonts w:ascii="Times New Roman" w:hAnsi="Times New Roman"/>
        </w:rPr>
        <w:t xml:space="preserve"> including research on the impacts of private-school voucher programs,</w:t>
      </w:r>
      <w:r w:rsidR="00E71FCD" w:rsidRPr="00373DAE">
        <w:rPr>
          <w:rStyle w:val="FootnoteReference"/>
          <w:rFonts w:ascii="Times New Roman" w:hAnsi="Times New Roman"/>
        </w:rPr>
        <w:footnoteReference w:id="4"/>
      </w:r>
      <w:r w:rsidR="00E71FCD" w:rsidRPr="00373DAE">
        <w:rPr>
          <w:rFonts w:ascii="Times New Roman" w:hAnsi="Times New Roman"/>
          <w:color w:val="222222"/>
        </w:rPr>
        <w:t xml:space="preserve"> </w:t>
      </w:r>
      <w:r w:rsidR="00E71FCD" w:rsidRPr="00373DAE">
        <w:rPr>
          <w:rFonts w:ascii="Times New Roman" w:hAnsi="Times New Roman"/>
        </w:rPr>
        <w:t>the long-term</w:t>
      </w:r>
      <w:r w:rsidR="007C3D25" w:rsidRPr="0029520A">
        <w:rPr>
          <w:rFonts w:ascii="Times New Roman" w:hAnsi="Times New Roman"/>
        </w:rPr>
        <w:t xml:space="preserve"> consequences </w:t>
      </w:r>
      <w:r w:rsidR="00E71FCD" w:rsidRPr="0029520A">
        <w:rPr>
          <w:rFonts w:ascii="Times New Roman" w:hAnsi="Times New Roman"/>
        </w:rPr>
        <w:t xml:space="preserve">of </w:t>
      </w:r>
      <w:r w:rsidR="001B14B9" w:rsidRPr="0029520A">
        <w:rPr>
          <w:rFonts w:ascii="Times New Roman" w:hAnsi="Times New Roman"/>
        </w:rPr>
        <w:t xml:space="preserve">educational </w:t>
      </w:r>
      <w:r w:rsidR="001B14B9" w:rsidRPr="0029520A">
        <w:rPr>
          <w:rFonts w:ascii="Times New Roman" w:hAnsi="Times New Roman"/>
        </w:rPr>
        <w:lastRenderedPageBreak/>
        <w:t>interventions</w:t>
      </w:r>
      <w:r w:rsidR="007C3D25" w:rsidRPr="0029520A">
        <w:rPr>
          <w:rFonts w:ascii="Times New Roman" w:hAnsi="Times New Roman"/>
        </w:rPr>
        <w:t>,</w:t>
      </w:r>
      <w:r w:rsidR="00F172C8" w:rsidRPr="00373DAE">
        <w:rPr>
          <w:rStyle w:val="FootnoteReference"/>
          <w:rFonts w:ascii="Times New Roman" w:hAnsi="Times New Roman"/>
        </w:rPr>
        <w:footnoteReference w:id="5"/>
      </w:r>
      <w:r w:rsidR="007C3D25" w:rsidRPr="00373DAE">
        <w:rPr>
          <w:rFonts w:ascii="Times New Roman" w:hAnsi="Times New Roman"/>
        </w:rPr>
        <w:t xml:space="preserve"> the economic returns</w:t>
      </w:r>
      <w:r w:rsidR="007C3D25" w:rsidRPr="008233C3">
        <w:rPr>
          <w:rFonts w:ascii="Times New Roman" w:hAnsi="Times New Roman"/>
        </w:rPr>
        <w:t xml:space="preserve"> to interventions that target socially disadvantaged children,</w:t>
      </w:r>
      <w:r w:rsidR="007C3D25" w:rsidRPr="00166607">
        <w:rPr>
          <w:rStyle w:val="FootnoteReference"/>
          <w:rFonts w:ascii="Times New Roman" w:hAnsi="Times New Roman"/>
        </w:rPr>
        <w:footnoteReference w:id="6"/>
      </w:r>
      <w:r w:rsidR="007C3D25" w:rsidRPr="00166607">
        <w:rPr>
          <w:rFonts w:ascii="Times New Roman" w:hAnsi="Times New Roman"/>
        </w:rPr>
        <w:t xml:space="preserve"> the effects of education on fertility</w:t>
      </w:r>
      <w:r w:rsidR="007F0106" w:rsidRPr="008233C3">
        <w:rPr>
          <w:rFonts w:ascii="Times New Roman" w:hAnsi="Times New Roman"/>
        </w:rPr>
        <w:t>,</w:t>
      </w:r>
      <w:r w:rsidR="007C3D25" w:rsidRPr="00166607">
        <w:rPr>
          <w:rStyle w:val="FootnoteReference"/>
          <w:rFonts w:ascii="Times New Roman" w:hAnsi="Times New Roman"/>
        </w:rPr>
        <w:footnoteReference w:id="7"/>
      </w:r>
      <w:r w:rsidR="00900008" w:rsidRPr="00166607">
        <w:rPr>
          <w:rFonts w:ascii="Times New Roman" w:hAnsi="Times New Roman"/>
        </w:rPr>
        <w:t xml:space="preserve"> </w:t>
      </w:r>
      <w:r w:rsidR="007C3D25" w:rsidRPr="008233C3">
        <w:rPr>
          <w:rFonts w:ascii="Times New Roman" w:hAnsi="Times New Roman"/>
        </w:rPr>
        <w:t xml:space="preserve">and </w:t>
      </w:r>
      <w:r w:rsidR="00900008" w:rsidRPr="00166607">
        <w:rPr>
          <w:rFonts w:ascii="Times New Roman" w:hAnsi="Times New Roman"/>
        </w:rPr>
        <w:t>recent developments in public finance employ</w:t>
      </w:r>
      <w:r w:rsidR="007C3D25" w:rsidRPr="00166607">
        <w:rPr>
          <w:rFonts w:ascii="Times New Roman" w:hAnsi="Times New Roman"/>
        </w:rPr>
        <w:t>ing</w:t>
      </w:r>
      <w:r w:rsidR="00900008" w:rsidRPr="00166607">
        <w:rPr>
          <w:rFonts w:ascii="Times New Roman" w:hAnsi="Times New Roman"/>
        </w:rPr>
        <w:t xml:space="preserve"> reduced form causal estimates of labor-market behavioral responses to policy to measure welfare changes</w:t>
      </w:r>
      <w:r w:rsidR="007C3D25" w:rsidRPr="00166607">
        <w:rPr>
          <w:rFonts w:ascii="Times New Roman" w:hAnsi="Times New Roman"/>
        </w:rPr>
        <w:t>.</w:t>
      </w:r>
      <w:r w:rsidR="007C3D25" w:rsidRPr="00166607">
        <w:rPr>
          <w:rStyle w:val="FootnoteReference"/>
          <w:rFonts w:ascii="Times New Roman" w:hAnsi="Times New Roman"/>
        </w:rPr>
        <w:footnoteReference w:id="8"/>
      </w:r>
      <w:r w:rsidR="0029520A">
        <w:rPr>
          <w:rFonts w:ascii="Times New Roman" w:hAnsi="Times New Roman"/>
        </w:rPr>
        <w:t xml:space="preserve"> </w:t>
      </w:r>
    </w:p>
    <w:p w14:paraId="331C05C0" w14:textId="69EADDE3" w:rsidR="00B6312F" w:rsidRPr="00166607" w:rsidRDefault="009D4C6B" w:rsidP="00402892">
      <w:pPr>
        <w:spacing w:after="160" w:line="360" w:lineRule="auto"/>
        <w:ind w:firstLine="720"/>
        <w:contextualSpacing/>
        <w:jc w:val="both"/>
        <w:rPr>
          <w:rFonts w:ascii="Times New Roman" w:hAnsi="Times New Roman"/>
        </w:rPr>
      </w:pPr>
      <w:r w:rsidRPr="008233C3">
        <w:rPr>
          <w:rFonts w:ascii="Times New Roman" w:hAnsi="Times New Roman"/>
        </w:rPr>
        <w:t>The remain</w:t>
      </w:r>
      <w:r w:rsidR="00684F66" w:rsidRPr="00166607">
        <w:rPr>
          <w:rFonts w:ascii="Times New Roman" w:hAnsi="Times New Roman"/>
        </w:rPr>
        <w:t>der</w:t>
      </w:r>
      <w:r w:rsidRPr="00166607">
        <w:rPr>
          <w:rFonts w:ascii="Times New Roman" w:hAnsi="Times New Roman"/>
        </w:rPr>
        <w:t xml:space="preserve"> of the paper is organized as follows.  </w:t>
      </w:r>
      <w:r w:rsidR="00F866B0" w:rsidRPr="00166607">
        <w:rPr>
          <w:rFonts w:ascii="Times New Roman" w:hAnsi="Times New Roman"/>
        </w:rPr>
        <w:t>S</w:t>
      </w:r>
      <w:r w:rsidRPr="00166607">
        <w:rPr>
          <w:rFonts w:ascii="Times New Roman" w:hAnsi="Times New Roman"/>
        </w:rPr>
        <w:t>ection 2 provide</w:t>
      </w:r>
      <w:r w:rsidR="00F866B0" w:rsidRPr="00166607">
        <w:rPr>
          <w:rFonts w:ascii="Times New Roman" w:hAnsi="Times New Roman"/>
        </w:rPr>
        <w:t>s</w:t>
      </w:r>
      <w:r w:rsidRPr="00166607">
        <w:rPr>
          <w:rFonts w:ascii="Times New Roman" w:hAnsi="Times New Roman"/>
        </w:rPr>
        <w:t xml:space="preserve"> relevant background </w:t>
      </w:r>
      <w:r w:rsidR="00F866B0" w:rsidRPr="00166607">
        <w:rPr>
          <w:rFonts w:ascii="Times New Roman" w:hAnsi="Times New Roman"/>
        </w:rPr>
        <w:t>information</w:t>
      </w:r>
      <w:r w:rsidRPr="00166607">
        <w:rPr>
          <w:rFonts w:ascii="Times New Roman" w:hAnsi="Times New Roman"/>
        </w:rPr>
        <w:t xml:space="preserve">.  </w:t>
      </w:r>
      <w:r w:rsidR="002C6AE0" w:rsidRPr="00166607">
        <w:rPr>
          <w:rFonts w:ascii="Times New Roman" w:hAnsi="Times New Roman"/>
        </w:rPr>
        <w:t>S</w:t>
      </w:r>
      <w:r w:rsidRPr="00166607">
        <w:rPr>
          <w:rFonts w:ascii="Times New Roman" w:hAnsi="Times New Roman"/>
        </w:rPr>
        <w:t>ection 3 describe</w:t>
      </w:r>
      <w:r w:rsidR="002C6AE0" w:rsidRPr="00166607">
        <w:rPr>
          <w:rFonts w:ascii="Times New Roman" w:hAnsi="Times New Roman"/>
        </w:rPr>
        <w:t>s</w:t>
      </w:r>
      <w:r w:rsidRPr="00166607">
        <w:rPr>
          <w:rFonts w:ascii="Times New Roman" w:hAnsi="Times New Roman"/>
        </w:rPr>
        <w:t xml:space="preserve"> </w:t>
      </w:r>
      <w:r w:rsidR="002C6AE0" w:rsidRPr="00166607">
        <w:rPr>
          <w:rFonts w:ascii="Times New Roman" w:hAnsi="Times New Roman"/>
        </w:rPr>
        <w:t xml:space="preserve">the </w:t>
      </w:r>
      <w:r w:rsidRPr="00166607">
        <w:rPr>
          <w:rFonts w:ascii="Times New Roman" w:hAnsi="Times New Roman"/>
        </w:rPr>
        <w:t xml:space="preserve">sources of administrative data and the empirical strategy for analyzing </w:t>
      </w:r>
      <w:r w:rsidR="00684F66" w:rsidRPr="00166607">
        <w:rPr>
          <w:rFonts w:ascii="Times New Roman" w:hAnsi="Times New Roman"/>
        </w:rPr>
        <w:t>long-run</w:t>
      </w:r>
      <w:r w:rsidRPr="00166607">
        <w:rPr>
          <w:rFonts w:ascii="Times New Roman" w:hAnsi="Times New Roman"/>
        </w:rPr>
        <w:t xml:space="preserve"> outcomes.  </w:t>
      </w:r>
      <w:r w:rsidR="002C6AE0" w:rsidRPr="00166607">
        <w:rPr>
          <w:rFonts w:ascii="Times New Roman" w:hAnsi="Times New Roman"/>
        </w:rPr>
        <w:t>S</w:t>
      </w:r>
      <w:r w:rsidRPr="00166607">
        <w:rPr>
          <w:rFonts w:ascii="Times New Roman" w:hAnsi="Times New Roman"/>
        </w:rPr>
        <w:t xml:space="preserve">ections 4 and 5 </w:t>
      </w:r>
      <w:r w:rsidR="002C6AE0" w:rsidRPr="00166607">
        <w:rPr>
          <w:rFonts w:ascii="Times New Roman" w:hAnsi="Times New Roman"/>
        </w:rPr>
        <w:t xml:space="preserve">discuss </w:t>
      </w:r>
      <w:r w:rsidR="00684F66" w:rsidRPr="00166607">
        <w:rPr>
          <w:rFonts w:ascii="Times New Roman" w:hAnsi="Times New Roman"/>
        </w:rPr>
        <w:t>long-run</w:t>
      </w:r>
      <w:r w:rsidRPr="00166607">
        <w:rPr>
          <w:rFonts w:ascii="Times New Roman" w:hAnsi="Times New Roman"/>
        </w:rPr>
        <w:t xml:space="preserve"> educational and </w:t>
      </w:r>
      <w:r w:rsidR="005F4DE4" w:rsidRPr="00166607">
        <w:rPr>
          <w:rFonts w:ascii="Times New Roman" w:hAnsi="Times New Roman"/>
        </w:rPr>
        <w:t>labor market outcomes</w:t>
      </w:r>
      <w:r w:rsidRPr="00166607">
        <w:rPr>
          <w:rFonts w:ascii="Times New Roman" w:hAnsi="Times New Roman"/>
        </w:rPr>
        <w:t>.</w:t>
      </w:r>
      <w:r w:rsidR="00FA3425" w:rsidRPr="00166607">
        <w:rPr>
          <w:rFonts w:ascii="Times New Roman" w:hAnsi="Times New Roman"/>
        </w:rPr>
        <w:t xml:space="preserve"> </w:t>
      </w:r>
      <w:r w:rsidR="0058434F" w:rsidRPr="00166607">
        <w:rPr>
          <w:rFonts w:ascii="Times New Roman" w:hAnsi="Times New Roman"/>
        </w:rPr>
        <w:t>S</w:t>
      </w:r>
      <w:r w:rsidR="00FA3425" w:rsidRPr="00166607">
        <w:rPr>
          <w:rFonts w:ascii="Times New Roman" w:hAnsi="Times New Roman"/>
        </w:rPr>
        <w:t xml:space="preserve">ection </w:t>
      </w:r>
      <w:r w:rsidR="00FA183F" w:rsidRPr="00166607">
        <w:rPr>
          <w:rFonts w:ascii="Times New Roman" w:hAnsi="Times New Roman"/>
        </w:rPr>
        <w:t>6</w:t>
      </w:r>
      <w:r w:rsidR="00FA3425" w:rsidRPr="00166607">
        <w:rPr>
          <w:rFonts w:ascii="Times New Roman" w:hAnsi="Times New Roman"/>
        </w:rPr>
        <w:t xml:space="preserve"> </w:t>
      </w:r>
      <w:r w:rsidR="0058434F" w:rsidRPr="00166607">
        <w:rPr>
          <w:rFonts w:ascii="Times New Roman" w:hAnsi="Times New Roman"/>
        </w:rPr>
        <w:t xml:space="preserve">discusses </w:t>
      </w:r>
      <w:r w:rsidR="00406BC6" w:rsidRPr="00166607">
        <w:rPr>
          <w:rFonts w:ascii="Times New Roman" w:hAnsi="Times New Roman"/>
        </w:rPr>
        <w:t>fertility</w:t>
      </w:r>
      <w:r w:rsidR="00FA3425" w:rsidRPr="00166607">
        <w:rPr>
          <w:rFonts w:ascii="Times New Roman" w:hAnsi="Times New Roman"/>
        </w:rPr>
        <w:t xml:space="preserve">. </w:t>
      </w:r>
      <w:r w:rsidR="00401A93" w:rsidRPr="00166607">
        <w:rPr>
          <w:rFonts w:ascii="Times New Roman" w:hAnsi="Times New Roman"/>
        </w:rPr>
        <w:t>S</w:t>
      </w:r>
      <w:r w:rsidR="00FA3425" w:rsidRPr="00166607">
        <w:rPr>
          <w:rFonts w:ascii="Times New Roman" w:hAnsi="Times New Roman"/>
        </w:rPr>
        <w:t xml:space="preserve">ection </w:t>
      </w:r>
      <w:r w:rsidR="00FA183F" w:rsidRPr="00166607">
        <w:rPr>
          <w:rFonts w:ascii="Times New Roman" w:hAnsi="Times New Roman"/>
        </w:rPr>
        <w:t>7</w:t>
      </w:r>
      <w:r w:rsidR="00A2540C" w:rsidRPr="00166607">
        <w:rPr>
          <w:rFonts w:ascii="Times New Roman" w:hAnsi="Times New Roman"/>
        </w:rPr>
        <w:t xml:space="preserve"> present</w:t>
      </w:r>
      <w:r w:rsidR="00401A93" w:rsidRPr="00166607">
        <w:rPr>
          <w:rFonts w:ascii="Times New Roman" w:hAnsi="Times New Roman"/>
        </w:rPr>
        <w:t>s</w:t>
      </w:r>
      <w:r w:rsidR="00FA3425" w:rsidRPr="00166607">
        <w:rPr>
          <w:rFonts w:ascii="Times New Roman" w:hAnsi="Times New Roman"/>
        </w:rPr>
        <w:t xml:space="preserve"> fiscal impacts.  Section </w:t>
      </w:r>
      <w:r w:rsidR="00DE6A02" w:rsidRPr="00166607">
        <w:rPr>
          <w:rFonts w:ascii="Times New Roman" w:hAnsi="Times New Roman"/>
        </w:rPr>
        <w:t>8</w:t>
      </w:r>
      <w:r w:rsidR="000427E4" w:rsidRPr="00166607">
        <w:rPr>
          <w:rFonts w:ascii="Times New Roman" w:hAnsi="Times New Roman"/>
        </w:rPr>
        <w:t xml:space="preserve"> </w:t>
      </w:r>
      <w:r w:rsidRPr="00166607">
        <w:rPr>
          <w:rFonts w:ascii="Times New Roman" w:hAnsi="Times New Roman"/>
        </w:rPr>
        <w:t>concludes.</w:t>
      </w:r>
    </w:p>
    <w:p w14:paraId="1169663F" w14:textId="45704B4F" w:rsidR="00C25978" w:rsidRPr="00166607" w:rsidRDefault="006834F7" w:rsidP="00402892">
      <w:pPr>
        <w:pStyle w:val="ListParagraph"/>
        <w:numPr>
          <w:ilvl w:val="0"/>
          <w:numId w:val="3"/>
        </w:numPr>
        <w:spacing w:after="160" w:line="360" w:lineRule="auto"/>
        <w:ind w:left="720" w:hanging="720"/>
        <w:outlineLvl w:val="0"/>
        <w:rPr>
          <w:rFonts w:ascii="Times New Roman" w:hAnsi="Times New Roman"/>
          <w:b/>
          <w:sz w:val="28"/>
          <w:szCs w:val="28"/>
        </w:rPr>
      </w:pPr>
      <w:r w:rsidRPr="00166607">
        <w:rPr>
          <w:rFonts w:ascii="Times New Roman" w:hAnsi="Times New Roman"/>
          <w:b/>
          <w:sz w:val="28"/>
          <w:szCs w:val="28"/>
        </w:rPr>
        <w:t xml:space="preserve">Background </w:t>
      </w:r>
    </w:p>
    <w:p w14:paraId="72FEF8D9" w14:textId="6E29DB3E" w:rsidR="00894EAB" w:rsidRPr="00166607" w:rsidRDefault="00894EAB" w:rsidP="00402892">
      <w:pPr>
        <w:pStyle w:val="ListParagraph"/>
        <w:spacing w:after="160" w:line="360" w:lineRule="auto"/>
        <w:ind w:left="0" w:firstLine="720"/>
        <w:jc w:val="both"/>
        <w:rPr>
          <w:rFonts w:ascii="Times New Roman" w:hAnsi="Times New Roman"/>
        </w:rPr>
      </w:pPr>
      <w:r w:rsidRPr="00166607">
        <w:rPr>
          <w:rFonts w:ascii="Times New Roman" w:hAnsi="Times New Roman"/>
        </w:rPr>
        <w:t>In this section, we provide background on Colombia’s educational context, the structure of the PACES scholarship program, and prior evidence on short</w:t>
      </w:r>
      <w:r w:rsidR="0056164A" w:rsidRPr="00166607">
        <w:rPr>
          <w:rFonts w:ascii="Times New Roman" w:hAnsi="Times New Roman"/>
        </w:rPr>
        <w:t>-</w:t>
      </w:r>
      <w:r w:rsidRPr="00166607">
        <w:rPr>
          <w:rFonts w:ascii="Times New Roman" w:hAnsi="Times New Roman"/>
        </w:rPr>
        <w:t>term scholarship impacts and mediating channels.</w:t>
      </w:r>
    </w:p>
    <w:p w14:paraId="0CA816EB" w14:textId="1337B202" w:rsidR="002F15B9" w:rsidRPr="00166607" w:rsidRDefault="002F15B9" w:rsidP="00402892">
      <w:pPr>
        <w:pStyle w:val="ListParagraph"/>
        <w:keepNext/>
        <w:spacing w:after="160" w:line="360" w:lineRule="auto"/>
        <w:ind w:left="0"/>
        <w:rPr>
          <w:rFonts w:ascii="Times New Roman" w:hAnsi="Times New Roman"/>
          <w:b/>
          <w:i/>
        </w:rPr>
      </w:pPr>
      <w:r w:rsidRPr="00166607">
        <w:rPr>
          <w:rFonts w:ascii="Times New Roman" w:hAnsi="Times New Roman"/>
          <w:b/>
          <w:i/>
        </w:rPr>
        <w:t>2.1 Colombia</w:t>
      </w:r>
      <w:r w:rsidR="005B45F0" w:rsidRPr="00166607">
        <w:rPr>
          <w:rFonts w:ascii="Times New Roman" w:hAnsi="Times New Roman"/>
          <w:b/>
          <w:i/>
        </w:rPr>
        <w:t>’s</w:t>
      </w:r>
      <w:r w:rsidR="00AD39B0" w:rsidRPr="00166607">
        <w:rPr>
          <w:rFonts w:ascii="Times New Roman" w:hAnsi="Times New Roman"/>
          <w:b/>
          <w:i/>
        </w:rPr>
        <w:t xml:space="preserve"> </w:t>
      </w:r>
      <w:r w:rsidR="00E265B3">
        <w:rPr>
          <w:rFonts w:ascii="Times New Roman" w:hAnsi="Times New Roman"/>
          <w:b/>
          <w:i/>
        </w:rPr>
        <w:t>e</w:t>
      </w:r>
      <w:r w:rsidR="005B45F0" w:rsidRPr="00166607">
        <w:rPr>
          <w:rFonts w:ascii="Times New Roman" w:hAnsi="Times New Roman"/>
          <w:b/>
          <w:i/>
        </w:rPr>
        <w:t xml:space="preserve">ducational </w:t>
      </w:r>
      <w:r w:rsidR="00E265B3">
        <w:rPr>
          <w:rFonts w:ascii="Times New Roman" w:hAnsi="Times New Roman"/>
          <w:b/>
          <w:i/>
        </w:rPr>
        <w:t>c</w:t>
      </w:r>
      <w:r w:rsidR="005B45F0" w:rsidRPr="00166607">
        <w:rPr>
          <w:rFonts w:ascii="Times New Roman" w:hAnsi="Times New Roman"/>
          <w:b/>
          <w:i/>
        </w:rPr>
        <w:t>ontext</w:t>
      </w:r>
    </w:p>
    <w:p w14:paraId="3D97D306" w14:textId="1D47C76F" w:rsidR="009A5F49" w:rsidRPr="009A5F49" w:rsidRDefault="00486F22" w:rsidP="00402892">
      <w:pPr>
        <w:spacing w:after="160" w:line="360" w:lineRule="auto"/>
        <w:ind w:firstLine="720"/>
        <w:contextualSpacing/>
        <w:jc w:val="both"/>
        <w:rPr>
          <w:rFonts w:ascii="Times New Roman" w:hAnsi="Times New Roman"/>
        </w:rPr>
      </w:pPr>
      <w:r w:rsidRPr="00166607">
        <w:rPr>
          <w:rFonts w:ascii="Times New Roman" w:hAnsi="Times New Roman"/>
        </w:rPr>
        <w:t xml:space="preserve">The Colombian education system </w:t>
      </w:r>
      <w:r w:rsidR="00C25978" w:rsidRPr="00166607">
        <w:rPr>
          <w:rFonts w:ascii="Times New Roman" w:hAnsi="Times New Roman"/>
        </w:rPr>
        <w:t xml:space="preserve">comprises </w:t>
      </w:r>
      <w:r w:rsidR="009B5F04" w:rsidRPr="00166607">
        <w:rPr>
          <w:rFonts w:ascii="Times New Roman" w:hAnsi="Times New Roman"/>
        </w:rPr>
        <w:t>three</w:t>
      </w:r>
      <w:r w:rsidR="00C25978" w:rsidRPr="00166607">
        <w:rPr>
          <w:rFonts w:ascii="Times New Roman" w:hAnsi="Times New Roman"/>
        </w:rPr>
        <w:t xml:space="preserve"> levels</w:t>
      </w:r>
      <w:r w:rsidRPr="00166607">
        <w:rPr>
          <w:rFonts w:ascii="Times New Roman" w:hAnsi="Times New Roman"/>
        </w:rPr>
        <w:t xml:space="preserve">: elementary school (grades 1-5), </w:t>
      </w:r>
      <w:r w:rsidR="00314E83" w:rsidRPr="00166607">
        <w:rPr>
          <w:rFonts w:ascii="Times New Roman" w:hAnsi="Times New Roman"/>
        </w:rPr>
        <w:t>secondary (grades 6-11</w:t>
      </w:r>
      <w:r w:rsidRPr="00166607">
        <w:rPr>
          <w:rFonts w:ascii="Times New Roman" w:hAnsi="Times New Roman"/>
        </w:rPr>
        <w:t xml:space="preserve">) and tertiary education.  Children typically begin elementary school at </w:t>
      </w:r>
      <w:r w:rsidRPr="009A5F49">
        <w:rPr>
          <w:rFonts w:ascii="Times New Roman" w:hAnsi="Times New Roman"/>
        </w:rPr>
        <w:t>age 6 or 7 and transition into secondary at around age 12 or 13.  Students are legally required to attend school through grade 9 even though the entire secondary school cycle includes two additional grades.  Students who complete secondary school on time typically do so by age 18.</w:t>
      </w:r>
    </w:p>
    <w:p w14:paraId="009A8F79" w14:textId="1656216A" w:rsidR="009A5F49" w:rsidRPr="009A5F49" w:rsidRDefault="003D177F" w:rsidP="00402892">
      <w:pPr>
        <w:spacing w:after="160" w:line="360" w:lineRule="auto"/>
        <w:ind w:firstLine="720"/>
        <w:contextualSpacing/>
        <w:jc w:val="both"/>
        <w:rPr>
          <w:rFonts w:ascii="Times New Roman" w:hAnsi="Times New Roman"/>
        </w:rPr>
      </w:pPr>
      <w:r w:rsidRPr="009A5F49">
        <w:rPr>
          <w:rFonts w:ascii="Times New Roman" w:hAnsi="Times New Roman"/>
        </w:rPr>
        <w:lastRenderedPageBreak/>
        <w:t>Students attending grade 11 of secondary school are compelled by law to take the ICFES exam</w:t>
      </w:r>
      <w:r w:rsidR="00490245" w:rsidRPr="009A5F49">
        <w:rPr>
          <w:rFonts w:ascii="Times New Roman" w:hAnsi="Times New Roman"/>
        </w:rPr>
        <w:t>,</w:t>
      </w:r>
      <w:r w:rsidRPr="009A5F49">
        <w:rPr>
          <w:rFonts w:ascii="Times New Roman" w:hAnsi="Times New Roman"/>
        </w:rPr>
        <w:t xml:space="preserve"> and </w:t>
      </w:r>
      <w:r w:rsidR="00717C9F" w:rsidRPr="009A5F49">
        <w:rPr>
          <w:rFonts w:ascii="Times New Roman" w:hAnsi="Times New Roman"/>
        </w:rPr>
        <w:t>ICFES</w:t>
      </w:r>
      <w:r w:rsidR="00490245" w:rsidRPr="009A5F49">
        <w:rPr>
          <w:rFonts w:ascii="Times New Roman" w:hAnsi="Times New Roman"/>
        </w:rPr>
        <w:t xml:space="preserve"> </w:t>
      </w:r>
      <w:r w:rsidR="00717C9F" w:rsidRPr="009A5F49">
        <w:rPr>
          <w:rFonts w:ascii="Times New Roman" w:hAnsi="Times New Roman"/>
        </w:rPr>
        <w:t>scores</w:t>
      </w:r>
      <w:r w:rsidRPr="009A5F49">
        <w:rPr>
          <w:rFonts w:ascii="Times New Roman" w:hAnsi="Times New Roman"/>
        </w:rPr>
        <w:t xml:space="preserve"> are </w:t>
      </w:r>
      <w:r w:rsidR="00717C9F" w:rsidRPr="009A5F49">
        <w:rPr>
          <w:rFonts w:ascii="Times New Roman" w:hAnsi="Times New Roman"/>
        </w:rPr>
        <w:t>the primary</w:t>
      </w:r>
      <w:r w:rsidRPr="009A5F49">
        <w:rPr>
          <w:rFonts w:ascii="Times New Roman" w:hAnsi="Times New Roman"/>
        </w:rPr>
        <w:t xml:space="preserve"> admission</w:t>
      </w:r>
      <w:r w:rsidR="00872A21" w:rsidRPr="009A5F49">
        <w:rPr>
          <w:rFonts w:ascii="Times New Roman" w:hAnsi="Times New Roman"/>
        </w:rPr>
        <w:t xml:space="preserve"> criteria in </w:t>
      </w:r>
      <w:r w:rsidRPr="009A5F49">
        <w:rPr>
          <w:rFonts w:ascii="Times New Roman" w:hAnsi="Times New Roman"/>
        </w:rPr>
        <w:t xml:space="preserve">Colombia’s tertiary education institutions.  </w:t>
      </w:r>
      <w:r w:rsidR="00490245" w:rsidRPr="009A5F49">
        <w:rPr>
          <w:rFonts w:ascii="Times New Roman" w:hAnsi="Times New Roman"/>
        </w:rPr>
        <w:t>Since</w:t>
      </w:r>
      <w:r w:rsidR="00872A21" w:rsidRPr="009A5F49">
        <w:rPr>
          <w:rFonts w:ascii="Times New Roman" w:hAnsi="Times New Roman"/>
        </w:rPr>
        <w:t xml:space="preserve"> over</w:t>
      </w:r>
      <w:r w:rsidRPr="009A5F49">
        <w:rPr>
          <w:rFonts w:ascii="Times New Roman" w:hAnsi="Times New Roman"/>
        </w:rPr>
        <w:t xml:space="preserve"> 95 percent of students take the test (ICFES 2013)</w:t>
      </w:r>
      <w:r w:rsidR="006D60FA" w:rsidRPr="009A5F49">
        <w:rPr>
          <w:rFonts w:ascii="Times New Roman" w:hAnsi="Times New Roman"/>
        </w:rPr>
        <w:t xml:space="preserve">, we </w:t>
      </w:r>
      <w:r w:rsidRPr="009A5F49">
        <w:rPr>
          <w:rFonts w:ascii="Times New Roman" w:hAnsi="Times New Roman"/>
        </w:rPr>
        <w:t>interpret taking the</w:t>
      </w:r>
      <w:r w:rsidR="006D60FA" w:rsidRPr="009A5F49">
        <w:rPr>
          <w:rFonts w:ascii="Times New Roman" w:hAnsi="Times New Roman"/>
        </w:rPr>
        <w:t xml:space="preserve"> ICFES exam </w:t>
      </w:r>
      <w:r w:rsidRPr="009A5F49">
        <w:rPr>
          <w:rFonts w:ascii="Times New Roman" w:hAnsi="Times New Roman"/>
        </w:rPr>
        <w:t>as a proxy for secondary school completion.</w:t>
      </w:r>
    </w:p>
    <w:p w14:paraId="23D0BF69" w14:textId="134A2B4D" w:rsidR="003D177F" w:rsidRPr="00166607" w:rsidRDefault="003D177F" w:rsidP="00402892">
      <w:pPr>
        <w:spacing w:after="160" w:line="360" w:lineRule="auto"/>
        <w:ind w:firstLine="720"/>
        <w:contextualSpacing/>
        <w:jc w:val="both"/>
        <w:rPr>
          <w:rFonts w:ascii="Times New Roman" w:hAnsi="Times New Roman"/>
        </w:rPr>
      </w:pPr>
      <w:r w:rsidRPr="009A5F49">
        <w:rPr>
          <w:rFonts w:ascii="Times New Roman" w:hAnsi="Times New Roman"/>
        </w:rPr>
        <w:t>Students</w:t>
      </w:r>
      <w:r w:rsidRPr="00166607">
        <w:rPr>
          <w:rFonts w:ascii="Times New Roman" w:hAnsi="Times New Roman"/>
        </w:rPr>
        <w:t xml:space="preserve"> who wish to continue on to tertiary education can enroll in either vocational colleges or universities.  In 2012, the gross tertiary enrollment rate for Colombia was 45 percent (World Development Indicators 2014).  Vocational programs typically last two or three years depending on whether they have a technical or technological focus. University programs —more prestigious, expensive and selective— last typically four or five years.  Seventy</w:t>
      </w:r>
      <w:r w:rsidR="004431EE" w:rsidRPr="00166607">
        <w:rPr>
          <w:rFonts w:ascii="Times New Roman" w:hAnsi="Times New Roman"/>
        </w:rPr>
        <w:t>-</w:t>
      </w:r>
      <w:r w:rsidRPr="00166607">
        <w:rPr>
          <w:rFonts w:ascii="Times New Roman" w:hAnsi="Times New Roman"/>
        </w:rPr>
        <w:t>five percent of tertiary education students in Colombia attend a university and 25 percent attend a vocational college.  Public universities are more prestigious and selective.  With the exception of a few elite private universities, private tertiary education institutions serve those who do not obtain admission into public universities.</w:t>
      </w:r>
    </w:p>
    <w:p w14:paraId="59513889" w14:textId="77777777" w:rsidR="00B278CB" w:rsidRDefault="005B45F0" w:rsidP="00402892">
      <w:pPr>
        <w:spacing w:after="160" w:line="360" w:lineRule="auto"/>
        <w:contextualSpacing/>
        <w:jc w:val="both"/>
        <w:rPr>
          <w:rFonts w:ascii="Times New Roman" w:hAnsi="Times New Roman"/>
        </w:rPr>
      </w:pPr>
      <w:r w:rsidRPr="00166607">
        <w:rPr>
          <w:rFonts w:ascii="Times New Roman" w:hAnsi="Times New Roman"/>
          <w:b/>
          <w:i/>
        </w:rPr>
        <w:tab/>
      </w:r>
      <w:r w:rsidR="001D2696" w:rsidRPr="00166607">
        <w:rPr>
          <w:rFonts w:ascii="Times New Roman" w:hAnsi="Times New Roman"/>
        </w:rPr>
        <w:t>Although w</w:t>
      </w:r>
      <w:r w:rsidR="00096676" w:rsidRPr="00166607">
        <w:rPr>
          <w:rFonts w:ascii="Times New Roman" w:hAnsi="Times New Roman"/>
        </w:rPr>
        <w:t xml:space="preserve">e study a large-scale national </w:t>
      </w:r>
      <w:r w:rsidR="00837DAD" w:rsidRPr="00166607">
        <w:rPr>
          <w:rFonts w:ascii="Times New Roman" w:hAnsi="Times New Roman"/>
        </w:rPr>
        <w:t xml:space="preserve">private secondary school </w:t>
      </w:r>
      <w:r w:rsidR="00096676" w:rsidRPr="00166607">
        <w:rPr>
          <w:rFonts w:ascii="Times New Roman" w:hAnsi="Times New Roman"/>
        </w:rPr>
        <w:t>scholarship program</w:t>
      </w:r>
      <w:r w:rsidR="001D2696" w:rsidRPr="00166607">
        <w:rPr>
          <w:rFonts w:ascii="Times New Roman" w:hAnsi="Times New Roman"/>
        </w:rPr>
        <w:t>, we</w:t>
      </w:r>
      <w:r w:rsidR="00096676" w:rsidRPr="00166607">
        <w:rPr>
          <w:rFonts w:ascii="Times New Roman" w:hAnsi="Times New Roman"/>
        </w:rPr>
        <w:t xml:space="preserve"> use data from Bogotá</w:t>
      </w:r>
      <w:r w:rsidR="00AD39B0" w:rsidRPr="00166607">
        <w:rPr>
          <w:rFonts w:ascii="Times New Roman" w:hAnsi="Times New Roman"/>
        </w:rPr>
        <w:t xml:space="preserve"> </w:t>
      </w:r>
      <w:r w:rsidR="00684F66" w:rsidRPr="00166607">
        <w:rPr>
          <w:rFonts w:ascii="Times New Roman" w:hAnsi="Times New Roman"/>
        </w:rPr>
        <w:t>—</w:t>
      </w:r>
      <w:r w:rsidR="00096676" w:rsidRPr="00166607">
        <w:rPr>
          <w:rFonts w:ascii="Times New Roman" w:hAnsi="Times New Roman"/>
        </w:rPr>
        <w:t>Colombia’s capital city.  Colombian municipalities</w:t>
      </w:r>
      <w:r w:rsidR="00AD39B0" w:rsidRPr="00166607">
        <w:rPr>
          <w:rFonts w:ascii="Times New Roman" w:hAnsi="Times New Roman"/>
        </w:rPr>
        <w:t xml:space="preserve"> </w:t>
      </w:r>
      <w:r w:rsidR="00096676" w:rsidRPr="00166607">
        <w:rPr>
          <w:rFonts w:ascii="Times New Roman" w:hAnsi="Times New Roman"/>
        </w:rPr>
        <w:t>—Bogotá included—are responsible for the administration of public education</w:t>
      </w:r>
      <w:r w:rsidR="00590CB0" w:rsidRPr="00166607">
        <w:rPr>
          <w:rFonts w:ascii="Times New Roman" w:hAnsi="Times New Roman"/>
        </w:rPr>
        <w:t>,</w:t>
      </w:r>
      <w:r w:rsidR="00096676" w:rsidRPr="00166607">
        <w:rPr>
          <w:rFonts w:ascii="Times New Roman" w:hAnsi="Times New Roman"/>
        </w:rPr>
        <w:t xml:space="preserve"> </w:t>
      </w:r>
      <w:r w:rsidR="004D557A" w:rsidRPr="00166607">
        <w:rPr>
          <w:rFonts w:ascii="Times New Roman" w:hAnsi="Times New Roman"/>
        </w:rPr>
        <w:t xml:space="preserve">funded </w:t>
      </w:r>
      <w:r w:rsidR="00096676" w:rsidRPr="00166607">
        <w:rPr>
          <w:rFonts w:ascii="Times New Roman" w:hAnsi="Times New Roman"/>
        </w:rPr>
        <w:t>by transfers from the national government levied through income and value-added taxes (Barrera-Osorio et al. 2011).</w:t>
      </w:r>
      <w:r w:rsidR="00350053" w:rsidRPr="00166607">
        <w:rPr>
          <w:rFonts w:ascii="Times New Roman" w:hAnsi="Times New Roman"/>
        </w:rPr>
        <w:t xml:space="preserve"> Nationally, </w:t>
      </w:r>
      <w:r w:rsidR="0056164A" w:rsidRPr="00166607">
        <w:rPr>
          <w:rFonts w:ascii="Times New Roman" w:hAnsi="Times New Roman"/>
        </w:rPr>
        <w:t>37</w:t>
      </w:r>
      <w:r w:rsidR="00350053" w:rsidRPr="00166607">
        <w:rPr>
          <w:rFonts w:ascii="Times New Roman" w:hAnsi="Times New Roman"/>
        </w:rPr>
        <w:t xml:space="preserve"> percent of the student population attend</w:t>
      </w:r>
      <w:r w:rsidR="0056164A" w:rsidRPr="00166607">
        <w:rPr>
          <w:rFonts w:ascii="Times New Roman" w:hAnsi="Times New Roman"/>
        </w:rPr>
        <w:t>ed</w:t>
      </w:r>
      <w:r w:rsidR="00350053" w:rsidRPr="00166607">
        <w:rPr>
          <w:rFonts w:ascii="Times New Roman" w:hAnsi="Times New Roman"/>
        </w:rPr>
        <w:t xml:space="preserve"> a private school</w:t>
      </w:r>
      <w:r w:rsidR="0056164A" w:rsidRPr="00166607">
        <w:rPr>
          <w:rFonts w:ascii="Times New Roman" w:hAnsi="Times New Roman"/>
        </w:rPr>
        <w:t xml:space="preserve"> when the PACES scholarship program was in place</w:t>
      </w:r>
      <w:r w:rsidR="00D03203" w:rsidRPr="00166607">
        <w:rPr>
          <w:rFonts w:ascii="Times New Roman" w:hAnsi="Times New Roman"/>
        </w:rPr>
        <w:t>; in Bogotá</w:t>
      </w:r>
      <w:r w:rsidR="00350053" w:rsidRPr="00166607">
        <w:rPr>
          <w:rFonts w:ascii="Times New Roman" w:hAnsi="Times New Roman"/>
        </w:rPr>
        <w:t xml:space="preserve">, however, </w:t>
      </w:r>
      <w:r w:rsidR="0056164A" w:rsidRPr="00166607">
        <w:rPr>
          <w:rFonts w:ascii="Times New Roman" w:hAnsi="Times New Roman"/>
        </w:rPr>
        <w:t>58</w:t>
      </w:r>
      <w:r w:rsidR="00350053" w:rsidRPr="00166607">
        <w:rPr>
          <w:rFonts w:ascii="Times New Roman" w:hAnsi="Times New Roman"/>
        </w:rPr>
        <w:t xml:space="preserve"> percent of students d</w:t>
      </w:r>
      <w:r w:rsidR="0056164A" w:rsidRPr="00166607">
        <w:rPr>
          <w:rFonts w:ascii="Times New Roman" w:hAnsi="Times New Roman"/>
        </w:rPr>
        <w:t>id</w:t>
      </w:r>
      <w:r w:rsidR="00350053" w:rsidRPr="00166607">
        <w:rPr>
          <w:rFonts w:ascii="Times New Roman" w:hAnsi="Times New Roman"/>
        </w:rPr>
        <w:t xml:space="preserve"> so (</w:t>
      </w:r>
      <w:r w:rsidR="0056164A" w:rsidRPr="00166607">
        <w:rPr>
          <w:rFonts w:ascii="Times New Roman" w:hAnsi="Times New Roman"/>
        </w:rPr>
        <w:t>Angrist et al. 2002).</w:t>
      </w:r>
    </w:p>
    <w:p w14:paraId="59095620" w14:textId="191A8355" w:rsidR="009308F5" w:rsidRPr="00B278CB" w:rsidRDefault="00B278CB" w:rsidP="00402892">
      <w:pPr>
        <w:spacing w:after="160" w:line="360" w:lineRule="auto"/>
        <w:ind w:firstLine="720"/>
        <w:contextualSpacing/>
        <w:jc w:val="both"/>
        <w:rPr>
          <w:rFonts w:ascii="Times New Roman" w:hAnsi="Times New Roman"/>
        </w:rPr>
      </w:pPr>
      <w:r w:rsidRPr="00B278CB">
        <w:rPr>
          <w:rFonts w:ascii="Times New Roman" w:hAnsi="Times New Roman"/>
        </w:rPr>
        <w:t xml:space="preserve">Data from </w:t>
      </w:r>
      <w:r>
        <w:rPr>
          <w:rFonts w:ascii="Times New Roman" w:hAnsi="Times New Roman"/>
        </w:rPr>
        <w:t xml:space="preserve">Colombia’s Education Evaluation Institute </w:t>
      </w:r>
      <w:r w:rsidRPr="00B278CB">
        <w:rPr>
          <w:rFonts w:ascii="Times New Roman" w:hAnsi="Times New Roman"/>
        </w:rPr>
        <w:t xml:space="preserve">(ICFES) show that only 16 percent of secondary school </w:t>
      </w:r>
      <w:r w:rsidR="00C818FE">
        <w:rPr>
          <w:rFonts w:ascii="Times New Roman" w:hAnsi="Times New Roman"/>
        </w:rPr>
        <w:t>graduates attend</w:t>
      </w:r>
      <w:r w:rsidR="009308F5" w:rsidRPr="00B278CB">
        <w:rPr>
          <w:rFonts w:ascii="Times New Roman" w:hAnsi="Times New Roman"/>
        </w:rPr>
        <w:t xml:space="preserve"> vocational schools. By</w:t>
      </w:r>
      <w:r>
        <w:rPr>
          <w:rFonts w:ascii="Times New Roman" w:hAnsi="Times New Roman"/>
        </w:rPr>
        <w:t xml:space="preserve"> </w:t>
      </w:r>
      <w:r w:rsidRPr="00B278CB">
        <w:rPr>
          <w:rFonts w:ascii="Times New Roman" w:hAnsi="Times New Roman"/>
        </w:rPr>
        <w:t>contrast, 25 percent</w:t>
      </w:r>
      <w:r w:rsidR="009767E6">
        <w:rPr>
          <w:rFonts w:ascii="Times New Roman" w:hAnsi="Times New Roman"/>
        </w:rPr>
        <w:t xml:space="preserve"> of scholarship</w:t>
      </w:r>
      <w:r w:rsidR="009308F5" w:rsidRPr="00B278CB">
        <w:rPr>
          <w:rFonts w:ascii="Times New Roman" w:hAnsi="Times New Roman"/>
        </w:rPr>
        <w:t xml:space="preserve"> winners in our sample applied only to vocational schools and</w:t>
      </w:r>
      <w:r>
        <w:rPr>
          <w:rFonts w:ascii="Times New Roman" w:hAnsi="Times New Roman"/>
        </w:rPr>
        <w:t xml:space="preserve"> </w:t>
      </w:r>
      <w:r w:rsidRPr="00B278CB">
        <w:rPr>
          <w:rFonts w:ascii="Times New Roman" w:hAnsi="Times New Roman"/>
        </w:rPr>
        <w:t>an additional 23 percent</w:t>
      </w:r>
      <w:r w:rsidR="009308F5" w:rsidRPr="00B278CB">
        <w:rPr>
          <w:rFonts w:ascii="Times New Roman" w:hAnsi="Times New Roman"/>
        </w:rPr>
        <w:t xml:space="preserve"> applied to schools with both vocational and academic tracts</w:t>
      </w:r>
      <w:r>
        <w:rPr>
          <w:rFonts w:ascii="Times New Roman" w:hAnsi="Times New Roman"/>
        </w:rPr>
        <w:t xml:space="preserve">.  While </w:t>
      </w:r>
      <w:r w:rsidRPr="00B278CB">
        <w:rPr>
          <w:rFonts w:ascii="Times New Roman" w:hAnsi="Times New Roman"/>
        </w:rPr>
        <w:t>a</w:t>
      </w:r>
      <w:r w:rsidR="009308F5" w:rsidRPr="00B278CB">
        <w:rPr>
          <w:rFonts w:ascii="Times New Roman" w:hAnsi="Times New Roman"/>
        </w:rPr>
        <w:t>cademic schools instruct students in the fields of science, humanities or</w:t>
      </w:r>
      <w:r>
        <w:rPr>
          <w:rFonts w:ascii="Times New Roman" w:hAnsi="Times New Roman"/>
        </w:rPr>
        <w:t xml:space="preserve"> </w:t>
      </w:r>
      <w:r w:rsidRPr="00B278CB">
        <w:rPr>
          <w:rFonts w:ascii="Times New Roman" w:hAnsi="Times New Roman"/>
        </w:rPr>
        <w:t>the arts, v</w:t>
      </w:r>
      <w:r w:rsidR="009308F5" w:rsidRPr="00B278CB">
        <w:rPr>
          <w:rFonts w:ascii="Times New Roman" w:hAnsi="Times New Roman"/>
        </w:rPr>
        <w:t>ocational schools prepare students primaril</w:t>
      </w:r>
      <w:r w:rsidRPr="00B278CB">
        <w:rPr>
          <w:rFonts w:ascii="Times New Roman" w:hAnsi="Times New Roman"/>
        </w:rPr>
        <w:t>y for participation in the labo</w:t>
      </w:r>
      <w:r w:rsidR="009308F5" w:rsidRPr="00B278CB">
        <w:rPr>
          <w:rFonts w:ascii="Times New Roman" w:hAnsi="Times New Roman"/>
        </w:rPr>
        <w:t>r</w:t>
      </w:r>
      <w:r>
        <w:rPr>
          <w:rFonts w:ascii="Times New Roman" w:hAnsi="Times New Roman"/>
        </w:rPr>
        <w:t xml:space="preserve"> </w:t>
      </w:r>
      <w:r w:rsidR="009308F5" w:rsidRPr="00B278CB">
        <w:rPr>
          <w:rFonts w:ascii="Times New Roman" w:hAnsi="Times New Roman"/>
        </w:rPr>
        <w:t>market, either in the production sector or the service sector. They typically focus</w:t>
      </w:r>
      <w:r>
        <w:rPr>
          <w:rFonts w:ascii="Times New Roman" w:hAnsi="Times New Roman"/>
        </w:rPr>
        <w:t xml:space="preserve"> </w:t>
      </w:r>
      <w:r w:rsidR="009308F5" w:rsidRPr="00B278CB">
        <w:rPr>
          <w:rFonts w:ascii="Times New Roman" w:hAnsi="Times New Roman"/>
        </w:rPr>
        <w:t>on commercial, industrial, agrarian or pedagogical skills and their curricula exhibit</w:t>
      </w:r>
      <w:r>
        <w:rPr>
          <w:rFonts w:ascii="Times New Roman" w:hAnsi="Times New Roman"/>
        </w:rPr>
        <w:t xml:space="preserve"> </w:t>
      </w:r>
      <w:r w:rsidR="009308F5" w:rsidRPr="00B278CB">
        <w:rPr>
          <w:rFonts w:ascii="Times New Roman" w:hAnsi="Times New Roman"/>
        </w:rPr>
        <w:t>considerable heterogeneity.</w:t>
      </w:r>
    </w:p>
    <w:p w14:paraId="1E4C701F" w14:textId="1900CA35" w:rsidR="009308F5" w:rsidRPr="00B278CB" w:rsidRDefault="009308F5" w:rsidP="00402892">
      <w:pPr>
        <w:widowControl w:val="0"/>
        <w:autoSpaceDE w:val="0"/>
        <w:autoSpaceDN w:val="0"/>
        <w:adjustRightInd w:val="0"/>
        <w:spacing w:line="360" w:lineRule="auto"/>
        <w:ind w:firstLine="720"/>
        <w:jc w:val="both"/>
        <w:rPr>
          <w:rFonts w:ascii="Times New Roman" w:hAnsi="Times New Roman"/>
        </w:rPr>
      </w:pPr>
      <w:r w:rsidRPr="00B278CB">
        <w:rPr>
          <w:rFonts w:ascii="Times New Roman" w:hAnsi="Times New Roman"/>
        </w:rPr>
        <w:t>The focus of public and private vocational schools is very different. Of public</w:t>
      </w:r>
      <w:r w:rsidR="008C6D65">
        <w:rPr>
          <w:rFonts w:ascii="Times New Roman" w:hAnsi="Times New Roman"/>
        </w:rPr>
        <w:t xml:space="preserve"> schools, 25 percent</w:t>
      </w:r>
      <w:r w:rsidRPr="00B278CB">
        <w:rPr>
          <w:rFonts w:ascii="Times New Roman" w:hAnsi="Times New Roman"/>
        </w:rPr>
        <w:t xml:space="preserve"> have </w:t>
      </w:r>
      <w:r w:rsidR="008C6D65">
        <w:rPr>
          <w:rFonts w:ascii="Times New Roman" w:hAnsi="Times New Roman"/>
        </w:rPr>
        <w:t>an industrial curriculum and 62 percent</w:t>
      </w:r>
      <w:r w:rsidRPr="00B278CB">
        <w:rPr>
          <w:rFonts w:ascii="Times New Roman" w:hAnsi="Times New Roman"/>
        </w:rPr>
        <w:t xml:space="preserve"> have a commercial one, whereas</w:t>
      </w:r>
      <w:r w:rsidR="008C6D65">
        <w:rPr>
          <w:rFonts w:ascii="Times New Roman" w:hAnsi="Times New Roman"/>
        </w:rPr>
        <w:t xml:space="preserve"> only 4 percent</w:t>
      </w:r>
      <w:r w:rsidRPr="00B278CB">
        <w:rPr>
          <w:rFonts w:ascii="Times New Roman" w:hAnsi="Times New Roman"/>
        </w:rPr>
        <w:t xml:space="preserve"> of private vocational schools have </w:t>
      </w:r>
      <w:r w:rsidR="008C6D65">
        <w:rPr>
          <w:rFonts w:ascii="Times New Roman" w:hAnsi="Times New Roman"/>
        </w:rPr>
        <w:t>an industrial curriculum and 92 percent</w:t>
      </w:r>
      <w:r w:rsidRPr="00B278CB">
        <w:rPr>
          <w:rFonts w:ascii="Times New Roman" w:hAnsi="Times New Roman"/>
        </w:rPr>
        <w:t xml:space="preserve"> have a</w:t>
      </w:r>
      <w:r w:rsidR="008C6D65">
        <w:rPr>
          <w:rFonts w:ascii="Times New Roman" w:hAnsi="Times New Roman"/>
        </w:rPr>
        <w:t xml:space="preserve"> </w:t>
      </w:r>
      <w:r w:rsidRPr="00B278CB">
        <w:rPr>
          <w:rFonts w:ascii="Times New Roman" w:hAnsi="Times New Roman"/>
        </w:rPr>
        <w:lastRenderedPageBreak/>
        <w:t>commercial focus (</w:t>
      </w:r>
      <w:r w:rsidR="00906E1F">
        <w:rPr>
          <w:rFonts w:ascii="Times New Roman" w:hAnsi="Times New Roman"/>
        </w:rPr>
        <w:t xml:space="preserve">Bettinger, Kremer and </w:t>
      </w:r>
      <w:r w:rsidR="008C6D65">
        <w:rPr>
          <w:rFonts w:ascii="Times New Roman" w:hAnsi="Times New Roman"/>
        </w:rPr>
        <w:t>Saavedra 2010</w:t>
      </w:r>
      <w:r w:rsidRPr="00B278CB">
        <w:rPr>
          <w:rFonts w:ascii="Times New Roman" w:hAnsi="Times New Roman"/>
        </w:rPr>
        <w:t>).</w:t>
      </w:r>
    </w:p>
    <w:p w14:paraId="4796A40D" w14:textId="3CB1B0CB" w:rsidR="00542881" w:rsidRPr="008233C3" w:rsidRDefault="004F2C59" w:rsidP="00402892">
      <w:pPr>
        <w:spacing w:after="160" w:line="360" w:lineRule="auto"/>
        <w:ind w:firstLine="720"/>
        <w:contextualSpacing/>
        <w:jc w:val="both"/>
        <w:rPr>
          <w:rFonts w:ascii="Times New Roman" w:hAnsi="Times New Roman"/>
        </w:rPr>
      </w:pPr>
      <w:r w:rsidRPr="00166607">
        <w:rPr>
          <w:rFonts w:ascii="Times New Roman" w:hAnsi="Times New Roman"/>
        </w:rPr>
        <w:t xml:space="preserve">In order to facilitate targeted subsidies in </w:t>
      </w:r>
      <w:r w:rsidR="00ED18AF" w:rsidRPr="00166607">
        <w:rPr>
          <w:rFonts w:ascii="Times New Roman" w:hAnsi="Times New Roman"/>
        </w:rPr>
        <w:t>public services</w:t>
      </w:r>
      <w:r w:rsidRPr="00166607">
        <w:rPr>
          <w:rFonts w:ascii="Times New Roman" w:hAnsi="Times New Roman"/>
        </w:rPr>
        <w:t>,</w:t>
      </w:r>
      <w:r w:rsidR="00ED18AF" w:rsidRPr="00166607">
        <w:rPr>
          <w:rFonts w:ascii="Times New Roman" w:hAnsi="Times New Roman"/>
        </w:rPr>
        <w:t xml:space="preserve"> Colombia divides its population into six strata based on residential location. The poorest two strata</w:t>
      </w:r>
      <w:r w:rsidR="00AD39B0" w:rsidRPr="00166607">
        <w:rPr>
          <w:rFonts w:ascii="Times New Roman" w:hAnsi="Times New Roman"/>
        </w:rPr>
        <w:t xml:space="preserve"> </w:t>
      </w:r>
      <w:r w:rsidR="00E202B0" w:rsidRPr="00166607">
        <w:rPr>
          <w:rFonts w:ascii="Times New Roman" w:hAnsi="Times New Roman"/>
        </w:rPr>
        <w:t>—the target population of the PACES scholarship program—</w:t>
      </w:r>
      <w:r w:rsidR="00AD39B0" w:rsidRPr="00166607">
        <w:rPr>
          <w:rFonts w:ascii="Times New Roman" w:hAnsi="Times New Roman"/>
        </w:rPr>
        <w:t xml:space="preserve"> </w:t>
      </w:r>
      <w:r w:rsidR="00ED18AF" w:rsidRPr="00166607">
        <w:rPr>
          <w:rFonts w:ascii="Times New Roman" w:hAnsi="Times New Roman"/>
        </w:rPr>
        <w:t>represent roughly 55 percent of Colombia’s population</w:t>
      </w:r>
      <w:r w:rsidR="00610A7C" w:rsidRPr="00166607">
        <w:rPr>
          <w:rFonts w:ascii="Times New Roman" w:hAnsi="Times New Roman"/>
        </w:rPr>
        <w:t xml:space="preserve"> (49 percent in Bogotá)</w:t>
      </w:r>
      <w:r w:rsidR="00ED18AF" w:rsidRPr="00166607">
        <w:rPr>
          <w:rFonts w:ascii="Times New Roman" w:hAnsi="Times New Roman"/>
        </w:rPr>
        <w:t>.</w:t>
      </w:r>
      <w:r w:rsidR="00E43E13" w:rsidRPr="00166607">
        <w:rPr>
          <w:rFonts w:ascii="Times New Roman" w:hAnsi="Times New Roman"/>
        </w:rPr>
        <w:t xml:space="preserve"> </w:t>
      </w:r>
      <w:r w:rsidR="000A3D80" w:rsidRPr="00166607">
        <w:rPr>
          <w:rFonts w:ascii="Times New Roman" w:hAnsi="Times New Roman"/>
        </w:rPr>
        <w:t xml:space="preserve">Close to 12 percent </w:t>
      </w:r>
      <w:r w:rsidR="006E59F9" w:rsidRPr="00166607">
        <w:rPr>
          <w:rFonts w:ascii="Times New Roman" w:hAnsi="Times New Roman"/>
        </w:rPr>
        <w:t>of students in strata 1 and 2 neighborhoods attend private schools in Bogot</w:t>
      </w:r>
      <w:r w:rsidR="00D03203" w:rsidRPr="00166607">
        <w:rPr>
          <w:rFonts w:ascii="Times New Roman" w:hAnsi="Times New Roman"/>
        </w:rPr>
        <w:t>á</w:t>
      </w:r>
      <w:r w:rsidR="006E59F9" w:rsidRPr="00166607">
        <w:rPr>
          <w:rFonts w:ascii="Times New Roman" w:hAnsi="Times New Roman"/>
        </w:rPr>
        <w:t xml:space="preserve"> </w:t>
      </w:r>
      <w:r w:rsidR="00E202B0" w:rsidRPr="00166607">
        <w:rPr>
          <w:rFonts w:ascii="Times New Roman" w:hAnsi="Times New Roman"/>
        </w:rPr>
        <w:t>(</w:t>
      </w:r>
      <w:r w:rsidR="000A3D80" w:rsidRPr="00166607">
        <w:rPr>
          <w:rFonts w:ascii="Times New Roman" w:hAnsi="Times New Roman"/>
        </w:rPr>
        <w:t xml:space="preserve">Encuesta </w:t>
      </w:r>
      <w:r w:rsidR="00F17F56" w:rsidRPr="00166607">
        <w:rPr>
          <w:rFonts w:ascii="Times New Roman" w:hAnsi="Times New Roman"/>
        </w:rPr>
        <w:t xml:space="preserve">Nacional </w:t>
      </w:r>
      <w:r w:rsidR="000A3D80" w:rsidRPr="00166607">
        <w:rPr>
          <w:rFonts w:ascii="Times New Roman" w:hAnsi="Times New Roman"/>
        </w:rPr>
        <w:t>de Calidad de Vida 2010</w:t>
      </w:r>
      <w:r w:rsidR="00E202B0" w:rsidRPr="00166607">
        <w:rPr>
          <w:rFonts w:ascii="Times New Roman" w:hAnsi="Times New Roman"/>
        </w:rPr>
        <w:t>)</w:t>
      </w:r>
      <w:r w:rsidR="00E43E13" w:rsidRPr="00166607">
        <w:rPr>
          <w:rFonts w:ascii="Times New Roman" w:hAnsi="Times New Roman"/>
        </w:rPr>
        <w:t>.</w:t>
      </w:r>
      <w:r w:rsidR="007239E2" w:rsidRPr="00166607">
        <w:rPr>
          <w:rStyle w:val="FootnoteReference"/>
          <w:rFonts w:ascii="Times New Roman" w:hAnsi="Times New Roman"/>
        </w:rPr>
        <w:footnoteReference w:id="9"/>
      </w:r>
      <w:r w:rsidR="00E43E13" w:rsidRPr="00166607">
        <w:rPr>
          <w:rFonts w:ascii="Times New Roman" w:hAnsi="Times New Roman"/>
        </w:rPr>
        <w:t xml:space="preserve"> </w:t>
      </w:r>
    </w:p>
    <w:p w14:paraId="7920685A" w14:textId="6B253057" w:rsidR="00FE78A7" w:rsidRPr="00166607" w:rsidRDefault="002F15B9" w:rsidP="00402892">
      <w:pPr>
        <w:keepNext/>
        <w:spacing w:after="160" w:line="360" w:lineRule="auto"/>
        <w:rPr>
          <w:rFonts w:ascii="Times New Roman" w:hAnsi="Times New Roman"/>
          <w:b/>
          <w:i/>
        </w:rPr>
      </w:pPr>
      <w:r w:rsidRPr="008233C3">
        <w:rPr>
          <w:rFonts w:ascii="Times New Roman" w:hAnsi="Times New Roman"/>
          <w:b/>
          <w:i/>
        </w:rPr>
        <w:t>2.2</w:t>
      </w:r>
      <w:r w:rsidR="00CD2848" w:rsidRPr="00166607">
        <w:rPr>
          <w:rFonts w:ascii="Times New Roman" w:hAnsi="Times New Roman"/>
          <w:b/>
          <w:i/>
        </w:rPr>
        <w:t xml:space="preserve"> The PACES </w:t>
      </w:r>
      <w:r w:rsidR="00A53B75">
        <w:rPr>
          <w:rFonts w:ascii="Times New Roman" w:hAnsi="Times New Roman"/>
          <w:b/>
          <w:i/>
        </w:rPr>
        <w:t>s</w:t>
      </w:r>
      <w:r w:rsidR="00CD2848" w:rsidRPr="00166607">
        <w:rPr>
          <w:rFonts w:ascii="Times New Roman" w:hAnsi="Times New Roman"/>
          <w:b/>
          <w:i/>
        </w:rPr>
        <w:t xml:space="preserve">cholarship </w:t>
      </w:r>
      <w:r w:rsidR="00A53B75">
        <w:rPr>
          <w:rFonts w:ascii="Times New Roman" w:hAnsi="Times New Roman"/>
          <w:b/>
          <w:i/>
        </w:rPr>
        <w:t>p</w:t>
      </w:r>
      <w:r w:rsidR="00CD2848" w:rsidRPr="00166607">
        <w:rPr>
          <w:rFonts w:ascii="Times New Roman" w:hAnsi="Times New Roman"/>
          <w:b/>
          <w:i/>
        </w:rPr>
        <w:t>rogram</w:t>
      </w:r>
    </w:p>
    <w:p w14:paraId="0F2738D1" w14:textId="1DD4A4E2" w:rsidR="0028707D" w:rsidRPr="0028707D" w:rsidRDefault="00CD2848" w:rsidP="00402892">
      <w:pPr>
        <w:pStyle w:val="ListParagraph"/>
        <w:autoSpaceDE w:val="0"/>
        <w:autoSpaceDN w:val="0"/>
        <w:adjustRightInd w:val="0"/>
        <w:spacing w:after="160" w:line="360" w:lineRule="auto"/>
        <w:ind w:left="0" w:firstLine="720"/>
        <w:jc w:val="both"/>
        <w:rPr>
          <w:rFonts w:ascii="Times New Roman" w:hAnsi="Times New Roman"/>
        </w:rPr>
      </w:pPr>
      <w:r w:rsidRPr="00166607">
        <w:rPr>
          <w:rFonts w:ascii="Times New Roman" w:hAnsi="Times New Roman"/>
        </w:rPr>
        <w:t xml:space="preserve">The PACES scholarship program </w:t>
      </w:r>
      <w:r w:rsidR="00D768C2" w:rsidRPr="00166607">
        <w:rPr>
          <w:rFonts w:ascii="Times New Roman" w:hAnsi="Times New Roman"/>
        </w:rPr>
        <w:t xml:space="preserve">was introduced </w:t>
      </w:r>
      <w:r w:rsidR="00F373C2" w:rsidRPr="00166607">
        <w:rPr>
          <w:rFonts w:ascii="Times New Roman" w:hAnsi="Times New Roman"/>
        </w:rPr>
        <w:t xml:space="preserve">in </w:t>
      </w:r>
      <w:r w:rsidR="00D768C2" w:rsidRPr="00166607">
        <w:rPr>
          <w:rFonts w:ascii="Times New Roman" w:hAnsi="Times New Roman"/>
        </w:rPr>
        <w:t>1992 as a way of improving secondary school enrollment rates among disadvantaged stud</w:t>
      </w:r>
      <w:r w:rsidR="003A0683" w:rsidRPr="00166607">
        <w:rPr>
          <w:rFonts w:ascii="Times New Roman" w:hAnsi="Times New Roman"/>
        </w:rPr>
        <w:t xml:space="preserve">ents.  </w:t>
      </w:r>
      <w:r w:rsidR="001F2607" w:rsidRPr="00166607">
        <w:rPr>
          <w:rFonts w:ascii="Times New Roman" w:hAnsi="Times New Roman"/>
        </w:rPr>
        <w:t>A</w:t>
      </w:r>
      <w:r w:rsidR="003A0683" w:rsidRPr="00166607">
        <w:rPr>
          <w:rFonts w:ascii="Times New Roman" w:hAnsi="Times New Roman"/>
        </w:rPr>
        <w:t xml:space="preserve">vailable slots in public secondary schools were limited </w:t>
      </w:r>
      <w:r w:rsidR="005F3909" w:rsidRPr="00166607">
        <w:rPr>
          <w:rFonts w:ascii="Times New Roman" w:hAnsi="Times New Roman"/>
        </w:rPr>
        <w:t>when the program began in 1992</w:t>
      </w:r>
      <w:r w:rsidR="003A0683" w:rsidRPr="00166607">
        <w:rPr>
          <w:rFonts w:ascii="Times New Roman" w:hAnsi="Times New Roman"/>
        </w:rPr>
        <w:t>.  The program aimed at tapping the excess capacity in private schools by providing scholarships for private secondary school</w:t>
      </w:r>
      <w:r w:rsidR="006D3503" w:rsidRPr="00166607">
        <w:rPr>
          <w:rFonts w:ascii="Times New Roman" w:hAnsi="Times New Roman"/>
        </w:rPr>
        <w:t>ing</w:t>
      </w:r>
      <w:r w:rsidR="003A0683" w:rsidRPr="00166607">
        <w:rPr>
          <w:rFonts w:ascii="Times New Roman" w:hAnsi="Times New Roman"/>
        </w:rPr>
        <w:t xml:space="preserve"> among strata 1 and 2 applicants from public elementary schools (King, Laura Rawlings</w:t>
      </w:r>
      <w:r w:rsidR="003A0683" w:rsidRPr="0028707D">
        <w:rPr>
          <w:rFonts w:ascii="Times New Roman" w:hAnsi="Times New Roman"/>
        </w:rPr>
        <w:t>, Gutierrez, Pardo</w:t>
      </w:r>
      <w:r w:rsidR="00401A93" w:rsidRPr="0028707D">
        <w:rPr>
          <w:rFonts w:ascii="Times New Roman" w:hAnsi="Times New Roman"/>
        </w:rPr>
        <w:t>,</w:t>
      </w:r>
      <w:r w:rsidR="003A0683" w:rsidRPr="0028707D">
        <w:rPr>
          <w:rFonts w:ascii="Times New Roman" w:hAnsi="Times New Roman"/>
        </w:rPr>
        <w:t xml:space="preserve"> and Torres 1997).</w:t>
      </w:r>
    </w:p>
    <w:p w14:paraId="237F7DC5" w14:textId="7B8AA97D" w:rsidR="005D0435" w:rsidRPr="005D0435" w:rsidRDefault="00220E08" w:rsidP="00402892">
      <w:pPr>
        <w:pStyle w:val="ListParagraph"/>
        <w:autoSpaceDE w:val="0"/>
        <w:autoSpaceDN w:val="0"/>
        <w:adjustRightInd w:val="0"/>
        <w:spacing w:after="160" w:line="360" w:lineRule="auto"/>
        <w:ind w:left="0" w:firstLine="720"/>
        <w:jc w:val="both"/>
        <w:rPr>
          <w:rFonts w:ascii="Times New Roman" w:hAnsi="Times New Roman"/>
        </w:rPr>
      </w:pPr>
      <w:r w:rsidRPr="0028707D">
        <w:rPr>
          <w:rFonts w:ascii="Times New Roman" w:hAnsi="Times New Roman"/>
        </w:rPr>
        <w:t>Participating p</w:t>
      </w:r>
      <w:r w:rsidR="008A43DC" w:rsidRPr="0028707D">
        <w:rPr>
          <w:rFonts w:ascii="Times New Roman" w:hAnsi="Times New Roman"/>
        </w:rPr>
        <w:t xml:space="preserve">rivate schools served lower-income students and charged lower tuition fees than </w:t>
      </w:r>
      <w:r w:rsidR="00790218" w:rsidRPr="0028707D">
        <w:rPr>
          <w:rFonts w:ascii="Times New Roman" w:hAnsi="Times New Roman"/>
        </w:rPr>
        <w:t xml:space="preserve">other </w:t>
      </w:r>
      <w:r w:rsidR="008A43DC" w:rsidRPr="0028707D">
        <w:rPr>
          <w:rFonts w:ascii="Times New Roman" w:hAnsi="Times New Roman"/>
        </w:rPr>
        <w:t xml:space="preserve">private schools that chose not to participate.  </w:t>
      </w:r>
      <w:r w:rsidR="00C6061A" w:rsidRPr="0028707D">
        <w:rPr>
          <w:rFonts w:ascii="Times New Roman" w:hAnsi="Times New Roman"/>
        </w:rPr>
        <w:t>T</w:t>
      </w:r>
      <w:r w:rsidR="008A43DC" w:rsidRPr="0028707D">
        <w:rPr>
          <w:rFonts w:ascii="Times New Roman" w:hAnsi="Times New Roman"/>
        </w:rPr>
        <w:t xml:space="preserve">eacher-pupil ratios were comparable between </w:t>
      </w:r>
      <w:r w:rsidR="00D6423F" w:rsidRPr="0028707D">
        <w:rPr>
          <w:rFonts w:ascii="Times New Roman" w:hAnsi="Times New Roman"/>
        </w:rPr>
        <w:t xml:space="preserve">all </w:t>
      </w:r>
      <w:r w:rsidR="008A43DC" w:rsidRPr="0028707D">
        <w:rPr>
          <w:rFonts w:ascii="Times New Roman" w:hAnsi="Times New Roman"/>
        </w:rPr>
        <w:t>public and participating private schools</w:t>
      </w:r>
      <w:r w:rsidR="00B655EA" w:rsidRPr="0028707D">
        <w:rPr>
          <w:rFonts w:ascii="Times New Roman" w:hAnsi="Times New Roman"/>
        </w:rPr>
        <w:t xml:space="preserve"> (</w:t>
      </w:r>
      <w:r w:rsidR="00253870" w:rsidRPr="0028707D">
        <w:rPr>
          <w:rFonts w:ascii="Times New Roman" w:hAnsi="Times New Roman"/>
        </w:rPr>
        <w:t>King et al. 1997)</w:t>
      </w:r>
      <w:r w:rsidR="008A43DC" w:rsidRPr="0028707D">
        <w:rPr>
          <w:rFonts w:ascii="Times New Roman" w:hAnsi="Times New Roman"/>
        </w:rPr>
        <w:t xml:space="preserve">. While initially the </w:t>
      </w:r>
      <w:r w:rsidR="009F1424" w:rsidRPr="0028707D">
        <w:rPr>
          <w:rFonts w:ascii="Times New Roman" w:hAnsi="Times New Roman"/>
        </w:rPr>
        <w:t>scholarship c</w:t>
      </w:r>
      <w:r w:rsidR="008A43DC" w:rsidRPr="0028707D">
        <w:rPr>
          <w:rFonts w:ascii="Times New Roman" w:hAnsi="Times New Roman"/>
        </w:rPr>
        <w:t xml:space="preserve">overed most tuition fees, the </w:t>
      </w:r>
      <w:r w:rsidR="00A42AA4" w:rsidRPr="0028707D">
        <w:rPr>
          <w:rFonts w:ascii="Times New Roman" w:hAnsi="Times New Roman"/>
        </w:rPr>
        <w:t xml:space="preserve">government did not increase its monetary value </w:t>
      </w:r>
      <w:r w:rsidR="008A43DC" w:rsidRPr="0028707D">
        <w:rPr>
          <w:rFonts w:ascii="Times New Roman" w:hAnsi="Times New Roman"/>
        </w:rPr>
        <w:t>to keep pace with inflation</w:t>
      </w:r>
      <w:r w:rsidR="00684F66" w:rsidRPr="0028707D">
        <w:rPr>
          <w:rFonts w:ascii="Times New Roman" w:hAnsi="Times New Roman"/>
        </w:rPr>
        <w:t>,</w:t>
      </w:r>
      <w:r w:rsidR="008A43DC" w:rsidRPr="0028707D">
        <w:rPr>
          <w:rFonts w:ascii="Times New Roman" w:hAnsi="Times New Roman"/>
        </w:rPr>
        <w:t xml:space="preserve"> and by 1998 the </w:t>
      </w:r>
      <w:r w:rsidR="00A42AA4" w:rsidRPr="0028707D">
        <w:rPr>
          <w:rFonts w:ascii="Times New Roman" w:hAnsi="Times New Roman"/>
        </w:rPr>
        <w:t>scholarship</w:t>
      </w:r>
      <w:r w:rsidR="00684F66" w:rsidRPr="0028707D">
        <w:rPr>
          <w:rFonts w:ascii="Times New Roman" w:hAnsi="Times New Roman"/>
        </w:rPr>
        <w:t xml:space="preserve"> only</w:t>
      </w:r>
      <w:r w:rsidR="00A42AA4" w:rsidRPr="0028707D">
        <w:rPr>
          <w:rFonts w:ascii="Times New Roman" w:hAnsi="Times New Roman"/>
        </w:rPr>
        <w:t xml:space="preserve"> </w:t>
      </w:r>
      <w:r w:rsidR="008A43DC" w:rsidRPr="0028707D">
        <w:rPr>
          <w:rFonts w:ascii="Times New Roman" w:hAnsi="Times New Roman"/>
        </w:rPr>
        <w:t>covered about 56</w:t>
      </w:r>
      <w:r w:rsidR="00790218" w:rsidRPr="0028707D">
        <w:rPr>
          <w:rFonts w:ascii="Times New Roman" w:hAnsi="Times New Roman"/>
        </w:rPr>
        <w:t xml:space="preserve"> </w:t>
      </w:r>
      <w:r w:rsidR="00790218" w:rsidRPr="005D0435">
        <w:rPr>
          <w:rFonts w:ascii="Times New Roman" w:hAnsi="Times New Roman"/>
        </w:rPr>
        <w:t>percent</w:t>
      </w:r>
      <w:r w:rsidR="008A43DC" w:rsidRPr="005D0435">
        <w:rPr>
          <w:rFonts w:ascii="Times New Roman" w:hAnsi="Times New Roman"/>
        </w:rPr>
        <w:t xml:space="preserve"> of</w:t>
      </w:r>
      <w:r w:rsidR="00684F66" w:rsidRPr="005D0435">
        <w:rPr>
          <w:rFonts w:ascii="Times New Roman" w:hAnsi="Times New Roman"/>
        </w:rPr>
        <w:t xml:space="preserve"> the</w:t>
      </w:r>
      <w:r w:rsidR="008A43DC" w:rsidRPr="005D0435">
        <w:rPr>
          <w:rFonts w:ascii="Times New Roman" w:hAnsi="Times New Roman"/>
        </w:rPr>
        <w:t xml:space="preserve"> tuition of the average participating school.  Families made up for the difference</w:t>
      </w:r>
      <w:r w:rsidR="00B85DB4" w:rsidRPr="005D0435">
        <w:rPr>
          <w:rFonts w:ascii="Times New Roman" w:hAnsi="Times New Roman"/>
        </w:rPr>
        <w:t xml:space="preserve"> (Angrist et al</w:t>
      </w:r>
      <w:r w:rsidR="008A43DC" w:rsidRPr="005D0435">
        <w:rPr>
          <w:rFonts w:ascii="Times New Roman" w:hAnsi="Times New Roman"/>
        </w:rPr>
        <w:t>.</w:t>
      </w:r>
      <w:r w:rsidR="00B85DB4" w:rsidRPr="005D0435">
        <w:rPr>
          <w:rFonts w:ascii="Times New Roman" w:hAnsi="Times New Roman"/>
        </w:rPr>
        <w:t xml:space="preserve"> 2002).</w:t>
      </w:r>
    </w:p>
    <w:p w14:paraId="0F19C39B" w14:textId="5DECD48F" w:rsidR="00507034" w:rsidRPr="00507034" w:rsidRDefault="008A43DC" w:rsidP="00402892">
      <w:pPr>
        <w:pStyle w:val="ListParagraph"/>
        <w:autoSpaceDE w:val="0"/>
        <w:autoSpaceDN w:val="0"/>
        <w:adjustRightInd w:val="0"/>
        <w:spacing w:after="160" w:line="360" w:lineRule="auto"/>
        <w:ind w:left="0" w:firstLine="720"/>
        <w:jc w:val="both"/>
        <w:rPr>
          <w:rFonts w:ascii="Times New Roman" w:hAnsi="Times New Roman"/>
        </w:rPr>
      </w:pPr>
      <w:r w:rsidRPr="005D0435">
        <w:rPr>
          <w:rFonts w:ascii="Times New Roman" w:hAnsi="Times New Roman"/>
        </w:rPr>
        <w:t xml:space="preserve">In order to receive </w:t>
      </w:r>
      <w:r w:rsidR="00790218" w:rsidRPr="005D0435">
        <w:rPr>
          <w:rFonts w:ascii="Times New Roman" w:hAnsi="Times New Roman"/>
        </w:rPr>
        <w:t>an award</w:t>
      </w:r>
      <w:r w:rsidR="00247BEB" w:rsidRPr="005D0435">
        <w:rPr>
          <w:rFonts w:ascii="Times New Roman" w:hAnsi="Times New Roman"/>
        </w:rPr>
        <w:t>, s</w:t>
      </w:r>
      <w:r w:rsidRPr="005D0435">
        <w:rPr>
          <w:rFonts w:ascii="Times New Roman" w:hAnsi="Times New Roman"/>
        </w:rPr>
        <w:t>tudent</w:t>
      </w:r>
      <w:r w:rsidR="00247BEB" w:rsidRPr="005D0435">
        <w:rPr>
          <w:rFonts w:ascii="Times New Roman" w:hAnsi="Times New Roman"/>
        </w:rPr>
        <w:t>s</w:t>
      </w:r>
      <w:r w:rsidRPr="005D0435">
        <w:rPr>
          <w:rFonts w:ascii="Times New Roman" w:hAnsi="Times New Roman"/>
        </w:rPr>
        <w:t xml:space="preserve"> needed to have applied and been accepted to a participating private school.  </w:t>
      </w:r>
      <w:r w:rsidR="00790218" w:rsidRPr="005D0435">
        <w:rPr>
          <w:rFonts w:ascii="Times New Roman" w:hAnsi="Times New Roman"/>
        </w:rPr>
        <w:t xml:space="preserve">Scholarships </w:t>
      </w:r>
      <w:r w:rsidRPr="005D0435">
        <w:rPr>
          <w:rFonts w:ascii="Times New Roman" w:hAnsi="Times New Roman"/>
        </w:rPr>
        <w:t>were awarded</w:t>
      </w:r>
      <w:r w:rsidR="004116F3" w:rsidRPr="005D0435">
        <w:rPr>
          <w:rFonts w:ascii="Times New Roman" w:hAnsi="Times New Roman"/>
        </w:rPr>
        <w:t xml:space="preserve"> by lottery</w:t>
      </w:r>
      <w:r w:rsidRPr="005D0435">
        <w:rPr>
          <w:rFonts w:ascii="Times New Roman" w:hAnsi="Times New Roman"/>
        </w:rPr>
        <w:t xml:space="preserve"> if demand exceeded </w:t>
      </w:r>
      <w:r w:rsidR="00D77486" w:rsidRPr="005D0435">
        <w:rPr>
          <w:rFonts w:ascii="Times New Roman" w:hAnsi="Times New Roman"/>
        </w:rPr>
        <w:t xml:space="preserve">scholarship </w:t>
      </w:r>
      <w:r w:rsidRPr="005D0435">
        <w:rPr>
          <w:rFonts w:ascii="Times New Roman" w:hAnsi="Times New Roman"/>
        </w:rPr>
        <w:t>availability.</w:t>
      </w:r>
      <w:r w:rsidR="003D3161" w:rsidRPr="005D0435">
        <w:rPr>
          <w:rFonts w:ascii="Times New Roman" w:hAnsi="Times New Roman"/>
        </w:rPr>
        <w:t xml:space="preserve"> Students were between 12 and 13 years of age at the time o</w:t>
      </w:r>
      <w:r w:rsidR="00D6423F" w:rsidRPr="005D0435">
        <w:rPr>
          <w:rFonts w:ascii="Times New Roman" w:hAnsi="Times New Roman"/>
        </w:rPr>
        <w:t xml:space="preserve">f application.  </w:t>
      </w:r>
      <w:r w:rsidR="00314BFF" w:rsidRPr="005D0435">
        <w:rPr>
          <w:rFonts w:ascii="Times New Roman" w:hAnsi="Times New Roman"/>
        </w:rPr>
        <w:t>R</w:t>
      </w:r>
      <w:r w:rsidRPr="005D0435">
        <w:rPr>
          <w:rFonts w:ascii="Times New Roman" w:hAnsi="Times New Roman"/>
        </w:rPr>
        <w:t xml:space="preserve">enewal of the </w:t>
      </w:r>
      <w:r w:rsidR="00790218" w:rsidRPr="005D0435">
        <w:rPr>
          <w:rFonts w:ascii="Times New Roman" w:hAnsi="Times New Roman"/>
        </w:rPr>
        <w:t>award</w:t>
      </w:r>
      <w:r w:rsidRPr="005D0435">
        <w:rPr>
          <w:rFonts w:ascii="Times New Roman" w:hAnsi="Times New Roman"/>
        </w:rPr>
        <w:t xml:space="preserve"> through the end of students’ secondary schooling was contingent upon </w:t>
      </w:r>
      <w:r w:rsidRPr="00DA40E5">
        <w:rPr>
          <w:rFonts w:ascii="Times New Roman" w:hAnsi="Times New Roman"/>
        </w:rPr>
        <w:t>passing grades</w:t>
      </w:r>
      <w:r w:rsidR="00794676" w:rsidRPr="00DA40E5">
        <w:rPr>
          <w:rFonts w:ascii="Times New Roman" w:hAnsi="Times New Roman"/>
        </w:rPr>
        <w:t>.</w:t>
      </w:r>
      <w:r w:rsidR="00314BFF" w:rsidRPr="00DA40E5">
        <w:rPr>
          <w:rFonts w:ascii="Times New Roman" w:hAnsi="Times New Roman"/>
        </w:rPr>
        <w:t xml:space="preserve">  </w:t>
      </w:r>
      <w:r w:rsidR="00FB7842" w:rsidRPr="00DA40E5">
        <w:rPr>
          <w:rFonts w:ascii="Times New Roman" w:hAnsi="Times New Roman"/>
        </w:rPr>
        <w:t xml:space="preserve">The extent to which this </w:t>
      </w:r>
      <w:r w:rsidR="00314BFF" w:rsidRPr="00DA40E5">
        <w:rPr>
          <w:rFonts w:ascii="Times New Roman" w:hAnsi="Times New Roman"/>
        </w:rPr>
        <w:t xml:space="preserve">conditionality was </w:t>
      </w:r>
      <w:r w:rsidR="00684F66" w:rsidRPr="00DA40E5">
        <w:rPr>
          <w:rFonts w:ascii="Times New Roman" w:hAnsi="Times New Roman"/>
        </w:rPr>
        <w:t xml:space="preserve">at all </w:t>
      </w:r>
      <w:r w:rsidR="00314BFF" w:rsidRPr="00DA40E5">
        <w:rPr>
          <w:rFonts w:ascii="Times New Roman" w:hAnsi="Times New Roman"/>
        </w:rPr>
        <w:t>enforced</w:t>
      </w:r>
      <w:r w:rsidR="00FB7842" w:rsidRPr="00DA40E5">
        <w:rPr>
          <w:rFonts w:ascii="Times New Roman" w:hAnsi="Times New Roman"/>
        </w:rPr>
        <w:t xml:space="preserve"> is unclear </w:t>
      </w:r>
      <w:r w:rsidR="00375C7D" w:rsidRPr="00DA40E5">
        <w:rPr>
          <w:rFonts w:ascii="Times New Roman" w:hAnsi="Times New Roman"/>
        </w:rPr>
        <w:t>(Calderón 1996</w:t>
      </w:r>
      <w:r w:rsidR="00FB7842" w:rsidRPr="00507034">
        <w:rPr>
          <w:rFonts w:ascii="Times New Roman" w:hAnsi="Times New Roman"/>
        </w:rPr>
        <w:t xml:space="preserve">; </w:t>
      </w:r>
      <w:r w:rsidR="004116F3" w:rsidRPr="00507034">
        <w:rPr>
          <w:rFonts w:ascii="Times New Roman" w:hAnsi="Times New Roman"/>
        </w:rPr>
        <w:t xml:space="preserve">Ribero </w:t>
      </w:r>
      <w:r w:rsidR="00A418EE" w:rsidRPr="00507034">
        <w:rPr>
          <w:rFonts w:ascii="Times New Roman" w:hAnsi="Times New Roman"/>
        </w:rPr>
        <w:t xml:space="preserve">and </w:t>
      </w:r>
      <w:r w:rsidR="004116F3" w:rsidRPr="00507034">
        <w:rPr>
          <w:rFonts w:ascii="Times New Roman" w:hAnsi="Times New Roman"/>
        </w:rPr>
        <w:t>Ten</w:t>
      </w:r>
      <w:r w:rsidR="00612B40" w:rsidRPr="00507034">
        <w:rPr>
          <w:rFonts w:ascii="Times New Roman" w:hAnsi="Times New Roman"/>
        </w:rPr>
        <w:t>j</w:t>
      </w:r>
      <w:r w:rsidR="004116F3" w:rsidRPr="00507034">
        <w:rPr>
          <w:rFonts w:ascii="Times New Roman" w:hAnsi="Times New Roman"/>
        </w:rPr>
        <w:t>o 1997)</w:t>
      </w:r>
      <w:r w:rsidRPr="00507034">
        <w:rPr>
          <w:rFonts w:ascii="Times New Roman" w:hAnsi="Times New Roman"/>
        </w:rPr>
        <w:t>.</w:t>
      </w:r>
    </w:p>
    <w:p w14:paraId="0D37B61C" w14:textId="77777777" w:rsidR="00DA40E5" w:rsidRPr="00507034" w:rsidRDefault="00361B2B" w:rsidP="00402892">
      <w:pPr>
        <w:pStyle w:val="ListParagraph"/>
        <w:autoSpaceDE w:val="0"/>
        <w:autoSpaceDN w:val="0"/>
        <w:adjustRightInd w:val="0"/>
        <w:spacing w:after="160" w:line="360" w:lineRule="auto"/>
        <w:ind w:left="0" w:firstLine="720"/>
        <w:jc w:val="both"/>
        <w:rPr>
          <w:rFonts w:ascii="Times New Roman" w:hAnsi="Times New Roman"/>
        </w:rPr>
      </w:pPr>
      <w:r w:rsidRPr="00507034">
        <w:rPr>
          <w:rFonts w:ascii="Times New Roman" w:hAnsi="Times New Roman"/>
        </w:rPr>
        <w:lastRenderedPageBreak/>
        <w:t>The design of the PACES program and the Colombian context included several features that likely reduce its fiscal cost. First, scholarships cost less than per pupil expenditure in public schools.</w:t>
      </w:r>
    </w:p>
    <w:p w14:paraId="32D1A8D9" w14:textId="68EF6221" w:rsidR="003F22FE" w:rsidRPr="001D10F5" w:rsidRDefault="00361B2B" w:rsidP="00402892">
      <w:pPr>
        <w:pStyle w:val="ListParagraph"/>
        <w:autoSpaceDE w:val="0"/>
        <w:autoSpaceDN w:val="0"/>
        <w:adjustRightInd w:val="0"/>
        <w:spacing w:after="160" w:line="360" w:lineRule="auto"/>
        <w:ind w:left="0" w:firstLine="720"/>
        <w:jc w:val="both"/>
        <w:rPr>
          <w:rFonts w:ascii="Times New Roman" w:hAnsi="Times New Roman"/>
        </w:rPr>
      </w:pPr>
      <w:r w:rsidRPr="00507034">
        <w:rPr>
          <w:rFonts w:ascii="Times New Roman" w:hAnsi="Times New Roman"/>
        </w:rPr>
        <w:t xml:space="preserve">Second, scholarships could be augmented with household funds. To the extent that the program "crowded in" household funds for education, increasing winners' human capital and future taxable earnings, the government budget constraint improves. Allowing “top-ups” also avoids creating incentives for some families to trade down from higher cost private schools to private </w:t>
      </w:r>
      <w:r w:rsidRPr="003F22FE">
        <w:rPr>
          <w:rFonts w:ascii="Times New Roman" w:hAnsi="Times New Roman"/>
        </w:rPr>
        <w:t>schools with fees at or below the value of the scholarship, which may have reduced human capital accumulation and future taxable income.</w:t>
      </w:r>
    </w:p>
    <w:p w14:paraId="3044DC53" w14:textId="77777777" w:rsidR="00D5606A" w:rsidRPr="00FD4716" w:rsidRDefault="00361B2B" w:rsidP="00402892">
      <w:pPr>
        <w:pStyle w:val="ListParagraph"/>
        <w:autoSpaceDE w:val="0"/>
        <w:autoSpaceDN w:val="0"/>
        <w:adjustRightInd w:val="0"/>
        <w:spacing w:after="160" w:line="360" w:lineRule="auto"/>
        <w:ind w:left="0" w:firstLine="720"/>
        <w:jc w:val="both"/>
        <w:rPr>
          <w:rFonts w:ascii="Times New Roman" w:hAnsi="Times New Roman"/>
        </w:rPr>
      </w:pPr>
      <w:r w:rsidRPr="001D10F5">
        <w:rPr>
          <w:rFonts w:ascii="Times New Roman" w:hAnsi="Times New Roman"/>
        </w:rPr>
        <w:t>Third, as is fairly standard in many scholarship programs, program rules made retention in the program conditional on satisfactory grade completion.  Indeed</w:t>
      </w:r>
      <w:r w:rsidR="00166607" w:rsidRPr="001D10F5">
        <w:rPr>
          <w:rFonts w:ascii="Times New Roman" w:hAnsi="Times New Roman"/>
        </w:rPr>
        <w:t>,</w:t>
      </w:r>
      <w:r w:rsidRPr="001D10F5">
        <w:rPr>
          <w:rFonts w:ascii="Times New Roman" w:hAnsi="Times New Roman"/>
        </w:rPr>
        <w:t xml:space="preserve"> we find that on-time secondary graduation increased and grade retention fell as a result of the scholarship offers</w:t>
      </w:r>
      <w:r w:rsidRPr="00D5606A">
        <w:rPr>
          <w:rFonts w:ascii="Times New Roman" w:hAnsi="Times New Roman"/>
        </w:rPr>
        <w:t>.  To the extent that reduced repetition led to fewer years of schooling taking place in public schools, public expendi</w:t>
      </w:r>
      <w:r w:rsidR="005A385E" w:rsidRPr="00FD4716">
        <w:rPr>
          <w:rFonts w:ascii="Times New Roman" w:hAnsi="Times New Roman"/>
        </w:rPr>
        <w:t>ture in education fell.</w:t>
      </w:r>
    </w:p>
    <w:p w14:paraId="2C1A4300" w14:textId="6D335D3F" w:rsidR="00D5606A" w:rsidRPr="005D744D" w:rsidRDefault="00361B2B" w:rsidP="00402892">
      <w:pPr>
        <w:pStyle w:val="ListParagraph"/>
        <w:autoSpaceDE w:val="0"/>
        <w:autoSpaceDN w:val="0"/>
        <w:adjustRightInd w:val="0"/>
        <w:spacing w:after="160" w:line="360" w:lineRule="auto"/>
        <w:ind w:left="0" w:firstLine="720"/>
        <w:jc w:val="both"/>
        <w:rPr>
          <w:rFonts w:ascii="Times New Roman" w:hAnsi="Times New Roman"/>
        </w:rPr>
      </w:pPr>
      <w:r w:rsidRPr="005D744D">
        <w:rPr>
          <w:rFonts w:ascii="Times New Roman" w:hAnsi="Times New Roman"/>
        </w:rPr>
        <w:t>Fourth, scholarships were targeted to the poor, reducing the extent to which the simply subsidized students who would have gone to</w:t>
      </w:r>
      <w:r w:rsidR="005A385E" w:rsidRPr="005D744D">
        <w:rPr>
          <w:rFonts w:ascii="Times New Roman" w:hAnsi="Times New Roman"/>
        </w:rPr>
        <w:t xml:space="preserve"> private school anyway. (This poverty targeting will also of course make a distributional-weighted public finance calculation more favorable.)</w:t>
      </w:r>
    </w:p>
    <w:p w14:paraId="1671F4FE" w14:textId="1CC082FF" w:rsidR="00D5606A" w:rsidRPr="00763785" w:rsidRDefault="005E26ED" w:rsidP="00402892">
      <w:pPr>
        <w:pStyle w:val="ListParagraph"/>
        <w:autoSpaceDE w:val="0"/>
        <w:autoSpaceDN w:val="0"/>
        <w:adjustRightInd w:val="0"/>
        <w:spacing w:after="160" w:line="360" w:lineRule="auto"/>
        <w:ind w:left="0" w:firstLine="720"/>
        <w:jc w:val="both"/>
        <w:rPr>
          <w:rFonts w:ascii="Times New Roman" w:hAnsi="Times New Roman"/>
        </w:rPr>
      </w:pPr>
      <w:r w:rsidRPr="005D744D">
        <w:rPr>
          <w:rFonts w:ascii="Times New Roman" w:hAnsi="Times New Roman"/>
        </w:rPr>
        <w:t xml:space="preserve">Students could apply to either academic or vocational private schools. </w:t>
      </w:r>
      <w:r w:rsidR="00C7286B" w:rsidRPr="005D744D">
        <w:rPr>
          <w:rFonts w:ascii="Times New Roman" w:hAnsi="Times New Roman"/>
        </w:rPr>
        <w:t xml:space="preserve"> Applicants to vocational schools tend to differ systematically from other applicants; they tend to come from families where the parents are less educated, they are also more likely to be living in the poorest of Colombian neighborhoods, and they typically applied to schools whose students attained lower than average scores on college entrance examinations (Bettinger, Kremer and Saavedra 2010).</w:t>
      </w:r>
    </w:p>
    <w:p w14:paraId="47EE262C" w14:textId="2E51C52D" w:rsidR="004C52E4" w:rsidRPr="000858E9" w:rsidRDefault="005E26ED" w:rsidP="00402892">
      <w:pPr>
        <w:pStyle w:val="ListParagraph"/>
        <w:autoSpaceDE w:val="0"/>
        <w:autoSpaceDN w:val="0"/>
        <w:adjustRightInd w:val="0"/>
        <w:spacing w:after="160" w:line="360" w:lineRule="auto"/>
        <w:ind w:left="0" w:firstLine="720"/>
        <w:jc w:val="both"/>
        <w:rPr>
          <w:rFonts w:ascii="Times New Roman" w:hAnsi="Times New Roman"/>
        </w:rPr>
      </w:pPr>
      <w:r w:rsidRPr="00763785">
        <w:rPr>
          <w:rFonts w:ascii="Times New Roman" w:hAnsi="Times New Roman"/>
        </w:rPr>
        <w:t>After gaining acceptance</w:t>
      </w:r>
      <w:r w:rsidR="00935BB5" w:rsidRPr="00763785">
        <w:rPr>
          <w:rFonts w:ascii="Times New Roman" w:hAnsi="Times New Roman"/>
        </w:rPr>
        <w:t xml:space="preserve"> to a participating school</w:t>
      </w:r>
      <w:r w:rsidRPr="00D5606A">
        <w:rPr>
          <w:rFonts w:ascii="Times New Roman" w:hAnsi="Times New Roman"/>
        </w:rPr>
        <w:t>, students then submitted</w:t>
      </w:r>
      <w:r w:rsidR="00124634" w:rsidRPr="00FD4716">
        <w:rPr>
          <w:rFonts w:ascii="Times New Roman" w:hAnsi="Times New Roman"/>
        </w:rPr>
        <w:t xml:space="preserve"> scholarship applications. </w:t>
      </w:r>
      <w:r w:rsidRPr="005D744D">
        <w:rPr>
          <w:rFonts w:ascii="Times New Roman" w:hAnsi="Times New Roman"/>
        </w:rPr>
        <w:t>Because it was administratively difficult to retain the</w:t>
      </w:r>
      <w:r w:rsidR="00124634" w:rsidRPr="00BF2E02">
        <w:rPr>
          <w:rFonts w:ascii="Times New Roman" w:hAnsi="Times New Roman"/>
        </w:rPr>
        <w:t xml:space="preserve"> scholarship </w:t>
      </w:r>
      <w:r w:rsidRPr="00763785">
        <w:rPr>
          <w:rFonts w:ascii="Times New Roman" w:hAnsi="Times New Roman"/>
        </w:rPr>
        <w:t xml:space="preserve">if one switched </w:t>
      </w:r>
      <w:r w:rsidRPr="004C52E4">
        <w:rPr>
          <w:rFonts w:ascii="Times New Roman" w:hAnsi="Times New Roman"/>
        </w:rPr>
        <w:t>schools, there was considerable stickiness in schools attended</w:t>
      </w:r>
      <w:r w:rsidR="00124634" w:rsidRPr="004C52E4">
        <w:rPr>
          <w:rFonts w:ascii="Times New Roman" w:hAnsi="Times New Roman"/>
        </w:rPr>
        <w:t xml:space="preserve"> by scholarship winners. Less than 20 percent</w:t>
      </w:r>
      <w:r w:rsidRPr="000858E9">
        <w:rPr>
          <w:rFonts w:ascii="Times New Roman" w:hAnsi="Times New Roman"/>
        </w:rPr>
        <w:t xml:space="preserve"> of students that transferred after the first year we</w:t>
      </w:r>
      <w:r w:rsidR="00124634" w:rsidRPr="000858E9">
        <w:rPr>
          <w:rFonts w:ascii="Times New Roman" w:hAnsi="Times New Roman"/>
        </w:rPr>
        <w:t>re able to retain their scholarship.</w:t>
      </w:r>
      <w:r w:rsidRPr="000858E9">
        <w:rPr>
          <w:rFonts w:ascii="Times New Roman" w:hAnsi="Times New Roman"/>
        </w:rPr>
        <w:t xml:space="preserve"> Thus, among applicants who applied to</w:t>
      </w:r>
      <w:r w:rsidR="00124634" w:rsidRPr="000858E9">
        <w:rPr>
          <w:rFonts w:ascii="Times New Roman" w:hAnsi="Times New Roman"/>
        </w:rPr>
        <w:t xml:space="preserve"> </w:t>
      </w:r>
      <w:r w:rsidRPr="001E6818">
        <w:rPr>
          <w:rFonts w:ascii="Times New Roman" w:hAnsi="Times New Roman"/>
        </w:rPr>
        <w:t xml:space="preserve">vocational private schools, </w:t>
      </w:r>
      <w:r w:rsidR="00124634" w:rsidRPr="00C508CA">
        <w:rPr>
          <w:rFonts w:ascii="Times New Roman" w:hAnsi="Times New Roman"/>
        </w:rPr>
        <w:t xml:space="preserve">scholarship </w:t>
      </w:r>
      <w:r w:rsidRPr="00E66A91">
        <w:rPr>
          <w:rFonts w:ascii="Times New Roman" w:hAnsi="Times New Roman"/>
        </w:rPr>
        <w:t>lot</w:t>
      </w:r>
      <w:r w:rsidRPr="001E6818">
        <w:rPr>
          <w:rFonts w:ascii="Times New Roman" w:hAnsi="Times New Roman"/>
        </w:rPr>
        <w:t>tery winners were</w:t>
      </w:r>
      <w:r w:rsidRPr="00C508CA">
        <w:rPr>
          <w:rFonts w:ascii="Times New Roman" w:hAnsi="Times New Roman"/>
        </w:rPr>
        <w:t xml:space="preserve"> more likely to stay</w:t>
      </w:r>
      <w:r w:rsidR="00124634" w:rsidRPr="00E66A91">
        <w:rPr>
          <w:rFonts w:ascii="Times New Roman" w:hAnsi="Times New Roman"/>
        </w:rPr>
        <w:t xml:space="preserve"> </w:t>
      </w:r>
      <w:r w:rsidRPr="005A09FF">
        <w:rPr>
          <w:rFonts w:ascii="Times New Roman" w:hAnsi="Times New Roman"/>
        </w:rPr>
        <w:t xml:space="preserve">in vocational schools whereas applicants who did not win a </w:t>
      </w:r>
      <w:r w:rsidR="00124634" w:rsidRPr="00870563">
        <w:rPr>
          <w:rFonts w:ascii="Times New Roman" w:hAnsi="Times New Roman"/>
        </w:rPr>
        <w:t xml:space="preserve">scholarship </w:t>
      </w:r>
      <w:r w:rsidRPr="004E6F9B">
        <w:rPr>
          <w:rFonts w:ascii="Times New Roman" w:hAnsi="Times New Roman"/>
        </w:rPr>
        <w:t>were more likely to</w:t>
      </w:r>
      <w:r w:rsidR="00124634" w:rsidRPr="00FB1E44">
        <w:rPr>
          <w:rFonts w:ascii="Times New Roman" w:hAnsi="Times New Roman"/>
        </w:rPr>
        <w:t xml:space="preserve"> </w:t>
      </w:r>
      <w:r w:rsidRPr="00071A49">
        <w:rPr>
          <w:rFonts w:ascii="Times New Roman" w:hAnsi="Times New Roman"/>
        </w:rPr>
        <w:t>attend academic school</w:t>
      </w:r>
      <w:r w:rsidR="002C4D60" w:rsidRPr="005B6762">
        <w:rPr>
          <w:rFonts w:ascii="Times New Roman" w:hAnsi="Times New Roman"/>
        </w:rPr>
        <w:t>s</w:t>
      </w:r>
      <w:r w:rsidR="00124634" w:rsidRPr="002F238B">
        <w:rPr>
          <w:rFonts w:ascii="Times New Roman" w:hAnsi="Times New Roman"/>
        </w:rPr>
        <w:t xml:space="preserve"> (Bettinger, Kremer, Saavedra 2010)</w:t>
      </w:r>
      <w:r w:rsidRPr="00EA0FCF">
        <w:rPr>
          <w:rFonts w:ascii="Times New Roman" w:hAnsi="Times New Roman"/>
        </w:rPr>
        <w:t>.</w:t>
      </w:r>
    </w:p>
    <w:p w14:paraId="4EEBF94C" w14:textId="08D2435C" w:rsidR="00306398" w:rsidRPr="004C52E4" w:rsidRDefault="00C653DF" w:rsidP="00402892">
      <w:pPr>
        <w:pStyle w:val="ListParagraph"/>
        <w:autoSpaceDE w:val="0"/>
        <w:autoSpaceDN w:val="0"/>
        <w:adjustRightInd w:val="0"/>
        <w:spacing w:after="160" w:line="360" w:lineRule="auto"/>
        <w:ind w:left="0" w:firstLine="720"/>
        <w:jc w:val="both"/>
        <w:rPr>
          <w:rFonts w:ascii="Times New Roman" w:hAnsi="Times New Roman"/>
        </w:rPr>
      </w:pPr>
      <w:r w:rsidRPr="004C52E4">
        <w:rPr>
          <w:rFonts w:ascii="Times New Roman" w:hAnsi="Times New Roman"/>
        </w:rPr>
        <w:lastRenderedPageBreak/>
        <w:t>A</w:t>
      </w:r>
      <w:r w:rsidR="005E26ED" w:rsidRPr="004C52E4">
        <w:rPr>
          <w:rFonts w:ascii="Times New Roman" w:hAnsi="Times New Roman"/>
        </w:rPr>
        <w:t>mong applicant</w:t>
      </w:r>
      <w:r w:rsidRPr="004C52E4">
        <w:rPr>
          <w:rFonts w:ascii="Times New Roman" w:hAnsi="Times New Roman"/>
        </w:rPr>
        <w:t>s to vocational schools, scholarship</w:t>
      </w:r>
      <w:r w:rsidR="005E26ED" w:rsidRPr="004C52E4">
        <w:rPr>
          <w:rFonts w:ascii="Times New Roman" w:hAnsi="Times New Roman"/>
        </w:rPr>
        <w:t xml:space="preserve"> winners</w:t>
      </w:r>
      <w:r w:rsidRPr="004C52E4">
        <w:rPr>
          <w:rFonts w:ascii="Times New Roman" w:hAnsi="Times New Roman"/>
        </w:rPr>
        <w:t xml:space="preserve"> </w:t>
      </w:r>
      <w:r w:rsidR="005E26ED" w:rsidRPr="004C52E4">
        <w:rPr>
          <w:rFonts w:ascii="Times New Roman" w:hAnsi="Times New Roman"/>
        </w:rPr>
        <w:t>attended</w:t>
      </w:r>
      <w:r w:rsidR="00CF149D" w:rsidRPr="004C52E4">
        <w:rPr>
          <w:rFonts w:ascii="Times New Roman" w:hAnsi="Times New Roman"/>
        </w:rPr>
        <w:t xml:space="preserve"> schools where students were 33 percent more likely to drop out before </w:t>
      </w:r>
      <w:r w:rsidR="001C47E2" w:rsidRPr="004C52E4">
        <w:rPr>
          <w:rFonts w:ascii="Times New Roman" w:hAnsi="Times New Roman"/>
        </w:rPr>
        <w:t xml:space="preserve">completing secondary school and </w:t>
      </w:r>
      <w:r w:rsidR="00CF149D" w:rsidRPr="004C52E4">
        <w:rPr>
          <w:rFonts w:ascii="Times New Roman" w:hAnsi="Times New Roman"/>
        </w:rPr>
        <w:t>were 25 percent</w:t>
      </w:r>
      <w:r w:rsidR="005E26ED" w:rsidRPr="004C52E4">
        <w:rPr>
          <w:rFonts w:ascii="Times New Roman" w:hAnsi="Times New Roman"/>
        </w:rPr>
        <w:t xml:space="preserve"> less</w:t>
      </w:r>
      <w:r w:rsidR="00CF149D" w:rsidRPr="004C52E4">
        <w:rPr>
          <w:rFonts w:ascii="Times New Roman" w:hAnsi="Times New Roman"/>
        </w:rPr>
        <w:t xml:space="preserve"> likely to attend college</w:t>
      </w:r>
      <w:r w:rsidR="005E26ED" w:rsidRPr="004C52E4">
        <w:rPr>
          <w:rFonts w:ascii="Times New Roman" w:hAnsi="Times New Roman"/>
        </w:rPr>
        <w:t>. Despite not having observably more desirable peers, among those</w:t>
      </w:r>
      <w:r w:rsidR="00CF149D" w:rsidRPr="004C52E4">
        <w:rPr>
          <w:rFonts w:ascii="Times New Roman" w:hAnsi="Times New Roman"/>
        </w:rPr>
        <w:t xml:space="preserve"> </w:t>
      </w:r>
      <w:r w:rsidR="005E26ED" w:rsidRPr="004C52E4">
        <w:rPr>
          <w:rFonts w:ascii="Times New Roman" w:hAnsi="Times New Roman"/>
        </w:rPr>
        <w:t>who applied</w:t>
      </w:r>
      <w:r w:rsidR="00CF149D" w:rsidRPr="004C52E4">
        <w:rPr>
          <w:rFonts w:ascii="Times New Roman" w:hAnsi="Times New Roman"/>
        </w:rPr>
        <w:t xml:space="preserve"> to vocational schools, scholarship lottery winners had </w:t>
      </w:r>
      <w:r w:rsidR="005E26ED" w:rsidRPr="004C52E4">
        <w:rPr>
          <w:rFonts w:ascii="Times New Roman" w:hAnsi="Times New Roman"/>
        </w:rPr>
        <w:t>significantly better</w:t>
      </w:r>
      <w:r w:rsidR="00CF149D" w:rsidRPr="004C52E4">
        <w:rPr>
          <w:rFonts w:ascii="Times New Roman" w:hAnsi="Times New Roman"/>
        </w:rPr>
        <w:t xml:space="preserve"> </w:t>
      </w:r>
      <w:r w:rsidR="005E26ED" w:rsidRPr="004C52E4">
        <w:rPr>
          <w:rFonts w:ascii="Times New Roman" w:hAnsi="Times New Roman"/>
        </w:rPr>
        <w:t>educational outco</w:t>
      </w:r>
      <w:r w:rsidR="00CF149D" w:rsidRPr="004C52E4">
        <w:rPr>
          <w:rFonts w:ascii="Times New Roman" w:hAnsi="Times New Roman"/>
        </w:rPr>
        <w:t>mes than losers, including a 25 percent</w:t>
      </w:r>
      <w:r w:rsidR="005E26ED" w:rsidRPr="004C52E4">
        <w:rPr>
          <w:rFonts w:ascii="Times New Roman" w:hAnsi="Times New Roman"/>
        </w:rPr>
        <w:t xml:space="preserve"> increase in the likelihood of graduating</w:t>
      </w:r>
      <w:r w:rsidR="00CF149D" w:rsidRPr="004C52E4">
        <w:rPr>
          <w:rFonts w:ascii="Times New Roman" w:hAnsi="Times New Roman"/>
        </w:rPr>
        <w:t xml:space="preserve"> </w:t>
      </w:r>
      <w:r w:rsidR="005E26ED" w:rsidRPr="004C52E4">
        <w:rPr>
          <w:rFonts w:ascii="Times New Roman" w:hAnsi="Times New Roman"/>
        </w:rPr>
        <w:t>from high school and a one-third of a standard deviation increase in college</w:t>
      </w:r>
      <w:r w:rsidR="00CF149D" w:rsidRPr="004C52E4">
        <w:rPr>
          <w:rFonts w:ascii="Times New Roman" w:hAnsi="Times New Roman"/>
        </w:rPr>
        <w:t xml:space="preserve"> entrance examination scores (Bettinger, Kremer, Saavedra, 2010).</w:t>
      </w:r>
      <w:r w:rsidR="005147C2" w:rsidRPr="004C52E4">
        <w:rPr>
          <w:rStyle w:val="FootnoteReference"/>
          <w:rFonts w:ascii="Times New Roman" w:hAnsi="Times New Roman"/>
        </w:rPr>
        <w:footnoteReference w:id="10"/>
      </w:r>
      <w:r w:rsidR="00CF149D" w:rsidRPr="004C52E4">
        <w:rPr>
          <w:rFonts w:ascii="Times New Roman" w:hAnsi="Times New Roman"/>
          <w:b/>
          <w:i/>
        </w:rPr>
        <w:t xml:space="preserve">  </w:t>
      </w:r>
      <w:r w:rsidR="00CA5B7B" w:rsidRPr="004C52E4">
        <w:rPr>
          <w:rFonts w:ascii="Times New Roman" w:hAnsi="Times New Roman"/>
        </w:rPr>
        <w:t>The</w:t>
      </w:r>
      <w:r w:rsidR="00CF149D" w:rsidRPr="004C52E4">
        <w:rPr>
          <w:rFonts w:ascii="Times New Roman" w:hAnsi="Times New Roman"/>
        </w:rPr>
        <w:t xml:space="preserve"> authors</w:t>
      </w:r>
      <w:r w:rsidR="00CA5B7B" w:rsidRPr="004C52E4">
        <w:rPr>
          <w:rFonts w:ascii="Times New Roman" w:hAnsi="Times New Roman"/>
        </w:rPr>
        <w:t xml:space="preserve"> argue that the findings of better outcomes despite worse observable peers</w:t>
      </w:r>
      <w:r w:rsidR="00AC1F6A" w:rsidRPr="004C52E4">
        <w:rPr>
          <w:rFonts w:ascii="Times New Roman" w:hAnsi="Times New Roman"/>
        </w:rPr>
        <w:t>, cast</w:t>
      </w:r>
      <w:r w:rsidR="00CA5B7B" w:rsidRPr="004C52E4">
        <w:rPr>
          <w:rFonts w:ascii="Times New Roman" w:hAnsi="Times New Roman"/>
        </w:rPr>
        <w:t xml:space="preserve">s </w:t>
      </w:r>
      <w:r w:rsidR="00AC1F6A" w:rsidRPr="004C52E4">
        <w:rPr>
          <w:rFonts w:ascii="Times New Roman" w:hAnsi="Times New Roman"/>
        </w:rPr>
        <w:t>doubt</w:t>
      </w:r>
      <w:r w:rsidR="000770D6" w:rsidRPr="004C52E4">
        <w:rPr>
          <w:rFonts w:ascii="Times New Roman" w:hAnsi="Times New Roman"/>
        </w:rPr>
        <w:t xml:space="preserve"> o</w:t>
      </w:r>
      <w:r w:rsidR="00C6061A" w:rsidRPr="004C52E4">
        <w:rPr>
          <w:rFonts w:ascii="Times New Roman" w:hAnsi="Times New Roman"/>
        </w:rPr>
        <w:t xml:space="preserve">n the idea that </w:t>
      </w:r>
      <w:r w:rsidR="00CF149D" w:rsidRPr="004C52E4">
        <w:rPr>
          <w:rFonts w:ascii="Times New Roman" w:hAnsi="Times New Roman"/>
        </w:rPr>
        <w:t xml:space="preserve">scholarships </w:t>
      </w:r>
      <w:r w:rsidR="00C6061A" w:rsidRPr="004C52E4">
        <w:rPr>
          <w:rFonts w:ascii="Times New Roman" w:hAnsi="Times New Roman"/>
        </w:rPr>
        <w:t>improved outcomes for winners solely by matching them to better peers</w:t>
      </w:r>
      <w:r w:rsidR="00844827" w:rsidRPr="004C52E4">
        <w:rPr>
          <w:rFonts w:ascii="Times New Roman" w:hAnsi="Times New Roman"/>
        </w:rPr>
        <w:t>.</w:t>
      </w:r>
      <w:r w:rsidR="00457A07" w:rsidRPr="004C52E4">
        <w:rPr>
          <w:rFonts w:ascii="Times New Roman" w:hAnsi="Times New Roman"/>
        </w:rPr>
        <w:t xml:space="preserve"> Instead, they argue that effects are likely driven by private sector vocational schools</w:t>
      </w:r>
      <w:r w:rsidR="000B364A" w:rsidRPr="004C52E4">
        <w:rPr>
          <w:rFonts w:ascii="Times New Roman" w:hAnsi="Times New Roman"/>
        </w:rPr>
        <w:t>’</w:t>
      </w:r>
      <w:r w:rsidR="00457A07" w:rsidRPr="004C52E4">
        <w:rPr>
          <w:rFonts w:ascii="Times New Roman" w:hAnsi="Times New Roman"/>
        </w:rPr>
        <w:t xml:space="preserve"> better ability to match</w:t>
      </w:r>
      <w:r w:rsidR="000B364A" w:rsidRPr="004C52E4">
        <w:rPr>
          <w:rFonts w:ascii="Times New Roman" w:hAnsi="Times New Roman"/>
        </w:rPr>
        <w:t xml:space="preserve"> labor market needs</w:t>
      </w:r>
      <w:r w:rsidR="00457A07" w:rsidRPr="004C52E4">
        <w:rPr>
          <w:rFonts w:ascii="Times New Roman" w:hAnsi="Times New Roman"/>
        </w:rPr>
        <w:t>.</w:t>
      </w:r>
    </w:p>
    <w:p w14:paraId="24C9B5FD" w14:textId="77777777" w:rsidR="008C36B9" w:rsidRPr="00166607" w:rsidRDefault="00B85DB4" w:rsidP="00402892">
      <w:pPr>
        <w:pStyle w:val="ListParagraph"/>
        <w:numPr>
          <w:ilvl w:val="0"/>
          <w:numId w:val="3"/>
        </w:numPr>
        <w:spacing w:after="160" w:line="360" w:lineRule="auto"/>
        <w:ind w:left="720" w:hanging="720"/>
        <w:outlineLvl w:val="0"/>
        <w:rPr>
          <w:rFonts w:ascii="Times New Roman" w:hAnsi="Times New Roman"/>
          <w:b/>
          <w:sz w:val="28"/>
          <w:szCs w:val="28"/>
        </w:rPr>
      </w:pPr>
      <w:r w:rsidRPr="00166607">
        <w:rPr>
          <w:rFonts w:ascii="Times New Roman" w:hAnsi="Times New Roman"/>
          <w:b/>
          <w:sz w:val="28"/>
          <w:szCs w:val="28"/>
        </w:rPr>
        <w:t xml:space="preserve">Data and </w:t>
      </w:r>
      <w:r w:rsidR="00F0418E" w:rsidRPr="00166607">
        <w:rPr>
          <w:rFonts w:ascii="Times New Roman" w:hAnsi="Times New Roman"/>
          <w:b/>
          <w:sz w:val="28"/>
          <w:szCs w:val="28"/>
        </w:rPr>
        <w:t>E</w:t>
      </w:r>
      <w:r w:rsidRPr="00166607">
        <w:rPr>
          <w:rFonts w:ascii="Times New Roman" w:hAnsi="Times New Roman"/>
          <w:b/>
          <w:sz w:val="28"/>
          <w:szCs w:val="28"/>
        </w:rPr>
        <w:t xml:space="preserve">mpirical </w:t>
      </w:r>
      <w:r w:rsidR="00F0418E" w:rsidRPr="00166607">
        <w:rPr>
          <w:rFonts w:ascii="Times New Roman" w:hAnsi="Times New Roman"/>
          <w:b/>
          <w:sz w:val="28"/>
          <w:szCs w:val="28"/>
        </w:rPr>
        <w:t>S</w:t>
      </w:r>
      <w:r w:rsidRPr="00166607">
        <w:rPr>
          <w:rFonts w:ascii="Times New Roman" w:hAnsi="Times New Roman"/>
          <w:b/>
          <w:sz w:val="28"/>
          <w:szCs w:val="28"/>
        </w:rPr>
        <w:t>trategy</w:t>
      </w:r>
    </w:p>
    <w:p w14:paraId="695780C7" w14:textId="77777777" w:rsidR="00F15E3A" w:rsidRPr="00166607" w:rsidRDefault="00F15E3A" w:rsidP="00402892">
      <w:pPr>
        <w:spacing w:after="160" w:line="360" w:lineRule="auto"/>
        <w:ind w:firstLine="720"/>
        <w:jc w:val="both"/>
        <w:rPr>
          <w:rFonts w:ascii="Times New Roman" w:hAnsi="Times New Roman"/>
        </w:rPr>
      </w:pPr>
      <w:r w:rsidRPr="00166607">
        <w:rPr>
          <w:rFonts w:ascii="Times New Roman" w:hAnsi="Times New Roman"/>
        </w:rPr>
        <w:t xml:space="preserve">In this section we describe the various sources of administrative data we employ for our analyses (section 3.1) and the empirical strategy (section 3.2). </w:t>
      </w:r>
    </w:p>
    <w:p w14:paraId="5CF43246" w14:textId="77777777" w:rsidR="008C36B9" w:rsidRPr="00166607" w:rsidRDefault="00500EEC" w:rsidP="00402892">
      <w:pPr>
        <w:pStyle w:val="ListParagraph"/>
        <w:spacing w:after="160" w:line="360" w:lineRule="auto"/>
        <w:ind w:left="0"/>
        <w:outlineLvl w:val="0"/>
        <w:rPr>
          <w:rFonts w:ascii="Times New Roman" w:hAnsi="Times New Roman"/>
          <w:b/>
          <w:i/>
        </w:rPr>
      </w:pPr>
      <w:r w:rsidRPr="00166607">
        <w:rPr>
          <w:rFonts w:ascii="Times New Roman" w:hAnsi="Times New Roman"/>
          <w:b/>
          <w:i/>
        </w:rPr>
        <w:t>3.</w:t>
      </w:r>
      <w:r w:rsidR="00F15E3A" w:rsidRPr="00166607">
        <w:rPr>
          <w:rFonts w:ascii="Times New Roman" w:hAnsi="Times New Roman"/>
          <w:b/>
          <w:i/>
        </w:rPr>
        <w:t>1</w:t>
      </w:r>
      <w:r w:rsidRPr="00166607">
        <w:rPr>
          <w:rFonts w:ascii="Times New Roman" w:hAnsi="Times New Roman"/>
          <w:b/>
          <w:i/>
        </w:rPr>
        <w:t xml:space="preserve"> </w:t>
      </w:r>
      <w:r w:rsidR="005F644D" w:rsidRPr="00166607">
        <w:rPr>
          <w:rFonts w:ascii="Times New Roman" w:hAnsi="Times New Roman"/>
          <w:b/>
          <w:i/>
        </w:rPr>
        <w:t>Data</w:t>
      </w:r>
    </w:p>
    <w:p w14:paraId="49DB53E2" w14:textId="77777777" w:rsidR="001E6818" w:rsidRDefault="00124F96" w:rsidP="00402892">
      <w:pPr>
        <w:spacing w:after="160" w:line="360" w:lineRule="auto"/>
        <w:ind w:firstLine="720"/>
        <w:contextualSpacing/>
        <w:jc w:val="both"/>
        <w:rPr>
          <w:rFonts w:ascii="Times New Roman" w:hAnsi="Times New Roman"/>
        </w:rPr>
      </w:pPr>
      <w:r w:rsidRPr="00166607">
        <w:rPr>
          <w:rFonts w:ascii="Times New Roman" w:hAnsi="Times New Roman"/>
        </w:rPr>
        <w:t>We limit our analysis to individuals who applied in 1994 to enter, by lottery, a private in sixth grade in Bogotá in 1995.  This lottery and its records are the most complete and accurate</w:t>
      </w:r>
      <w:r w:rsidR="00EF32B1" w:rsidRPr="00166607">
        <w:rPr>
          <w:rFonts w:ascii="Times New Roman" w:hAnsi="Times New Roman"/>
        </w:rPr>
        <w:t xml:space="preserve"> </w:t>
      </w:r>
      <w:r w:rsidR="002C4D60" w:rsidRPr="00166607">
        <w:rPr>
          <w:rFonts w:ascii="Times New Roman" w:hAnsi="Times New Roman"/>
        </w:rPr>
        <w:t xml:space="preserve">of any of the annual voucher lotteries conducted in Colombia between 1992 and 1997 </w:t>
      </w:r>
      <w:r w:rsidR="00EF32B1" w:rsidRPr="00166607">
        <w:rPr>
          <w:rFonts w:ascii="Times New Roman" w:hAnsi="Times New Roman"/>
        </w:rPr>
        <w:t>(Angrist, Bettinger, Kremer</w:t>
      </w:r>
      <w:r w:rsidRPr="00166607">
        <w:rPr>
          <w:rFonts w:ascii="Times New Roman" w:hAnsi="Times New Roman"/>
        </w:rPr>
        <w:t xml:space="preserve"> 2006</w:t>
      </w:r>
      <w:r w:rsidR="00EF32B1" w:rsidRPr="00166607">
        <w:rPr>
          <w:rFonts w:ascii="Times New Roman" w:hAnsi="Times New Roman"/>
        </w:rPr>
        <w:t xml:space="preserve">).  We </w:t>
      </w:r>
      <w:r w:rsidRPr="00166607">
        <w:rPr>
          <w:rFonts w:ascii="Times New Roman" w:hAnsi="Times New Roman"/>
        </w:rPr>
        <w:t>refer the reader to the reference for additional details.</w:t>
      </w:r>
    </w:p>
    <w:p w14:paraId="5F37E164" w14:textId="5FC1BB2B" w:rsidR="006A15F0" w:rsidRPr="00166607" w:rsidRDefault="006A15F0" w:rsidP="00402892">
      <w:pPr>
        <w:spacing w:after="160" w:line="360" w:lineRule="auto"/>
        <w:ind w:firstLine="720"/>
        <w:contextualSpacing/>
        <w:jc w:val="both"/>
        <w:rPr>
          <w:rFonts w:ascii="Times New Roman" w:hAnsi="Times New Roman"/>
        </w:rPr>
      </w:pPr>
      <w:r w:rsidRPr="00166607">
        <w:rPr>
          <w:rFonts w:ascii="Times New Roman" w:hAnsi="Times New Roman"/>
        </w:rPr>
        <w:t xml:space="preserve">Covariates available from the PACES application are </w:t>
      </w:r>
      <w:r w:rsidR="00D87A24" w:rsidRPr="00166607">
        <w:rPr>
          <w:rFonts w:ascii="Times New Roman" w:hAnsi="Times New Roman"/>
        </w:rPr>
        <w:t xml:space="preserve">age, gender, </w:t>
      </w:r>
      <w:r w:rsidRPr="00166607">
        <w:rPr>
          <w:rFonts w:ascii="Times New Roman" w:hAnsi="Times New Roman"/>
        </w:rPr>
        <w:t>whether the applicant had a phone at the time of application</w:t>
      </w:r>
      <w:r w:rsidR="00D87A24" w:rsidRPr="00166607">
        <w:rPr>
          <w:rFonts w:ascii="Times New Roman" w:hAnsi="Times New Roman"/>
        </w:rPr>
        <w:t xml:space="preserve"> </w:t>
      </w:r>
      <w:r w:rsidRPr="00166607">
        <w:rPr>
          <w:rFonts w:ascii="Times New Roman" w:hAnsi="Times New Roman"/>
        </w:rPr>
        <w:t xml:space="preserve">and the school applied to. Bettinger, Kremer and Saavedra (2010) matched 93 percent of applicant school names in the Bogota 1995 lottery to school types (vocational or academic) using data from the ICFES secondary graduation database, which we describe below. </w:t>
      </w:r>
      <w:r w:rsidR="00CA2722" w:rsidRPr="00166607">
        <w:rPr>
          <w:rFonts w:ascii="Times New Roman" w:hAnsi="Times New Roman"/>
        </w:rPr>
        <w:t xml:space="preserve"> In the 1995 scholarship lottery, 43 percent of students applied to a private vocational secondary school, with no difference by lottery status (Panel A, Table 1).</w:t>
      </w:r>
    </w:p>
    <w:p w14:paraId="4834C644" w14:textId="33F71B6C" w:rsidR="00833B65" w:rsidRPr="00166607" w:rsidRDefault="00CA2722" w:rsidP="00402892">
      <w:pPr>
        <w:spacing w:after="160" w:line="360" w:lineRule="auto"/>
        <w:ind w:firstLine="720"/>
        <w:contextualSpacing/>
        <w:jc w:val="both"/>
        <w:rPr>
          <w:rFonts w:ascii="Times New Roman" w:hAnsi="Times New Roman"/>
        </w:rPr>
      </w:pPr>
      <w:r w:rsidRPr="00166607">
        <w:rPr>
          <w:rFonts w:ascii="Times New Roman" w:hAnsi="Times New Roman"/>
        </w:rPr>
        <w:lastRenderedPageBreak/>
        <w:t>Application c</w:t>
      </w:r>
      <w:r w:rsidR="006A15F0" w:rsidRPr="00166607">
        <w:rPr>
          <w:rFonts w:ascii="Times New Roman" w:hAnsi="Times New Roman"/>
        </w:rPr>
        <w:t>ovariates are balanced across lottery winners and losers</w:t>
      </w:r>
      <w:r w:rsidRPr="00166607">
        <w:rPr>
          <w:rFonts w:ascii="Times New Roman" w:hAnsi="Times New Roman"/>
        </w:rPr>
        <w:t xml:space="preserve"> in the full sample and separately by type of school applied to, with the exception of age (Panel A, Table 1).  At application, lottery winners in the full sample are 0.086 years younger than losers, for whom average age is 12.74 years.  The age difference between winners and losers is more pronounced among vocational school applicants, where winners are 0.14 years younger than losers (column 6, Table 1).</w:t>
      </w:r>
      <w:r w:rsidR="002C4D60" w:rsidRPr="00166607">
        <w:rPr>
          <w:rStyle w:val="FootnoteReference"/>
          <w:rFonts w:ascii="Times New Roman" w:hAnsi="Times New Roman"/>
        </w:rPr>
        <w:footnoteReference w:id="11"/>
      </w:r>
      <w:r w:rsidRPr="00166607">
        <w:rPr>
          <w:rFonts w:ascii="Times New Roman" w:hAnsi="Times New Roman"/>
        </w:rPr>
        <w:t xml:space="preserve">  </w:t>
      </w:r>
      <w:r w:rsidR="00306398" w:rsidRPr="008233C3">
        <w:rPr>
          <w:rFonts w:ascii="Times New Roman" w:hAnsi="Times New Roman"/>
        </w:rPr>
        <w:t xml:space="preserve">All results we present control for </w:t>
      </w:r>
      <w:r w:rsidR="00D87A24" w:rsidRPr="00166607">
        <w:rPr>
          <w:rFonts w:ascii="Times New Roman" w:hAnsi="Times New Roman"/>
        </w:rPr>
        <w:t xml:space="preserve">age, gender and </w:t>
      </w:r>
      <w:r w:rsidR="00306398" w:rsidRPr="00166607">
        <w:rPr>
          <w:rFonts w:ascii="Times New Roman" w:hAnsi="Times New Roman"/>
        </w:rPr>
        <w:t>having a phone.</w:t>
      </w:r>
    </w:p>
    <w:p w14:paraId="3754690E" w14:textId="28B28846" w:rsidR="00833B65" w:rsidRPr="00166607" w:rsidRDefault="00833B65" w:rsidP="00402892">
      <w:pPr>
        <w:spacing w:after="160" w:line="360" w:lineRule="auto"/>
        <w:ind w:firstLine="720"/>
        <w:contextualSpacing/>
        <w:jc w:val="both"/>
        <w:rPr>
          <w:rFonts w:ascii="Times New Roman" w:hAnsi="Times New Roman"/>
        </w:rPr>
      </w:pPr>
      <w:r w:rsidRPr="00166607">
        <w:rPr>
          <w:rFonts w:ascii="Times New Roman" w:hAnsi="Times New Roman"/>
        </w:rPr>
        <w:t xml:space="preserve">Among academic school applicants, 50 percent of students are male.  Among vocational school applicants 45 percent of students are male.  There are no differences </w:t>
      </w:r>
      <w:r w:rsidR="002C4D60" w:rsidRPr="00166607">
        <w:rPr>
          <w:rFonts w:ascii="Times New Roman" w:hAnsi="Times New Roman"/>
        </w:rPr>
        <w:t xml:space="preserve">in gender </w:t>
      </w:r>
      <w:r w:rsidRPr="00166607">
        <w:rPr>
          <w:rFonts w:ascii="Times New Roman" w:hAnsi="Times New Roman"/>
        </w:rPr>
        <w:t xml:space="preserve">by lottery status </w:t>
      </w:r>
      <w:r w:rsidR="00943E91" w:rsidRPr="00166607">
        <w:rPr>
          <w:rFonts w:ascii="Times New Roman" w:hAnsi="Times New Roman"/>
        </w:rPr>
        <w:t xml:space="preserve">either </w:t>
      </w:r>
      <w:r w:rsidRPr="00166607">
        <w:rPr>
          <w:rFonts w:ascii="Times New Roman" w:hAnsi="Times New Roman"/>
        </w:rPr>
        <w:t xml:space="preserve">in the full sample </w:t>
      </w:r>
      <w:r w:rsidR="00943E91" w:rsidRPr="00166607">
        <w:rPr>
          <w:rFonts w:ascii="Times New Roman" w:hAnsi="Times New Roman"/>
        </w:rPr>
        <w:t>or</w:t>
      </w:r>
      <w:r w:rsidR="002C4D60" w:rsidRPr="00166607">
        <w:rPr>
          <w:rFonts w:ascii="Times New Roman" w:hAnsi="Times New Roman"/>
        </w:rPr>
        <w:t xml:space="preserve"> in the lotteries </w:t>
      </w:r>
      <w:r w:rsidR="00C508CA">
        <w:rPr>
          <w:rFonts w:ascii="Times New Roman" w:hAnsi="Times New Roman"/>
        </w:rPr>
        <w:t>that</w:t>
      </w:r>
      <w:r w:rsidR="002C4D60" w:rsidRPr="00166607">
        <w:rPr>
          <w:rFonts w:ascii="Times New Roman" w:hAnsi="Times New Roman"/>
        </w:rPr>
        <w:t xml:space="preserve"> are conditional on</w:t>
      </w:r>
      <w:r w:rsidRPr="00166607">
        <w:rPr>
          <w:rFonts w:ascii="Times New Roman" w:hAnsi="Times New Roman"/>
        </w:rPr>
        <w:t xml:space="preserve"> the type of school </w:t>
      </w:r>
      <w:r w:rsidR="002C4D60" w:rsidRPr="00166607">
        <w:rPr>
          <w:rFonts w:ascii="Times New Roman" w:hAnsi="Times New Roman"/>
        </w:rPr>
        <w:t xml:space="preserve">to which students </w:t>
      </w:r>
      <w:r w:rsidRPr="00166607">
        <w:rPr>
          <w:rFonts w:ascii="Times New Roman" w:hAnsi="Times New Roman"/>
        </w:rPr>
        <w:t xml:space="preserve">applied. </w:t>
      </w:r>
    </w:p>
    <w:p w14:paraId="71B62769" w14:textId="65CE0924" w:rsidR="00EE13FC" w:rsidRPr="00166607" w:rsidRDefault="00124F96" w:rsidP="00402892">
      <w:pPr>
        <w:spacing w:after="160" w:line="360" w:lineRule="auto"/>
        <w:ind w:firstLine="720"/>
        <w:contextualSpacing/>
        <w:jc w:val="both"/>
        <w:rPr>
          <w:rFonts w:ascii="Times New Roman" w:hAnsi="Times New Roman"/>
        </w:rPr>
      </w:pPr>
      <w:r w:rsidRPr="00166607">
        <w:rPr>
          <w:rFonts w:ascii="Times New Roman" w:hAnsi="Times New Roman"/>
        </w:rPr>
        <w:t>We use the Bogotá 1995 lottery data and four additional administrative data sources.</w:t>
      </w:r>
      <w:r w:rsidR="00B0000E" w:rsidRPr="00166607">
        <w:rPr>
          <w:rFonts w:ascii="Times New Roman" w:hAnsi="Times New Roman"/>
        </w:rPr>
        <w:t xml:space="preserve"> </w:t>
      </w:r>
      <w:r w:rsidR="00EE13FC" w:rsidRPr="00166607">
        <w:rPr>
          <w:rFonts w:ascii="Times New Roman" w:hAnsi="Times New Roman"/>
        </w:rPr>
        <w:t xml:space="preserve">We used students’ names, dates of birth and adult identification numbers from the national registrar to complete the matches with the four administrative datasets.  In the scholarship applicant list, all applicants reported their full names (typically two first names, two last names) and </w:t>
      </w:r>
      <w:r w:rsidR="00A102A1" w:rsidRPr="00166607">
        <w:rPr>
          <w:rFonts w:ascii="Times New Roman" w:hAnsi="Times New Roman"/>
        </w:rPr>
        <w:t>9</w:t>
      </w:r>
      <w:r w:rsidR="00F24E02" w:rsidRPr="00166607">
        <w:rPr>
          <w:rFonts w:ascii="Times New Roman" w:hAnsi="Times New Roman"/>
        </w:rPr>
        <w:t>7</w:t>
      </w:r>
      <w:r w:rsidR="00A102A1" w:rsidRPr="00166607">
        <w:rPr>
          <w:rFonts w:ascii="Times New Roman" w:hAnsi="Times New Roman"/>
        </w:rPr>
        <w:t>.</w:t>
      </w:r>
      <w:r w:rsidR="00F24E02" w:rsidRPr="00166607">
        <w:rPr>
          <w:rFonts w:ascii="Times New Roman" w:hAnsi="Times New Roman"/>
        </w:rPr>
        <w:t>2</w:t>
      </w:r>
      <w:r w:rsidR="00A102A1" w:rsidRPr="00166607">
        <w:rPr>
          <w:rFonts w:ascii="Times New Roman" w:hAnsi="Times New Roman"/>
        </w:rPr>
        <w:t xml:space="preserve"> </w:t>
      </w:r>
      <w:r w:rsidR="00EE13FC" w:rsidRPr="00166607">
        <w:rPr>
          <w:rFonts w:ascii="Times New Roman" w:hAnsi="Times New Roman"/>
        </w:rPr>
        <w:t xml:space="preserve">percent of them reported a valid youth identification number which contains their date of birth embedded in the first six digits. </w:t>
      </w:r>
      <w:r w:rsidR="0013340B" w:rsidRPr="00166607">
        <w:rPr>
          <w:rFonts w:ascii="Times New Roman" w:hAnsi="Times New Roman"/>
        </w:rPr>
        <w:t>The remaining four digits in the youth identification number include an algorithm for determining the validity of a youth identification number, and t</w:t>
      </w:r>
      <w:r w:rsidR="00EE13FC" w:rsidRPr="00166607">
        <w:rPr>
          <w:rFonts w:ascii="Times New Roman" w:hAnsi="Times New Roman"/>
        </w:rPr>
        <w:t xml:space="preserve">here is no difference </w:t>
      </w:r>
      <w:r w:rsidR="0013340B" w:rsidRPr="00166607">
        <w:rPr>
          <w:rFonts w:ascii="Times New Roman" w:hAnsi="Times New Roman"/>
        </w:rPr>
        <w:t>by lottery status</w:t>
      </w:r>
      <w:r w:rsidR="00EE13FC" w:rsidRPr="00166607">
        <w:rPr>
          <w:rFonts w:ascii="Times New Roman" w:hAnsi="Times New Roman"/>
        </w:rPr>
        <w:t xml:space="preserve"> in the probability of having a valid youth identifier</w:t>
      </w:r>
      <w:r w:rsidR="00CA2722" w:rsidRPr="00166607">
        <w:rPr>
          <w:rFonts w:ascii="Times New Roman" w:hAnsi="Times New Roman"/>
        </w:rPr>
        <w:t xml:space="preserve"> in the full sample or separately by type of school applied to</w:t>
      </w:r>
      <w:r w:rsidR="00EE13FC" w:rsidRPr="00166607">
        <w:rPr>
          <w:rFonts w:ascii="Times New Roman" w:hAnsi="Times New Roman"/>
        </w:rPr>
        <w:t xml:space="preserve"> (</w:t>
      </w:r>
      <w:r w:rsidR="00CA2722" w:rsidRPr="00166607">
        <w:rPr>
          <w:rFonts w:ascii="Times New Roman" w:hAnsi="Times New Roman"/>
        </w:rPr>
        <w:t xml:space="preserve">Panel B, </w:t>
      </w:r>
      <w:r w:rsidR="00EE13FC" w:rsidRPr="00166607">
        <w:rPr>
          <w:rFonts w:ascii="Times New Roman" w:hAnsi="Times New Roman"/>
        </w:rPr>
        <w:t xml:space="preserve">Table 1). </w:t>
      </w:r>
    </w:p>
    <w:p w14:paraId="383C05C5" w14:textId="2C41966D" w:rsidR="00EE13FC" w:rsidRPr="008233C3" w:rsidRDefault="00EE13FC" w:rsidP="00402892">
      <w:pPr>
        <w:spacing w:after="160" w:line="360" w:lineRule="auto"/>
        <w:ind w:firstLine="720"/>
        <w:contextualSpacing/>
        <w:jc w:val="both"/>
        <w:rPr>
          <w:rFonts w:ascii="Times New Roman" w:hAnsi="Times New Roman"/>
        </w:rPr>
      </w:pPr>
      <w:r w:rsidRPr="00166607">
        <w:rPr>
          <w:rFonts w:ascii="Times New Roman" w:hAnsi="Times New Roman"/>
        </w:rPr>
        <w:t>Tracking long-run outcomes in some datasets —particularly social security records—relies on having students’ adult identification numbers which citizens obtain when they turn 18 years old. We obtained valid adult identification numbers for 97</w:t>
      </w:r>
      <w:r w:rsidR="00A102A1" w:rsidRPr="00166607">
        <w:rPr>
          <w:rFonts w:ascii="Times New Roman" w:hAnsi="Times New Roman"/>
        </w:rPr>
        <w:t>.</w:t>
      </w:r>
      <w:r w:rsidR="00F24E02" w:rsidRPr="00166607">
        <w:rPr>
          <w:rFonts w:ascii="Times New Roman" w:hAnsi="Times New Roman"/>
        </w:rPr>
        <w:t>1</w:t>
      </w:r>
      <w:r w:rsidRPr="00166607">
        <w:rPr>
          <w:rFonts w:ascii="Times New Roman" w:hAnsi="Times New Roman"/>
        </w:rPr>
        <w:t xml:space="preserve"> percent of applicants, with no difference in the likelihood of having an adult identification number by win-loss status among all applicants or separately by gender (</w:t>
      </w:r>
      <w:r w:rsidR="00D314FA" w:rsidRPr="00166607">
        <w:rPr>
          <w:rFonts w:ascii="Times New Roman" w:hAnsi="Times New Roman"/>
        </w:rPr>
        <w:t xml:space="preserve">Panel B, </w:t>
      </w:r>
      <w:r w:rsidRPr="00166607">
        <w:rPr>
          <w:rFonts w:ascii="Times New Roman" w:hAnsi="Times New Roman"/>
        </w:rPr>
        <w:t>Table 1).</w:t>
      </w:r>
      <w:r w:rsidRPr="00166607">
        <w:rPr>
          <w:rFonts w:ascii="Times New Roman" w:hAnsi="Times New Roman"/>
          <w:vertAlign w:val="superscript"/>
        </w:rPr>
        <w:footnoteReference w:id="12"/>
      </w:r>
      <w:r w:rsidRPr="00166607">
        <w:rPr>
          <w:rFonts w:ascii="Times New Roman" w:hAnsi="Times New Roman"/>
          <w:i/>
        </w:rPr>
        <w:t xml:space="preserve"> </w:t>
      </w:r>
    </w:p>
    <w:p w14:paraId="000C389C" w14:textId="06F3A8DD" w:rsidR="00EB2F66" w:rsidRPr="00166607" w:rsidRDefault="007410CE" w:rsidP="00402892">
      <w:pPr>
        <w:spacing w:after="160" w:line="360" w:lineRule="auto"/>
        <w:ind w:firstLine="720"/>
        <w:contextualSpacing/>
        <w:jc w:val="both"/>
        <w:rPr>
          <w:rFonts w:ascii="Times New Roman" w:hAnsi="Times New Roman"/>
        </w:rPr>
      </w:pPr>
      <w:r w:rsidRPr="00166607">
        <w:rPr>
          <w:rFonts w:ascii="Times New Roman" w:hAnsi="Times New Roman"/>
        </w:rPr>
        <w:t>Colombia has comprehensive individual</w:t>
      </w:r>
      <w:r w:rsidR="00500EEC" w:rsidRPr="00166607">
        <w:rPr>
          <w:rFonts w:ascii="Times New Roman" w:hAnsi="Times New Roman"/>
        </w:rPr>
        <w:t>-</w:t>
      </w:r>
      <w:r w:rsidRPr="00166607">
        <w:rPr>
          <w:rFonts w:ascii="Times New Roman" w:hAnsi="Times New Roman"/>
        </w:rPr>
        <w:t xml:space="preserve">level </w:t>
      </w:r>
      <w:r w:rsidR="00500EEC" w:rsidRPr="00166607">
        <w:rPr>
          <w:rFonts w:ascii="Times New Roman" w:hAnsi="Times New Roman"/>
        </w:rPr>
        <w:t xml:space="preserve">administrative </w:t>
      </w:r>
      <w:r w:rsidRPr="00166607">
        <w:rPr>
          <w:rFonts w:ascii="Times New Roman" w:hAnsi="Times New Roman"/>
        </w:rPr>
        <w:t xml:space="preserve">data on secondary and tertiary education, female fertility, and labor market experiences.  The breadth and depth of </w:t>
      </w:r>
      <w:r w:rsidRPr="00166607">
        <w:rPr>
          <w:rFonts w:ascii="Times New Roman" w:hAnsi="Times New Roman"/>
        </w:rPr>
        <w:lastRenderedPageBreak/>
        <w:t xml:space="preserve">the national data provide a unique opportunity to track PACES applicants across a variety of </w:t>
      </w:r>
      <w:r w:rsidR="00684F66" w:rsidRPr="00166607">
        <w:rPr>
          <w:rFonts w:ascii="Times New Roman" w:hAnsi="Times New Roman"/>
        </w:rPr>
        <w:t>long-run</w:t>
      </w:r>
      <w:r w:rsidRPr="00166607">
        <w:rPr>
          <w:rFonts w:ascii="Times New Roman" w:hAnsi="Times New Roman"/>
        </w:rPr>
        <w:t xml:space="preserve"> outcomes with little to no attrition in the data.</w:t>
      </w:r>
    </w:p>
    <w:p w14:paraId="6FE458E3" w14:textId="77777777" w:rsidR="00A128FA" w:rsidRPr="00166607" w:rsidRDefault="00EB2F66" w:rsidP="00402892">
      <w:pPr>
        <w:spacing w:after="160" w:line="360" w:lineRule="auto"/>
        <w:ind w:firstLine="720"/>
        <w:contextualSpacing/>
        <w:rPr>
          <w:rFonts w:ascii="Times New Roman" w:hAnsi="Times New Roman"/>
        </w:rPr>
      </w:pPr>
      <w:r w:rsidRPr="00166607">
        <w:rPr>
          <w:rFonts w:ascii="Times New Roman" w:hAnsi="Times New Roman"/>
        </w:rPr>
        <w:t>To</w:t>
      </w:r>
      <w:r w:rsidR="00CB5CF4" w:rsidRPr="00166607">
        <w:rPr>
          <w:rFonts w:ascii="Times New Roman" w:hAnsi="Times New Roman"/>
        </w:rPr>
        <w:t xml:space="preserve"> track students’ educational outcomes, we use</w:t>
      </w:r>
      <w:r w:rsidR="00A128FA" w:rsidRPr="00166607">
        <w:rPr>
          <w:rFonts w:ascii="Times New Roman" w:hAnsi="Times New Roman"/>
        </w:rPr>
        <w:t>:</w:t>
      </w:r>
    </w:p>
    <w:p w14:paraId="263300B7" w14:textId="6B34A019" w:rsidR="00A128FA" w:rsidRPr="00166607" w:rsidRDefault="00A128FA" w:rsidP="00402892">
      <w:pPr>
        <w:spacing w:after="160" w:line="360" w:lineRule="auto"/>
        <w:ind w:firstLine="720"/>
        <w:contextualSpacing/>
        <w:jc w:val="both"/>
        <w:rPr>
          <w:rFonts w:ascii="Times New Roman" w:hAnsi="Times New Roman"/>
        </w:rPr>
      </w:pPr>
      <w:r w:rsidRPr="00166607">
        <w:rPr>
          <w:rFonts w:ascii="Times New Roman" w:hAnsi="Times New Roman"/>
        </w:rPr>
        <w:t xml:space="preserve">1. </w:t>
      </w:r>
      <w:r w:rsidRPr="00166607" w:rsidDel="00A128FA">
        <w:rPr>
          <w:rFonts w:ascii="Times New Roman" w:hAnsi="Times New Roman"/>
        </w:rPr>
        <w:t xml:space="preserve"> </w:t>
      </w:r>
      <w:r w:rsidRPr="00166607">
        <w:rPr>
          <w:rFonts w:ascii="Times New Roman" w:hAnsi="Times New Roman"/>
          <w:i/>
        </w:rPr>
        <w:t>T</w:t>
      </w:r>
      <w:r w:rsidR="00E21738" w:rsidRPr="00166607">
        <w:rPr>
          <w:rFonts w:ascii="Times New Roman" w:hAnsi="Times New Roman"/>
          <w:i/>
        </w:rPr>
        <w:t>he ICFES</w:t>
      </w:r>
      <w:r w:rsidR="00050B59" w:rsidRPr="00166607">
        <w:rPr>
          <w:rFonts w:ascii="Times New Roman" w:hAnsi="Times New Roman"/>
          <w:i/>
        </w:rPr>
        <w:t xml:space="preserve"> secondary</w:t>
      </w:r>
      <w:r w:rsidR="00D43B02" w:rsidRPr="00166607">
        <w:rPr>
          <w:rFonts w:ascii="Times New Roman" w:hAnsi="Times New Roman"/>
          <w:i/>
        </w:rPr>
        <w:t xml:space="preserve"> school</w:t>
      </w:r>
      <w:r w:rsidR="00050B59" w:rsidRPr="00166607">
        <w:rPr>
          <w:rFonts w:ascii="Times New Roman" w:hAnsi="Times New Roman"/>
          <w:i/>
        </w:rPr>
        <w:t xml:space="preserve"> graduation/</w:t>
      </w:r>
      <w:r w:rsidR="00E21738" w:rsidRPr="00166607">
        <w:rPr>
          <w:rFonts w:ascii="Times New Roman" w:hAnsi="Times New Roman"/>
          <w:i/>
        </w:rPr>
        <w:t>tertiary education</w:t>
      </w:r>
      <w:r w:rsidR="00213589" w:rsidRPr="00166607">
        <w:rPr>
          <w:rFonts w:ascii="Times New Roman" w:hAnsi="Times New Roman"/>
          <w:i/>
        </w:rPr>
        <w:t xml:space="preserve"> entry exam database</w:t>
      </w:r>
      <w:r w:rsidR="00C931F8" w:rsidRPr="00166607">
        <w:rPr>
          <w:rFonts w:ascii="Times New Roman" w:hAnsi="Times New Roman"/>
          <w:i/>
        </w:rPr>
        <w:t>.</w:t>
      </w:r>
      <w:r w:rsidR="00C931F8" w:rsidRPr="00166607">
        <w:rPr>
          <w:rFonts w:ascii="Times New Roman" w:hAnsi="Times New Roman"/>
        </w:rPr>
        <w:t xml:space="preserve"> </w:t>
      </w:r>
      <w:r w:rsidR="00CB5CF4" w:rsidRPr="00166607">
        <w:rPr>
          <w:rFonts w:ascii="Times New Roman" w:hAnsi="Times New Roman"/>
        </w:rPr>
        <w:t xml:space="preserve">We </w:t>
      </w:r>
      <w:r w:rsidR="00353375" w:rsidRPr="00166607">
        <w:rPr>
          <w:rFonts w:ascii="Times New Roman" w:hAnsi="Times New Roman"/>
        </w:rPr>
        <w:t>update</w:t>
      </w:r>
      <w:r w:rsidR="00CB5CF4" w:rsidRPr="00166607">
        <w:rPr>
          <w:rFonts w:ascii="Times New Roman" w:hAnsi="Times New Roman"/>
        </w:rPr>
        <w:t xml:space="preserve"> </w:t>
      </w:r>
      <w:r w:rsidR="0043450C" w:rsidRPr="00166607">
        <w:rPr>
          <w:rFonts w:ascii="Times New Roman" w:hAnsi="Times New Roman"/>
        </w:rPr>
        <w:t xml:space="preserve">and improve </w:t>
      </w:r>
      <w:r w:rsidR="00CB5CF4" w:rsidRPr="00166607">
        <w:rPr>
          <w:rFonts w:ascii="Times New Roman" w:hAnsi="Times New Roman"/>
        </w:rPr>
        <w:t>the prior match conducted by Angrist et al</w:t>
      </w:r>
      <w:r w:rsidR="00AC14A9" w:rsidRPr="00166607">
        <w:rPr>
          <w:rFonts w:ascii="Times New Roman" w:hAnsi="Times New Roman"/>
        </w:rPr>
        <w:t>.</w:t>
      </w:r>
      <w:r w:rsidR="00CB5CF4" w:rsidRPr="00166607">
        <w:rPr>
          <w:rFonts w:ascii="Times New Roman" w:hAnsi="Times New Roman"/>
        </w:rPr>
        <w:t xml:space="preserve"> (2006) </w:t>
      </w:r>
      <w:r w:rsidR="00294F14" w:rsidRPr="00166607">
        <w:rPr>
          <w:rFonts w:ascii="Times New Roman" w:hAnsi="Times New Roman"/>
        </w:rPr>
        <w:t xml:space="preserve">in two ways: i) </w:t>
      </w:r>
      <w:r w:rsidR="00CB5CF4" w:rsidRPr="00166607">
        <w:rPr>
          <w:rFonts w:ascii="Times New Roman" w:hAnsi="Times New Roman"/>
        </w:rPr>
        <w:t xml:space="preserve">by matching on students’ </w:t>
      </w:r>
      <w:r w:rsidR="00294F14" w:rsidRPr="00166607">
        <w:rPr>
          <w:rFonts w:ascii="Times New Roman" w:hAnsi="Times New Roman"/>
        </w:rPr>
        <w:t>youth identification numbers, adult identification numbers</w:t>
      </w:r>
      <w:r w:rsidR="00DD3703" w:rsidRPr="00166607">
        <w:rPr>
          <w:rFonts w:ascii="Times New Roman" w:hAnsi="Times New Roman"/>
        </w:rPr>
        <w:t>,</w:t>
      </w:r>
      <w:r w:rsidR="00294F14" w:rsidRPr="00166607">
        <w:rPr>
          <w:rFonts w:ascii="Times New Roman" w:hAnsi="Times New Roman"/>
        </w:rPr>
        <w:t xml:space="preserve"> </w:t>
      </w:r>
      <w:r w:rsidR="00CB5CF4" w:rsidRPr="00166607">
        <w:rPr>
          <w:rFonts w:ascii="Times New Roman" w:hAnsi="Times New Roman"/>
        </w:rPr>
        <w:t>and names</w:t>
      </w:r>
      <w:r w:rsidR="00EB2F66" w:rsidRPr="00166607">
        <w:rPr>
          <w:rFonts w:ascii="Times New Roman" w:hAnsi="Times New Roman"/>
        </w:rPr>
        <w:t xml:space="preserve">, </w:t>
      </w:r>
      <w:r w:rsidR="00DD3703" w:rsidRPr="00166607">
        <w:rPr>
          <w:rFonts w:ascii="Times New Roman" w:hAnsi="Times New Roman"/>
        </w:rPr>
        <w:t>(</w:t>
      </w:r>
      <w:r w:rsidR="00CB5CF4" w:rsidRPr="00166607">
        <w:rPr>
          <w:rFonts w:ascii="Times New Roman" w:hAnsi="Times New Roman"/>
        </w:rPr>
        <w:t>Angrist et al</w:t>
      </w:r>
      <w:r w:rsidR="00AC14A9" w:rsidRPr="00166607">
        <w:rPr>
          <w:rFonts w:ascii="Times New Roman" w:hAnsi="Times New Roman"/>
        </w:rPr>
        <w:t>.</w:t>
      </w:r>
      <w:r w:rsidR="00DD3703" w:rsidRPr="00166607">
        <w:rPr>
          <w:rFonts w:ascii="Times New Roman" w:hAnsi="Times New Roman"/>
        </w:rPr>
        <w:t xml:space="preserve"> </w:t>
      </w:r>
      <w:r w:rsidR="00CB5CF4" w:rsidRPr="00166607">
        <w:rPr>
          <w:rFonts w:ascii="Times New Roman" w:hAnsi="Times New Roman"/>
        </w:rPr>
        <w:t xml:space="preserve">2006 did not have students’ </w:t>
      </w:r>
      <w:r w:rsidR="00294F14" w:rsidRPr="00166607">
        <w:rPr>
          <w:rFonts w:ascii="Times New Roman" w:hAnsi="Times New Roman"/>
        </w:rPr>
        <w:t>adult identification numbers</w:t>
      </w:r>
      <w:r w:rsidR="001F27B1" w:rsidRPr="00166607">
        <w:rPr>
          <w:rFonts w:ascii="Times New Roman" w:hAnsi="Times New Roman"/>
        </w:rPr>
        <w:t>)</w:t>
      </w:r>
      <w:r w:rsidR="00EB2F66" w:rsidRPr="00166607">
        <w:rPr>
          <w:rFonts w:ascii="Times New Roman" w:hAnsi="Times New Roman"/>
        </w:rPr>
        <w:t>, and ii)</w:t>
      </w:r>
      <w:r w:rsidR="00294F14" w:rsidRPr="00166607">
        <w:rPr>
          <w:rFonts w:ascii="Times New Roman" w:hAnsi="Times New Roman"/>
        </w:rPr>
        <w:t xml:space="preserve"> by matching students to the population of test takers through 2007</w:t>
      </w:r>
      <w:r w:rsidR="00EB2F66" w:rsidRPr="00166607">
        <w:rPr>
          <w:rFonts w:ascii="Times New Roman" w:hAnsi="Times New Roman"/>
        </w:rPr>
        <w:t xml:space="preserve"> —</w:t>
      </w:r>
      <w:r w:rsidR="0070422B" w:rsidRPr="00166607">
        <w:rPr>
          <w:rFonts w:ascii="Times New Roman" w:hAnsi="Times New Roman"/>
        </w:rPr>
        <w:t>7</w:t>
      </w:r>
      <w:r w:rsidR="00C6061A" w:rsidRPr="00166607">
        <w:rPr>
          <w:rFonts w:ascii="Times New Roman" w:hAnsi="Times New Roman"/>
        </w:rPr>
        <w:t xml:space="preserve"> years after students would have graduated with no grade repetition </w:t>
      </w:r>
      <w:r w:rsidR="00294F14" w:rsidRPr="00166607">
        <w:rPr>
          <w:rFonts w:ascii="Times New Roman" w:hAnsi="Times New Roman"/>
        </w:rPr>
        <w:t>—</w:t>
      </w:r>
      <w:r w:rsidR="00EB2F66" w:rsidRPr="00166607">
        <w:rPr>
          <w:rFonts w:ascii="Times New Roman" w:hAnsi="Times New Roman"/>
        </w:rPr>
        <w:t xml:space="preserve">whereas </w:t>
      </w:r>
      <w:r w:rsidR="00294F14" w:rsidRPr="00166607">
        <w:rPr>
          <w:rFonts w:ascii="Times New Roman" w:hAnsi="Times New Roman"/>
        </w:rPr>
        <w:t xml:space="preserve">Angrist et al. (2006) </w:t>
      </w:r>
      <w:r w:rsidR="00CB5CF4" w:rsidRPr="00166607">
        <w:rPr>
          <w:rFonts w:ascii="Times New Roman" w:hAnsi="Times New Roman"/>
        </w:rPr>
        <w:t>w</w:t>
      </w:r>
      <w:r w:rsidR="0013340B" w:rsidRPr="00166607">
        <w:rPr>
          <w:rFonts w:ascii="Times New Roman" w:hAnsi="Times New Roman"/>
        </w:rPr>
        <w:t>as</w:t>
      </w:r>
      <w:r w:rsidR="00CB5CF4" w:rsidRPr="00166607">
        <w:rPr>
          <w:rFonts w:ascii="Times New Roman" w:hAnsi="Times New Roman"/>
        </w:rPr>
        <w:t xml:space="preserve"> only able to match students through 200</w:t>
      </w:r>
      <w:r w:rsidR="006366FB" w:rsidRPr="00166607">
        <w:rPr>
          <w:rFonts w:ascii="Times New Roman" w:hAnsi="Times New Roman"/>
        </w:rPr>
        <w:t>1</w:t>
      </w:r>
      <w:r w:rsidR="00CB5CF4" w:rsidRPr="00166607">
        <w:rPr>
          <w:rFonts w:ascii="Times New Roman" w:hAnsi="Times New Roman"/>
        </w:rPr>
        <w:t>.</w:t>
      </w:r>
      <w:r w:rsidR="00FD0426" w:rsidRPr="00166607">
        <w:rPr>
          <w:rFonts w:ascii="Times New Roman" w:hAnsi="Times New Roman"/>
        </w:rPr>
        <w:t xml:space="preserve">  </w:t>
      </w:r>
    </w:p>
    <w:p w14:paraId="47FC1008" w14:textId="66D29245" w:rsidR="00600183" w:rsidRPr="00166607" w:rsidRDefault="00A128FA" w:rsidP="00402892">
      <w:pPr>
        <w:spacing w:after="160" w:line="360" w:lineRule="auto"/>
        <w:ind w:firstLine="720"/>
        <w:contextualSpacing/>
        <w:jc w:val="both"/>
        <w:rPr>
          <w:rFonts w:ascii="Times New Roman" w:hAnsi="Times New Roman"/>
        </w:rPr>
      </w:pPr>
      <w:r w:rsidRPr="00166607">
        <w:rPr>
          <w:rFonts w:ascii="Times New Roman" w:hAnsi="Times New Roman"/>
        </w:rPr>
        <w:t xml:space="preserve">2. </w:t>
      </w:r>
      <w:r w:rsidR="00780189" w:rsidRPr="00166607">
        <w:rPr>
          <w:rFonts w:ascii="Times New Roman" w:hAnsi="Times New Roman"/>
          <w:i/>
        </w:rPr>
        <w:t>The tertiary</w:t>
      </w:r>
      <w:r w:rsidRPr="00166607">
        <w:rPr>
          <w:rFonts w:ascii="Times New Roman" w:hAnsi="Times New Roman"/>
          <w:i/>
        </w:rPr>
        <w:t xml:space="preserve"> education database.</w:t>
      </w:r>
      <w:r w:rsidRPr="00166607">
        <w:rPr>
          <w:rFonts w:ascii="Times New Roman" w:hAnsi="Times New Roman"/>
        </w:rPr>
        <w:t xml:space="preserve">  </w:t>
      </w:r>
      <w:r w:rsidR="009D29E1" w:rsidRPr="00166607">
        <w:rPr>
          <w:rFonts w:ascii="Times New Roman" w:hAnsi="Times New Roman"/>
        </w:rPr>
        <w:t>We use</w:t>
      </w:r>
      <w:r w:rsidR="001C0C71" w:rsidRPr="00166607">
        <w:rPr>
          <w:rFonts w:ascii="Times New Roman" w:hAnsi="Times New Roman"/>
        </w:rPr>
        <w:t xml:space="preserve"> </w:t>
      </w:r>
      <w:r w:rsidR="00CB5CF4" w:rsidRPr="00166607">
        <w:rPr>
          <w:rFonts w:ascii="Times New Roman" w:hAnsi="Times New Roman"/>
        </w:rPr>
        <w:t xml:space="preserve">data from Colombia’s Education Ministry’s </w:t>
      </w:r>
      <w:r w:rsidR="00CB5CF4" w:rsidRPr="00166607">
        <w:rPr>
          <w:rFonts w:ascii="Times New Roman" w:hAnsi="Times New Roman"/>
          <w:i/>
        </w:rPr>
        <w:t>Sistema de Prevención y Análisis de la Deserción en Instituciones de Educación Superior</w:t>
      </w:r>
      <w:r w:rsidR="008D0159" w:rsidRPr="00166607">
        <w:rPr>
          <w:rFonts w:ascii="Times New Roman" w:hAnsi="Times New Roman"/>
          <w:i/>
        </w:rPr>
        <w:t xml:space="preserve"> (SPADIES)</w:t>
      </w:r>
      <w:r w:rsidR="00C6061A" w:rsidRPr="00166607">
        <w:rPr>
          <w:rFonts w:ascii="Times New Roman" w:hAnsi="Times New Roman"/>
          <w:i/>
        </w:rPr>
        <w:t xml:space="preserve"> </w:t>
      </w:r>
      <w:r w:rsidR="00A347F7" w:rsidRPr="00166607">
        <w:rPr>
          <w:rFonts w:ascii="Times New Roman" w:hAnsi="Times New Roman"/>
        </w:rPr>
        <w:t xml:space="preserve">to track scholarship applicants through collegiate pathways, including </w:t>
      </w:r>
      <w:r w:rsidR="00780189" w:rsidRPr="00166607">
        <w:rPr>
          <w:rFonts w:ascii="Times New Roman" w:hAnsi="Times New Roman"/>
        </w:rPr>
        <w:t>enrollment and completion. The tertiary</w:t>
      </w:r>
      <w:r w:rsidR="00202AAA" w:rsidRPr="00166607">
        <w:rPr>
          <w:rFonts w:ascii="Times New Roman" w:hAnsi="Times New Roman"/>
        </w:rPr>
        <w:t xml:space="preserve"> </w:t>
      </w:r>
      <w:r w:rsidR="00A347F7" w:rsidRPr="00166607">
        <w:rPr>
          <w:rFonts w:ascii="Times New Roman" w:hAnsi="Times New Roman"/>
        </w:rPr>
        <w:t>e</w:t>
      </w:r>
      <w:r w:rsidR="00202AAA" w:rsidRPr="00166607">
        <w:rPr>
          <w:rFonts w:ascii="Times New Roman" w:hAnsi="Times New Roman"/>
        </w:rPr>
        <w:t xml:space="preserve">ducation </w:t>
      </w:r>
      <w:r w:rsidR="00A347F7" w:rsidRPr="00166607">
        <w:rPr>
          <w:rFonts w:ascii="Times New Roman" w:hAnsi="Times New Roman"/>
        </w:rPr>
        <w:t>d</w:t>
      </w:r>
      <w:r w:rsidR="00202AAA" w:rsidRPr="00166607">
        <w:rPr>
          <w:rFonts w:ascii="Times New Roman" w:hAnsi="Times New Roman"/>
        </w:rPr>
        <w:t>atabase</w:t>
      </w:r>
      <w:r w:rsidR="00A347F7" w:rsidRPr="00166607">
        <w:rPr>
          <w:rFonts w:ascii="Times New Roman" w:hAnsi="Times New Roman"/>
        </w:rPr>
        <w:t xml:space="preserve"> is </w:t>
      </w:r>
      <w:r w:rsidR="00CB5CF4" w:rsidRPr="00166607">
        <w:rPr>
          <w:rFonts w:ascii="Times New Roman" w:hAnsi="Times New Roman"/>
        </w:rPr>
        <w:t xml:space="preserve">an individual-level panel dataset that tracks </w:t>
      </w:r>
      <w:r w:rsidR="001D0FAE" w:rsidRPr="00166607">
        <w:rPr>
          <w:rFonts w:ascii="Times New Roman" w:hAnsi="Times New Roman"/>
        </w:rPr>
        <w:t xml:space="preserve">close to 95 </w:t>
      </w:r>
      <w:r w:rsidR="00043271" w:rsidRPr="00166607">
        <w:rPr>
          <w:rFonts w:ascii="Times New Roman" w:hAnsi="Times New Roman"/>
        </w:rPr>
        <w:t xml:space="preserve">percent of </w:t>
      </w:r>
      <w:r w:rsidR="006C69B3" w:rsidRPr="00166607">
        <w:rPr>
          <w:rFonts w:ascii="Times New Roman" w:hAnsi="Times New Roman"/>
        </w:rPr>
        <w:t xml:space="preserve">tertiary education </w:t>
      </w:r>
      <w:r w:rsidR="009B4562" w:rsidRPr="00166607">
        <w:rPr>
          <w:rFonts w:ascii="Times New Roman" w:hAnsi="Times New Roman"/>
        </w:rPr>
        <w:t>students from their first year</w:t>
      </w:r>
      <w:r w:rsidR="00CB5CF4" w:rsidRPr="00166607">
        <w:rPr>
          <w:rFonts w:ascii="Times New Roman" w:hAnsi="Times New Roman"/>
        </w:rPr>
        <w:t xml:space="preserve"> t</w:t>
      </w:r>
      <w:r w:rsidR="009B4562" w:rsidRPr="00166607">
        <w:rPr>
          <w:rFonts w:ascii="Times New Roman" w:hAnsi="Times New Roman"/>
        </w:rPr>
        <w:t>o their degree receipt</w:t>
      </w:r>
      <w:r w:rsidR="00823F8F" w:rsidRPr="00166607">
        <w:rPr>
          <w:rFonts w:ascii="Times New Roman" w:hAnsi="Times New Roman"/>
        </w:rPr>
        <w:t xml:space="preserve"> beginning in 1998</w:t>
      </w:r>
      <w:r w:rsidR="001D0FAE" w:rsidRPr="00166607">
        <w:rPr>
          <w:rFonts w:ascii="Times New Roman" w:hAnsi="Times New Roman"/>
        </w:rPr>
        <w:t>.  We obtained data</w:t>
      </w:r>
      <w:r w:rsidR="00C25F7C" w:rsidRPr="00166607">
        <w:rPr>
          <w:rFonts w:ascii="Times New Roman" w:hAnsi="Times New Roman"/>
        </w:rPr>
        <w:t xml:space="preserve"> until the first semester of 2012</w:t>
      </w:r>
      <w:r w:rsidR="00823F8F" w:rsidRPr="00166607">
        <w:rPr>
          <w:rFonts w:ascii="Times New Roman" w:hAnsi="Times New Roman"/>
        </w:rPr>
        <w:t xml:space="preserve">.  </w:t>
      </w:r>
      <w:r w:rsidR="00AF2F95" w:rsidRPr="00166607">
        <w:rPr>
          <w:rFonts w:ascii="Times New Roman" w:hAnsi="Times New Roman"/>
        </w:rPr>
        <w:t xml:space="preserve">The </w:t>
      </w:r>
      <w:r w:rsidR="001126C1" w:rsidRPr="00166607">
        <w:rPr>
          <w:rFonts w:ascii="Times New Roman" w:hAnsi="Times New Roman"/>
        </w:rPr>
        <w:t>tertiary</w:t>
      </w:r>
      <w:r w:rsidR="00AF2F95" w:rsidRPr="00166607">
        <w:rPr>
          <w:rFonts w:ascii="Times New Roman" w:hAnsi="Times New Roman"/>
        </w:rPr>
        <w:t xml:space="preserve"> </w:t>
      </w:r>
      <w:r w:rsidR="007D70EA" w:rsidRPr="00166607">
        <w:rPr>
          <w:rFonts w:ascii="Times New Roman" w:hAnsi="Times New Roman"/>
        </w:rPr>
        <w:t>e</w:t>
      </w:r>
      <w:r w:rsidR="00AF2F95" w:rsidRPr="00166607">
        <w:rPr>
          <w:rFonts w:ascii="Times New Roman" w:hAnsi="Times New Roman"/>
        </w:rPr>
        <w:t xml:space="preserve">ducation </w:t>
      </w:r>
      <w:r w:rsidR="007D70EA" w:rsidRPr="00166607">
        <w:rPr>
          <w:rFonts w:ascii="Times New Roman" w:hAnsi="Times New Roman"/>
        </w:rPr>
        <w:t>d</w:t>
      </w:r>
      <w:r w:rsidR="00AF2F95" w:rsidRPr="00166607">
        <w:rPr>
          <w:rFonts w:ascii="Times New Roman" w:hAnsi="Times New Roman"/>
        </w:rPr>
        <w:t xml:space="preserve">atabase </w:t>
      </w:r>
      <w:r w:rsidR="00CB5CF4" w:rsidRPr="00166607">
        <w:rPr>
          <w:rFonts w:ascii="Times New Roman" w:hAnsi="Times New Roman"/>
        </w:rPr>
        <w:t>is similar to the National Student Cle</w:t>
      </w:r>
      <w:r w:rsidR="00351B90" w:rsidRPr="00166607">
        <w:rPr>
          <w:rFonts w:ascii="Times New Roman" w:hAnsi="Times New Roman"/>
        </w:rPr>
        <w:t xml:space="preserve">aringhouse in the </w:t>
      </w:r>
      <w:r w:rsidR="001C0C71" w:rsidRPr="00166607">
        <w:rPr>
          <w:rFonts w:ascii="Times New Roman" w:hAnsi="Times New Roman"/>
        </w:rPr>
        <w:t>U.S</w:t>
      </w:r>
      <w:r w:rsidR="00CB5CF4" w:rsidRPr="00166607">
        <w:rPr>
          <w:rFonts w:ascii="Times New Roman" w:hAnsi="Times New Roman"/>
        </w:rPr>
        <w:t xml:space="preserve">.  </w:t>
      </w:r>
      <w:r w:rsidR="00C6061A" w:rsidRPr="00166607">
        <w:rPr>
          <w:rFonts w:ascii="Times New Roman" w:hAnsi="Times New Roman"/>
        </w:rPr>
        <w:t>It includes</w:t>
      </w:r>
      <w:r w:rsidR="00CB5CF4" w:rsidRPr="00166607">
        <w:rPr>
          <w:rFonts w:ascii="Times New Roman" w:hAnsi="Times New Roman"/>
        </w:rPr>
        <w:t xml:space="preserve"> information </w:t>
      </w:r>
      <w:r w:rsidR="00B424EA" w:rsidRPr="00166607">
        <w:rPr>
          <w:rFonts w:ascii="Times New Roman" w:hAnsi="Times New Roman"/>
        </w:rPr>
        <w:t>on</w:t>
      </w:r>
      <w:r w:rsidR="00CB5CF4" w:rsidRPr="00166607">
        <w:rPr>
          <w:rFonts w:ascii="Times New Roman" w:hAnsi="Times New Roman"/>
        </w:rPr>
        <w:t xml:space="preserve"> </w:t>
      </w:r>
      <w:r w:rsidR="00353375" w:rsidRPr="00166607">
        <w:rPr>
          <w:rFonts w:ascii="Times New Roman" w:hAnsi="Times New Roman"/>
        </w:rPr>
        <w:t xml:space="preserve">the timing and </w:t>
      </w:r>
      <w:r w:rsidR="009616A8" w:rsidRPr="00166607">
        <w:rPr>
          <w:rFonts w:ascii="Times New Roman" w:hAnsi="Times New Roman"/>
        </w:rPr>
        <w:t xml:space="preserve">institution </w:t>
      </w:r>
      <w:r w:rsidR="00353375" w:rsidRPr="00166607">
        <w:rPr>
          <w:rFonts w:ascii="Times New Roman" w:hAnsi="Times New Roman"/>
        </w:rPr>
        <w:t xml:space="preserve">of </w:t>
      </w:r>
      <w:r w:rsidR="00CB5CF4" w:rsidRPr="00166607">
        <w:rPr>
          <w:rFonts w:ascii="Times New Roman" w:hAnsi="Times New Roman"/>
        </w:rPr>
        <w:t>stu</w:t>
      </w:r>
      <w:r w:rsidR="00F26D5A" w:rsidRPr="00166607">
        <w:rPr>
          <w:rFonts w:ascii="Times New Roman" w:hAnsi="Times New Roman"/>
        </w:rPr>
        <w:t>dent</w:t>
      </w:r>
      <w:r w:rsidR="00CB5CF4" w:rsidRPr="00166607">
        <w:rPr>
          <w:rFonts w:ascii="Times New Roman" w:hAnsi="Times New Roman"/>
        </w:rPr>
        <w:t>s</w:t>
      </w:r>
      <w:r w:rsidR="00F26D5A" w:rsidRPr="00166607">
        <w:rPr>
          <w:rFonts w:ascii="Times New Roman" w:hAnsi="Times New Roman"/>
        </w:rPr>
        <w:t>’</w:t>
      </w:r>
      <w:r w:rsidR="00CB5CF4" w:rsidRPr="00166607">
        <w:rPr>
          <w:rFonts w:ascii="Times New Roman" w:hAnsi="Times New Roman"/>
        </w:rPr>
        <w:t xml:space="preserve"> </w:t>
      </w:r>
      <w:r w:rsidR="00842AE1" w:rsidRPr="00166607">
        <w:rPr>
          <w:rFonts w:ascii="Times New Roman" w:hAnsi="Times New Roman"/>
        </w:rPr>
        <w:t>tertiary</w:t>
      </w:r>
      <w:r w:rsidR="00353375" w:rsidRPr="00166607">
        <w:rPr>
          <w:rFonts w:ascii="Times New Roman" w:hAnsi="Times New Roman"/>
        </w:rPr>
        <w:t xml:space="preserve"> attendance</w:t>
      </w:r>
      <w:r w:rsidR="009616A8" w:rsidRPr="00166607">
        <w:rPr>
          <w:rFonts w:ascii="Times New Roman" w:hAnsi="Times New Roman"/>
        </w:rPr>
        <w:t xml:space="preserve">.  We also observe characteristics of the institution including </w:t>
      </w:r>
      <w:r w:rsidR="00062E75" w:rsidRPr="00166607">
        <w:rPr>
          <w:rFonts w:ascii="Times New Roman" w:hAnsi="Times New Roman"/>
        </w:rPr>
        <w:t xml:space="preserve">whether it is a university or a </w:t>
      </w:r>
      <w:r w:rsidR="001D0FAE" w:rsidRPr="00166607">
        <w:rPr>
          <w:rFonts w:ascii="Times New Roman" w:hAnsi="Times New Roman"/>
        </w:rPr>
        <w:t xml:space="preserve">vocational </w:t>
      </w:r>
      <w:r w:rsidR="00AF2F95" w:rsidRPr="00166607">
        <w:rPr>
          <w:rFonts w:ascii="Times New Roman" w:hAnsi="Times New Roman"/>
        </w:rPr>
        <w:t xml:space="preserve">college, whether </w:t>
      </w:r>
      <w:r w:rsidR="00842AE1" w:rsidRPr="00166607">
        <w:rPr>
          <w:rFonts w:ascii="Times New Roman" w:hAnsi="Times New Roman"/>
        </w:rPr>
        <w:t xml:space="preserve">the institution was </w:t>
      </w:r>
      <w:r w:rsidR="00AF2F95" w:rsidRPr="00166607">
        <w:rPr>
          <w:rFonts w:ascii="Times New Roman" w:hAnsi="Times New Roman"/>
        </w:rPr>
        <w:t>public or private</w:t>
      </w:r>
      <w:r w:rsidR="00C6061A" w:rsidRPr="00166607">
        <w:rPr>
          <w:rFonts w:ascii="Times New Roman" w:hAnsi="Times New Roman"/>
        </w:rPr>
        <w:t>,</w:t>
      </w:r>
      <w:r w:rsidR="00AF2F95" w:rsidRPr="00166607">
        <w:rPr>
          <w:rFonts w:ascii="Times New Roman" w:hAnsi="Times New Roman"/>
        </w:rPr>
        <w:t xml:space="preserve"> and </w:t>
      </w:r>
      <w:r w:rsidR="00842AE1" w:rsidRPr="00166607">
        <w:rPr>
          <w:rFonts w:ascii="Times New Roman" w:hAnsi="Times New Roman"/>
        </w:rPr>
        <w:t xml:space="preserve">its </w:t>
      </w:r>
      <w:r w:rsidR="00AF2F95" w:rsidRPr="00166607">
        <w:rPr>
          <w:rFonts w:ascii="Times New Roman" w:hAnsi="Times New Roman"/>
        </w:rPr>
        <w:t xml:space="preserve">selectivity measured by average percentile scores on the </w:t>
      </w:r>
      <w:r w:rsidR="00B6460B" w:rsidRPr="00166607">
        <w:rPr>
          <w:rFonts w:ascii="Times New Roman" w:hAnsi="Times New Roman"/>
        </w:rPr>
        <w:t xml:space="preserve">tertiary education </w:t>
      </w:r>
      <w:r w:rsidR="00AF2F95" w:rsidRPr="00166607">
        <w:rPr>
          <w:rFonts w:ascii="Times New Roman" w:hAnsi="Times New Roman"/>
        </w:rPr>
        <w:t>entrance exam</w:t>
      </w:r>
      <w:r w:rsidR="009616A8" w:rsidRPr="00166607">
        <w:rPr>
          <w:rFonts w:ascii="Times New Roman" w:hAnsi="Times New Roman"/>
        </w:rPr>
        <w:t xml:space="preserve">.  Using the data, we can construct outcomes characterizing </w:t>
      </w:r>
      <w:r w:rsidR="00F26D5A" w:rsidRPr="00166607">
        <w:rPr>
          <w:rFonts w:ascii="Times New Roman" w:hAnsi="Times New Roman"/>
        </w:rPr>
        <w:t>student</w:t>
      </w:r>
      <w:r w:rsidR="00CB5CF4" w:rsidRPr="00166607">
        <w:rPr>
          <w:rFonts w:ascii="Times New Roman" w:hAnsi="Times New Roman"/>
        </w:rPr>
        <w:t>s</w:t>
      </w:r>
      <w:r w:rsidR="00B6460B" w:rsidRPr="00166607">
        <w:rPr>
          <w:rFonts w:ascii="Times New Roman" w:hAnsi="Times New Roman"/>
        </w:rPr>
        <w:t>’ trajectories</w:t>
      </w:r>
      <w:r w:rsidR="009616A8" w:rsidRPr="00166607">
        <w:rPr>
          <w:rFonts w:ascii="Times New Roman" w:hAnsi="Times New Roman"/>
        </w:rPr>
        <w:t xml:space="preserve"> throughout college</w:t>
      </w:r>
      <w:r w:rsidR="00F26D5A" w:rsidRPr="00166607">
        <w:rPr>
          <w:rFonts w:ascii="Times New Roman" w:hAnsi="Times New Roman"/>
        </w:rPr>
        <w:t xml:space="preserve"> (enrollment periods, dropout status and graduation)</w:t>
      </w:r>
      <w:r w:rsidR="00634B36" w:rsidRPr="00166607">
        <w:rPr>
          <w:rFonts w:ascii="Times New Roman" w:hAnsi="Times New Roman"/>
        </w:rPr>
        <w:t>.</w:t>
      </w:r>
      <w:r w:rsidR="00747047" w:rsidRPr="00166607">
        <w:rPr>
          <w:rFonts w:ascii="Times New Roman" w:hAnsi="Times New Roman"/>
        </w:rPr>
        <w:t xml:space="preserve">  It also contains information on government financial aid receipt. </w:t>
      </w:r>
    </w:p>
    <w:p w14:paraId="0DAF4486" w14:textId="54EE7A43" w:rsidR="008C36B9" w:rsidRPr="00166607" w:rsidRDefault="00600183" w:rsidP="00402892">
      <w:pPr>
        <w:spacing w:after="160" w:line="360" w:lineRule="auto"/>
        <w:ind w:firstLine="720"/>
        <w:contextualSpacing/>
        <w:jc w:val="both"/>
        <w:rPr>
          <w:rFonts w:ascii="Times New Roman" w:hAnsi="Times New Roman"/>
        </w:rPr>
      </w:pPr>
      <w:r w:rsidRPr="00166607">
        <w:rPr>
          <w:rFonts w:ascii="Times New Roman" w:hAnsi="Times New Roman"/>
        </w:rPr>
        <w:t>To track government subsidies’ eligibility, informal sector earnings and family formation outcomes we use:</w:t>
      </w:r>
      <w:r w:rsidR="00293599" w:rsidRPr="00166607">
        <w:rPr>
          <w:rFonts w:ascii="Times New Roman" w:hAnsi="Times New Roman"/>
        </w:rPr>
        <w:t xml:space="preserve"> </w:t>
      </w:r>
      <w:r w:rsidR="00634B36" w:rsidRPr="00166607">
        <w:rPr>
          <w:rFonts w:ascii="Times New Roman" w:hAnsi="Times New Roman"/>
        </w:rPr>
        <w:t xml:space="preserve"> </w:t>
      </w:r>
      <w:r w:rsidR="00CB5CF4" w:rsidRPr="00166607">
        <w:rPr>
          <w:rFonts w:ascii="Times New Roman" w:hAnsi="Times New Roman"/>
        </w:rPr>
        <w:t xml:space="preserve"> </w:t>
      </w:r>
    </w:p>
    <w:p w14:paraId="1CE7A926" w14:textId="74F62C47" w:rsidR="00D41C8F" w:rsidRPr="00166607" w:rsidRDefault="003F3897" w:rsidP="00402892">
      <w:pPr>
        <w:spacing w:after="160" w:line="360" w:lineRule="auto"/>
        <w:ind w:firstLine="720"/>
        <w:contextualSpacing/>
        <w:jc w:val="both"/>
        <w:rPr>
          <w:rFonts w:ascii="Times New Roman" w:hAnsi="Times New Roman"/>
        </w:rPr>
      </w:pPr>
      <w:r w:rsidRPr="00166607">
        <w:rPr>
          <w:rFonts w:ascii="Times New Roman" w:hAnsi="Times New Roman"/>
        </w:rPr>
        <w:t xml:space="preserve">3. </w:t>
      </w:r>
      <w:r w:rsidRPr="00166607">
        <w:rPr>
          <w:rFonts w:ascii="Times New Roman" w:hAnsi="Times New Roman"/>
          <w:i/>
        </w:rPr>
        <w:t>The SISBEN Census.</w:t>
      </w:r>
      <w:r w:rsidRPr="00166607">
        <w:rPr>
          <w:rFonts w:ascii="Times New Roman" w:hAnsi="Times New Roman"/>
        </w:rPr>
        <w:t xml:space="preserve"> We use data from the SISBEN household census of 2010</w:t>
      </w:r>
      <w:r w:rsidR="009433B6" w:rsidRPr="00166607">
        <w:rPr>
          <w:rFonts w:ascii="Times New Roman" w:hAnsi="Times New Roman"/>
        </w:rPr>
        <w:t>.</w:t>
      </w:r>
      <w:r w:rsidRPr="00166607">
        <w:rPr>
          <w:rFonts w:ascii="Times New Roman" w:hAnsi="Times New Roman"/>
        </w:rPr>
        <w:t xml:space="preserve"> </w:t>
      </w:r>
      <w:r w:rsidR="009433B6" w:rsidRPr="00166607">
        <w:rPr>
          <w:rFonts w:ascii="Times New Roman" w:hAnsi="Times New Roman"/>
        </w:rPr>
        <w:t xml:space="preserve">Data from the SISBEN </w:t>
      </w:r>
      <w:r w:rsidR="0022658E" w:rsidRPr="00166607">
        <w:rPr>
          <w:rFonts w:ascii="Times New Roman" w:hAnsi="Times New Roman"/>
        </w:rPr>
        <w:t xml:space="preserve">2010 </w:t>
      </w:r>
      <w:r w:rsidR="009433B6" w:rsidRPr="00166607">
        <w:rPr>
          <w:rFonts w:ascii="Times New Roman" w:hAnsi="Times New Roman"/>
        </w:rPr>
        <w:t xml:space="preserve">survey is used to construct and index score to determine </w:t>
      </w:r>
      <w:r w:rsidR="009433B6" w:rsidRPr="00166607">
        <w:rPr>
          <w:rFonts w:ascii="Times New Roman" w:hAnsi="Times New Roman"/>
        </w:rPr>
        <w:lastRenderedPageBreak/>
        <w:t>eligibility for government subsidies.</w:t>
      </w:r>
      <w:r w:rsidR="009433B6" w:rsidRPr="00166607">
        <w:rPr>
          <w:rStyle w:val="FootnoteReference"/>
          <w:rFonts w:ascii="Times New Roman" w:hAnsi="Times New Roman"/>
        </w:rPr>
        <w:footnoteReference w:id="13"/>
      </w:r>
      <w:r w:rsidR="0022658E" w:rsidRPr="00166607">
        <w:rPr>
          <w:rFonts w:ascii="Times New Roman" w:hAnsi="Times New Roman"/>
        </w:rPr>
        <w:t xml:space="preserve">  </w:t>
      </w:r>
      <w:r w:rsidR="00593967" w:rsidRPr="008233C3">
        <w:rPr>
          <w:rFonts w:ascii="Times New Roman" w:hAnsi="Times New Roman"/>
        </w:rPr>
        <w:t>SISBEN</w:t>
      </w:r>
      <w:r w:rsidR="004E39FE" w:rsidRPr="00166607">
        <w:rPr>
          <w:rFonts w:ascii="Times New Roman" w:hAnsi="Times New Roman"/>
        </w:rPr>
        <w:t xml:space="preserve"> 2010</w:t>
      </w:r>
      <w:r w:rsidR="00593967" w:rsidRPr="00166607">
        <w:rPr>
          <w:rFonts w:ascii="Times New Roman" w:hAnsi="Times New Roman"/>
        </w:rPr>
        <w:t xml:space="preserve"> cove</w:t>
      </w:r>
      <w:r w:rsidR="004E39FE" w:rsidRPr="00166607">
        <w:rPr>
          <w:rFonts w:ascii="Times New Roman" w:hAnsi="Times New Roman"/>
        </w:rPr>
        <w:t>rs</w:t>
      </w:r>
      <w:r w:rsidR="00593967" w:rsidRPr="00166607">
        <w:rPr>
          <w:rFonts w:ascii="Times New Roman" w:hAnsi="Times New Roman"/>
        </w:rPr>
        <w:t xml:space="preserve"> 57 percent of households in all of Colombia and 39 percent of households in Bogotá.</w:t>
      </w:r>
    </w:p>
    <w:p w14:paraId="17E48C91" w14:textId="413179E7" w:rsidR="00522019" w:rsidRPr="00166607" w:rsidRDefault="00F95DD3" w:rsidP="00402892">
      <w:pPr>
        <w:spacing w:after="160" w:line="360" w:lineRule="auto"/>
        <w:ind w:firstLine="720"/>
        <w:contextualSpacing/>
        <w:jc w:val="both"/>
        <w:rPr>
          <w:rFonts w:ascii="Times New Roman" w:hAnsi="Times New Roman"/>
        </w:rPr>
      </w:pPr>
      <w:r w:rsidRPr="00166607">
        <w:rPr>
          <w:rFonts w:ascii="Times New Roman" w:hAnsi="Times New Roman"/>
        </w:rPr>
        <w:t xml:space="preserve">To </w:t>
      </w:r>
      <w:r w:rsidR="006513CC" w:rsidRPr="00166607">
        <w:rPr>
          <w:rFonts w:ascii="Times New Roman" w:hAnsi="Times New Roman"/>
        </w:rPr>
        <w:t>estimate scholarship impacts</w:t>
      </w:r>
      <w:r w:rsidR="002359C5" w:rsidRPr="00166607">
        <w:rPr>
          <w:rFonts w:ascii="Times New Roman" w:hAnsi="Times New Roman"/>
        </w:rPr>
        <w:t xml:space="preserve"> on earnings we com</w:t>
      </w:r>
      <w:r w:rsidR="00705E60" w:rsidRPr="00166607">
        <w:rPr>
          <w:rFonts w:ascii="Times New Roman" w:hAnsi="Times New Roman"/>
        </w:rPr>
        <w:t>plement</w:t>
      </w:r>
      <w:r w:rsidR="002359C5" w:rsidRPr="00166607">
        <w:rPr>
          <w:rFonts w:ascii="Times New Roman" w:hAnsi="Times New Roman"/>
        </w:rPr>
        <w:t xml:space="preserve"> SISBEN</w:t>
      </w:r>
      <w:r w:rsidR="006513CC" w:rsidRPr="00166607">
        <w:rPr>
          <w:rFonts w:ascii="Times New Roman" w:hAnsi="Times New Roman"/>
        </w:rPr>
        <w:t xml:space="preserve"> data with:</w:t>
      </w:r>
    </w:p>
    <w:p w14:paraId="531BAD80" w14:textId="06D34625" w:rsidR="00E54353" w:rsidRPr="00166607" w:rsidRDefault="00600183" w:rsidP="00402892">
      <w:pPr>
        <w:spacing w:after="160" w:line="360" w:lineRule="auto"/>
        <w:ind w:firstLine="720"/>
        <w:contextualSpacing/>
        <w:jc w:val="both"/>
        <w:rPr>
          <w:rFonts w:ascii="Times New Roman" w:hAnsi="Times New Roman"/>
        </w:rPr>
      </w:pPr>
      <w:r w:rsidRPr="00FB1E44">
        <w:rPr>
          <w:rFonts w:ascii="Times New Roman" w:hAnsi="Times New Roman"/>
        </w:rPr>
        <w:t>4</w:t>
      </w:r>
      <w:r w:rsidR="00522019" w:rsidRPr="00FB1E44">
        <w:rPr>
          <w:rFonts w:ascii="Times New Roman" w:hAnsi="Times New Roman"/>
        </w:rPr>
        <w:t xml:space="preserve">. </w:t>
      </w:r>
      <w:r w:rsidR="00EC4136" w:rsidRPr="00FB1E44">
        <w:rPr>
          <w:rFonts w:ascii="Times New Roman" w:hAnsi="Times New Roman"/>
        </w:rPr>
        <w:t xml:space="preserve">Colombia’s Social Protection Ministry’s </w:t>
      </w:r>
      <w:r w:rsidR="00EC4136" w:rsidRPr="00FB1E44">
        <w:rPr>
          <w:rFonts w:ascii="Times New Roman" w:hAnsi="Times New Roman"/>
          <w:i/>
        </w:rPr>
        <w:t>Sistema Integral de Información de la Protección Social</w:t>
      </w:r>
      <w:r w:rsidR="00EC4136" w:rsidRPr="00FB1E44">
        <w:rPr>
          <w:rFonts w:ascii="Times New Roman" w:hAnsi="Times New Roman"/>
          <w:i/>
        </w:rPr>
        <w:softHyphen/>
      </w:r>
      <w:r w:rsidR="00EB2F66" w:rsidRPr="00FB1E44">
        <w:rPr>
          <w:rFonts w:ascii="Times New Roman" w:hAnsi="Times New Roman"/>
        </w:rPr>
        <w:t xml:space="preserve"> (</w:t>
      </w:r>
      <w:r w:rsidR="00EC4136" w:rsidRPr="00FB1E44">
        <w:rPr>
          <w:rFonts w:ascii="Times New Roman" w:hAnsi="Times New Roman"/>
          <w:i/>
        </w:rPr>
        <w:t>SISPRO</w:t>
      </w:r>
      <w:r w:rsidR="00EB2F66" w:rsidRPr="00FB1E44">
        <w:rPr>
          <w:rFonts w:ascii="Times New Roman" w:hAnsi="Times New Roman"/>
          <w:i/>
        </w:rPr>
        <w:t>)</w:t>
      </w:r>
      <w:r w:rsidR="00EC4136" w:rsidRPr="00FB1E44">
        <w:rPr>
          <w:rFonts w:ascii="Times New Roman" w:hAnsi="Times New Roman"/>
        </w:rPr>
        <w:t>.</w:t>
      </w:r>
      <w:r w:rsidR="00D47911" w:rsidRPr="00FB1E44">
        <w:rPr>
          <w:rStyle w:val="FootnoteReference"/>
          <w:rFonts w:ascii="Times New Roman" w:hAnsi="Times New Roman"/>
        </w:rPr>
        <w:footnoteReference w:id="14"/>
      </w:r>
      <w:r w:rsidR="00EC4136" w:rsidRPr="00FB1E44">
        <w:rPr>
          <w:rFonts w:ascii="Times New Roman" w:hAnsi="Times New Roman"/>
        </w:rPr>
        <w:t xml:space="preserve">  </w:t>
      </w:r>
      <w:r w:rsidR="00EC4136" w:rsidRPr="00166607">
        <w:rPr>
          <w:rFonts w:ascii="Times New Roman" w:hAnsi="Times New Roman"/>
        </w:rPr>
        <w:t>SISPRO</w:t>
      </w:r>
      <w:r w:rsidR="00EC4136" w:rsidRPr="008233C3">
        <w:rPr>
          <w:rFonts w:ascii="Times New Roman" w:hAnsi="Times New Roman"/>
          <w:i/>
        </w:rPr>
        <w:t xml:space="preserve"> </w:t>
      </w:r>
      <w:r w:rsidR="00EC4136" w:rsidRPr="00166607">
        <w:rPr>
          <w:rFonts w:ascii="Times New Roman" w:hAnsi="Times New Roman"/>
        </w:rPr>
        <w:t>is an individual</w:t>
      </w:r>
      <w:r w:rsidR="00CF4DC2" w:rsidRPr="00166607">
        <w:rPr>
          <w:rFonts w:ascii="Times New Roman" w:hAnsi="Times New Roman"/>
        </w:rPr>
        <w:t>-</w:t>
      </w:r>
      <w:r w:rsidR="00EC4136" w:rsidRPr="00166607">
        <w:rPr>
          <w:rFonts w:ascii="Times New Roman" w:hAnsi="Times New Roman"/>
        </w:rPr>
        <w:t xml:space="preserve">level panel dataset </w:t>
      </w:r>
      <w:r w:rsidR="00EB2F66" w:rsidRPr="00166607">
        <w:rPr>
          <w:rFonts w:ascii="Times New Roman" w:hAnsi="Times New Roman"/>
        </w:rPr>
        <w:t xml:space="preserve">that is </w:t>
      </w:r>
      <w:r w:rsidR="00EC4136" w:rsidRPr="00166607">
        <w:rPr>
          <w:rFonts w:ascii="Times New Roman" w:hAnsi="Times New Roman"/>
        </w:rPr>
        <w:t xml:space="preserve">updated monthly, </w:t>
      </w:r>
      <w:r w:rsidR="00EB2F66" w:rsidRPr="00166607">
        <w:rPr>
          <w:rFonts w:ascii="Times New Roman" w:hAnsi="Times New Roman"/>
        </w:rPr>
        <w:t xml:space="preserve">and that contains </w:t>
      </w:r>
      <w:r w:rsidR="00EC4136" w:rsidRPr="00166607">
        <w:rPr>
          <w:rFonts w:ascii="Times New Roman" w:hAnsi="Times New Roman"/>
        </w:rPr>
        <w:t xml:space="preserve">information on </w:t>
      </w:r>
      <w:r w:rsidR="0070422B" w:rsidRPr="00166607">
        <w:rPr>
          <w:rFonts w:ascii="Times New Roman" w:hAnsi="Times New Roman"/>
        </w:rPr>
        <w:t xml:space="preserve">contributions to government social programs for </w:t>
      </w:r>
      <w:r w:rsidR="00EC4136" w:rsidRPr="00166607">
        <w:rPr>
          <w:rFonts w:ascii="Times New Roman" w:hAnsi="Times New Roman"/>
        </w:rPr>
        <w:t xml:space="preserve">health, </w:t>
      </w:r>
      <w:r w:rsidR="008E632C" w:rsidRPr="00166607">
        <w:rPr>
          <w:rFonts w:ascii="Times New Roman" w:hAnsi="Times New Roman"/>
        </w:rPr>
        <w:t>employment</w:t>
      </w:r>
      <w:r w:rsidR="00CF4DC2" w:rsidRPr="00166607">
        <w:rPr>
          <w:rFonts w:ascii="Times New Roman" w:hAnsi="Times New Roman"/>
        </w:rPr>
        <w:t>,</w:t>
      </w:r>
      <w:r w:rsidR="008E632C" w:rsidRPr="00166607">
        <w:rPr>
          <w:rFonts w:ascii="Times New Roman" w:hAnsi="Times New Roman"/>
        </w:rPr>
        <w:t xml:space="preserve"> and </w:t>
      </w:r>
      <w:r w:rsidR="00F20F31" w:rsidRPr="00166607">
        <w:rPr>
          <w:rFonts w:ascii="Times New Roman" w:hAnsi="Times New Roman"/>
        </w:rPr>
        <w:t>retirement</w:t>
      </w:r>
      <w:r w:rsidR="00EC4136" w:rsidRPr="00166607">
        <w:rPr>
          <w:rFonts w:ascii="Times New Roman" w:hAnsi="Times New Roman"/>
        </w:rPr>
        <w:t xml:space="preserve">.  For the purposes of this study we focus on the work module, </w:t>
      </w:r>
      <w:r w:rsidR="00EB2F66" w:rsidRPr="00166607">
        <w:rPr>
          <w:rFonts w:ascii="Times New Roman" w:hAnsi="Times New Roman"/>
        </w:rPr>
        <w:t xml:space="preserve">which contains </w:t>
      </w:r>
      <w:r w:rsidR="00EC4136" w:rsidRPr="00166607">
        <w:rPr>
          <w:rFonts w:ascii="Times New Roman" w:hAnsi="Times New Roman"/>
        </w:rPr>
        <w:t>information on whether individuals have worked in the formal sector, the number of days of formal sector employment,</w:t>
      </w:r>
      <w:r w:rsidR="00942DEA" w:rsidRPr="00166607">
        <w:rPr>
          <w:rFonts w:ascii="Times New Roman" w:hAnsi="Times New Roman"/>
        </w:rPr>
        <w:t xml:space="preserve"> </w:t>
      </w:r>
      <w:r w:rsidR="00EC4136" w:rsidRPr="00166607">
        <w:rPr>
          <w:rFonts w:ascii="Times New Roman" w:hAnsi="Times New Roman"/>
        </w:rPr>
        <w:t xml:space="preserve">monthly </w:t>
      </w:r>
      <w:r w:rsidR="00942DEA" w:rsidRPr="00166607">
        <w:rPr>
          <w:rFonts w:ascii="Times New Roman" w:hAnsi="Times New Roman"/>
        </w:rPr>
        <w:t>earnings</w:t>
      </w:r>
      <w:r w:rsidR="00C6061A" w:rsidRPr="00166607">
        <w:rPr>
          <w:rFonts w:ascii="Times New Roman" w:hAnsi="Times New Roman"/>
        </w:rPr>
        <w:t>,</w:t>
      </w:r>
      <w:r w:rsidR="00942DEA" w:rsidRPr="00166607">
        <w:rPr>
          <w:rFonts w:ascii="Times New Roman" w:hAnsi="Times New Roman"/>
        </w:rPr>
        <w:t xml:space="preserve"> and social security</w:t>
      </w:r>
      <w:r w:rsidR="005324E2" w:rsidRPr="00166607">
        <w:rPr>
          <w:rFonts w:ascii="Times New Roman" w:hAnsi="Times New Roman"/>
        </w:rPr>
        <w:t xml:space="preserve"> </w:t>
      </w:r>
      <w:r w:rsidR="0070422B" w:rsidRPr="00166607">
        <w:rPr>
          <w:rFonts w:ascii="Times New Roman" w:hAnsi="Times New Roman"/>
        </w:rPr>
        <w:t>contributions</w:t>
      </w:r>
      <w:r w:rsidR="00942DEA" w:rsidRPr="00166607">
        <w:rPr>
          <w:rFonts w:ascii="Times New Roman" w:hAnsi="Times New Roman"/>
        </w:rPr>
        <w:t>.</w:t>
      </w:r>
      <w:r w:rsidR="00606911" w:rsidRPr="00166607">
        <w:rPr>
          <w:rFonts w:ascii="Times New Roman" w:hAnsi="Times New Roman"/>
        </w:rPr>
        <w:t xml:space="preserve">  </w:t>
      </w:r>
      <w:r w:rsidR="00153E71" w:rsidRPr="00166607">
        <w:rPr>
          <w:rFonts w:ascii="Times New Roman" w:hAnsi="Times New Roman"/>
        </w:rPr>
        <w:t>W</w:t>
      </w:r>
      <w:r w:rsidR="0070422B" w:rsidRPr="00166607">
        <w:rPr>
          <w:rFonts w:ascii="Times New Roman" w:hAnsi="Times New Roman"/>
        </w:rPr>
        <w:t xml:space="preserve">e </w:t>
      </w:r>
      <w:r w:rsidR="00BF60A4" w:rsidRPr="00166607">
        <w:rPr>
          <w:rFonts w:ascii="Times New Roman" w:hAnsi="Times New Roman"/>
        </w:rPr>
        <w:t>focus on outcome</w:t>
      </w:r>
      <w:r w:rsidR="00EB2F66" w:rsidRPr="00166607">
        <w:rPr>
          <w:rFonts w:ascii="Times New Roman" w:hAnsi="Times New Roman"/>
        </w:rPr>
        <w:t>s</w:t>
      </w:r>
      <w:r w:rsidR="00BF60A4" w:rsidRPr="00166607">
        <w:rPr>
          <w:rFonts w:ascii="Times New Roman" w:hAnsi="Times New Roman"/>
        </w:rPr>
        <w:t xml:space="preserve"> from </w:t>
      </w:r>
      <w:r w:rsidR="0070422B" w:rsidRPr="00166607">
        <w:rPr>
          <w:rFonts w:ascii="Times New Roman" w:hAnsi="Times New Roman"/>
        </w:rPr>
        <w:t>2008</w:t>
      </w:r>
      <w:r w:rsidR="00BF60A4" w:rsidRPr="00166607">
        <w:rPr>
          <w:rFonts w:ascii="Times New Roman" w:hAnsi="Times New Roman"/>
        </w:rPr>
        <w:t xml:space="preserve"> to 201</w:t>
      </w:r>
      <w:r w:rsidR="00F57B73" w:rsidRPr="00166607">
        <w:rPr>
          <w:rFonts w:ascii="Times New Roman" w:hAnsi="Times New Roman"/>
        </w:rPr>
        <w:t>4</w:t>
      </w:r>
      <w:r w:rsidR="00EB2F66" w:rsidRPr="00166607">
        <w:rPr>
          <w:rFonts w:ascii="Times New Roman" w:hAnsi="Times New Roman"/>
        </w:rPr>
        <w:t xml:space="preserve"> </w:t>
      </w:r>
      <w:r w:rsidR="00BF60A4" w:rsidRPr="00166607">
        <w:rPr>
          <w:rFonts w:ascii="Times New Roman" w:hAnsi="Times New Roman"/>
        </w:rPr>
        <w:t xml:space="preserve">—between </w:t>
      </w:r>
      <w:r w:rsidR="00722FDF" w:rsidRPr="00166607">
        <w:rPr>
          <w:rFonts w:ascii="Times New Roman" w:hAnsi="Times New Roman"/>
        </w:rPr>
        <w:t xml:space="preserve">eight </w:t>
      </w:r>
      <w:r w:rsidR="00BF60A4" w:rsidRPr="00166607">
        <w:rPr>
          <w:rFonts w:ascii="Times New Roman" w:hAnsi="Times New Roman"/>
        </w:rPr>
        <w:t xml:space="preserve">and </w:t>
      </w:r>
      <w:r w:rsidR="00A571BE" w:rsidRPr="00166607">
        <w:rPr>
          <w:rFonts w:ascii="Times New Roman" w:hAnsi="Times New Roman"/>
        </w:rPr>
        <w:t>1</w:t>
      </w:r>
      <w:r w:rsidR="00722FDF" w:rsidRPr="00166607">
        <w:rPr>
          <w:rFonts w:ascii="Times New Roman" w:hAnsi="Times New Roman"/>
        </w:rPr>
        <w:t>4</w:t>
      </w:r>
      <w:r w:rsidR="00A571BE" w:rsidRPr="00166607">
        <w:rPr>
          <w:rFonts w:ascii="Times New Roman" w:hAnsi="Times New Roman"/>
        </w:rPr>
        <w:t xml:space="preserve"> </w:t>
      </w:r>
      <w:r w:rsidR="0070422B" w:rsidRPr="00166607">
        <w:rPr>
          <w:rFonts w:ascii="Times New Roman" w:hAnsi="Times New Roman"/>
        </w:rPr>
        <w:t xml:space="preserve">years after </w:t>
      </w:r>
      <w:r w:rsidR="00BF60A4" w:rsidRPr="00166607">
        <w:rPr>
          <w:rFonts w:ascii="Times New Roman" w:hAnsi="Times New Roman"/>
        </w:rPr>
        <w:t>on-time secondary school completion of scholarship applicants in the Bogotá 1995 sample—</w:t>
      </w:r>
      <w:r w:rsidR="00153E71" w:rsidRPr="00166607">
        <w:rPr>
          <w:rFonts w:ascii="Times New Roman" w:hAnsi="Times New Roman"/>
        </w:rPr>
        <w:t xml:space="preserve">since </w:t>
      </w:r>
      <w:r w:rsidR="00683FB9" w:rsidRPr="00166607">
        <w:rPr>
          <w:rFonts w:ascii="Times New Roman" w:hAnsi="Times New Roman"/>
        </w:rPr>
        <w:t>SISPRO</w:t>
      </w:r>
      <w:r w:rsidR="00EB2F66" w:rsidRPr="00166607">
        <w:rPr>
          <w:rFonts w:ascii="Times New Roman" w:hAnsi="Times New Roman"/>
          <w:i/>
        </w:rPr>
        <w:t xml:space="preserve"> </w:t>
      </w:r>
      <w:r w:rsidR="00EB2F66" w:rsidRPr="00166607">
        <w:rPr>
          <w:rFonts w:ascii="Times New Roman" w:hAnsi="Times New Roman"/>
        </w:rPr>
        <w:t>only began to</w:t>
      </w:r>
      <w:r w:rsidR="00683FB9" w:rsidRPr="00166607">
        <w:rPr>
          <w:rFonts w:ascii="Times New Roman" w:hAnsi="Times New Roman"/>
        </w:rPr>
        <w:t xml:space="preserve"> cover the universe of formal sector workers</w:t>
      </w:r>
      <w:r w:rsidR="00EB2F66" w:rsidRPr="00166607">
        <w:rPr>
          <w:rFonts w:ascii="Times New Roman" w:hAnsi="Times New Roman"/>
        </w:rPr>
        <w:t xml:space="preserve"> in 2008</w:t>
      </w:r>
      <w:r w:rsidR="00683FB9" w:rsidRPr="00166607">
        <w:rPr>
          <w:rFonts w:ascii="Times New Roman" w:hAnsi="Times New Roman"/>
        </w:rPr>
        <w:t>.</w:t>
      </w:r>
      <w:r w:rsidR="00381CBE" w:rsidRPr="00166607">
        <w:rPr>
          <w:rFonts w:ascii="Times New Roman" w:hAnsi="Times New Roman"/>
        </w:rPr>
        <w:t xml:space="preserve"> On average, scholarship applicants </w:t>
      </w:r>
      <w:r w:rsidR="00EB2F66" w:rsidRPr="00166607">
        <w:rPr>
          <w:rFonts w:ascii="Times New Roman" w:hAnsi="Times New Roman"/>
        </w:rPr>
        <w:t xml:space="preserve">would </w:t>
      </w:r>
      <w:r w:rsidR="00381CBE" w:rsidRPr="00166607">
        <w:rPr>
          <w:rFonts w:ascii="Times New Roman" w:hAnsi="Times New Roman"/>
        </w:rPr>
        <w:t xml:space="preserve">have been around </w:t>
      </w:r>
      <w:r w:rsidR="005F30EA" w:rsidRPr="00166607">
        <w:rPr>
          <w:rFonts w:ascii="Times New Roman" w:hAnsi="Times New Roman"/>
        </w:rPr>
        <w:t xml:space="preserve">33 </w:t>
      </w:r>
      <w:r w:rsidR="00381CBE" w:rsidRPr="00166607">
        <w:rPr>
          <w:rFonts w:ascii="Times New Roman" w:hAnsi="Times New Roman"/>
        </w:rPr>
        <w:t>years old at the end of this period.</w:t>
      </w:r>
      <w:r w:rsidR="000D4FFB" w:rsidRPr="00166607">
        <w:rPr>
          <w:rFonts w:ascii="Times New Roman" w:hAnsi="Times New Roman"/>
        </w:rPr>
        <w:t xml:space="preserve"> </w:t>
      </w:r>
      <w:r w:rsidR="00E26175" w:rsidRPr="00166607">
        <w:rPr>
          <w:rFonts w:ascii="Times New Roman" w:hAnsi="Times New Roman"/>
        </w:rPr>
        <w:t>We use SISPRO data to examine additional outcomes, including: extensive and intensive margins of formal sector employment, formal sector earnings</w:t>
      </w:r>
      <w:r w:rsidR="00705E60" w:rsidRPr="00166607">
        <w:rPr>
          <w:rFonts w:ascii="Times New Roman" w:hAnsi="Times New Roman"/>
        </w:rPr>
        <w:t xml:space="preserve"> </w:t>
      </w:r>
      <w:r w:rsidR="006A0C38" w:rsidRPr="00166607">
        <w:rPr>
          <w:rFonts w:ascii="Times New Roman" w:hAnsi="Times New Roman"/>
        </w:rPr>
        <w:t>and</w:t>
      </w:r>
      <w:r w:rsidR="00E26175" w:rsidRPr="00166607">
        <w:rPr>
          <w:rFonts w:ascii="Times New Roman" w:hAnsi="Times New Roman"/>
        </w:rPr>
        <w:t xml:space="preserve"> </w:t>
      </w:r>
      <w:r w:rsidR="000D4FFB" w:rsidRPr="00166607">
        <w:rPr>
          <w:rFonts w:ascii="Times New Roman" w:hAnsi="Times New Roman"/>
        </w:rPr>
        <w:t>payroll taxes</w:t>
      </w:r>
      <w:r w:rsidR="00E26175" w:rsidRPr="00166607">
        <w:rPr>
          <w:rFonts w:ascii="Times New Roman" w:hAnsi="Times New Roman"/>
        </w:rPr>
        <w:t>.</w:t>
      </w:r>
    </w:p>
    <w:p w14:paraId="204A7C37" w14:textId="3B7468A1" w:rsidR="00B839EE" w:rsidRPr="00166607" w:rsidRDefault="00D47911" w:rsidP="00402892">
      <w:pPr>
        <w:spacing w:after="160" w:line="360" w:lineRule="auto"/>
        <w:jc w:val="both"/>
        <w:rPr>
          <w:rFonts w:ascii="Times New Roman" w:hAnsi="Times New Roman"/>
        </w:rPr>
      </w:pPr>
      <w:r w:rsidRPr="00166607">
        <w:rPr>
          <w:rFonts w:ascii="Times New Roman" w:hAnsi="Times New Roman"/>
        </w:rPr>
        <w:tab/>
      </w:r>
      <w:r w:rsidR="0018355E" w:rsidRPr="00166607">
        <w:rPr>
          <w:rFonts w:ascii="Times New Roman" w:hAnsi="Times New Roman"/>
        </w:rPr>
        <w:t>On the whole, we are able to match close to 95 percent of applicants to any of the four administrative datasets we use to track long-run outcomes.</w:t>
      </w:r>
    </w:p>
    <w:p w14:paraId="518C09FA" w14:textId="74D2686A" w:rsidR="008C36B9" w:rsidRPr="00166607" w:rsidRDefault="000C0587" w:rsidP="00402892">
      <w:pPr>
        <w:spacing w:after="160" w:line="360" w:lineRule="auto"/>
        <w:rPr>
          <w:rFonts w:ascii="Times New Roman" w:hAnsi="Times New Roman"/>
          <w:b/>
        </w:rPr>
      </w:pPr>
      <w:r w:rsidRPr="00166607">
        <w:rPr>
          <w:rFonts w:ascii="Times New Roman" w:hAnsi="Times New Roman"/>
          <w:b/>
          <w:i/>
        </w:rPr>
        <w:t>3.</w:t>
      </w:r>
      <w:r w:rsidR="00EF204F" w:rsidRPr="00166607">
        <w:rPr>
          <w:rFonts w:ascii="Times New Roman" w:hAnsi="Times New Roman"/>
          <w:b/>
          <w:i/>
        </w:rPr>
        <w:t>2</w:t>
      </w:r>
      <w:r w:rsidRPr="00166607">
        <w:rPr>
          <w:rFonts w:ascii="Times New Roman" w:hAnsi="Times New Roman"/>
          <w:b/>
          <w:i/>
        </w:rPr>
        <w:t xml:space="preserve"> </w:t>
      </w:r>
      <w:r w:rsidR="005F644D" w:rsidRPr="00166607">
        <w:rPr>
          <w:rFonts w:ascii="Times New Roman" w:hAnsi="Times New Roman"/>
          <w:b/>
          <w:i/>
        </w:rPr>
        <w:t>Empirical</w:t>
      </w:r>
      <w:r w:rsidR="009F20F3" w:rsidRPr="00166607">
        <w:rPr>
          <w:rFonts w:ascii="Times New Roman" w:hAnsi="Times New Roman"/>
          <w:b/>
          <w:i/>
        </w:rPr>
        <w:t xml:space="preserve"> </w:t>
      </w:r>
      <w:r w:rsidR="00A53B75">
        <w:rPr>
          <w:rFonts w:ascii="Times New Roman" w:hAnsi="Times New Roman"/>
          <w:b/>
          <w:i/>
        </w:rPr>
        <w:t>s</w:t>
      </w:r>
      <w:r w:rsidR="005F644D" w:rsidRPr="00166607">
        <w:rPr>
          <w:rFonts w:ascii="Times New Roman" w:hAnsi="Times New Roman"/>
          <w:b/>
          <w:i/>
        </w:rPr>
        <w:t>trategy</w:t>
      </w:r>
    </w:p>
    <w:p w14:paraId="0467A2DA" w14:textId="77777777" w:rsidR="008C36B9" w:rsidRPr="00166607" w:rsidRDefault="00353375" w:rsidP="00402892">
      <w:pPr>
        <w:autoSpaceDE w:val="0"/>
        <w:autoSpaceDN w:val="0"/>
        <w:adjustRightInd w:val="0"/>
        <w:spacing w:after="160" w:line="360" w:lineRule="auto"/>
        <w:ind w:firstLine="720"/>
        <w:jc w:val="both"/>
        <w:rPr>
          <w:rFonts w:ascii="Times New Roman" w:hAnsi="Times New Roman"/>
        </w:rPr>
      </w:pPr>
      <w:r w:rsidRPr="00166607">
        <w:rPr>
          <w:rFonts w:ascii="Times New Roman" w:hAnsi="Times New Roman"/>
        </w:rPr>
        <w:t xml:space="preserve">Our </w:t>
      </w:r>
      <w:r w:rsidR="006E49FB" w:rsidRPr="00166607">
        <w:rPr>
          <w:rFonts w:ascii="Times New Roman" w:hAnsi="Times New Roman"/>
        </w:rPr>
        <w:t xml:space="preserve">main </w:t>
      </w:r>
      <w:r w:rsidR="00091B8E" w:rsidRPr="00166607">
        <w:rPr>
          <w:rFonts w:ascii="Times New Roman" w:hAnsi="Times New Roman"/>
        </w:rPr>
        <w:t xml:space="preserve">empirical strategy is based on an </w:t>
      </w:r>
      <w:r w:rsidRPr="00166607">
        <w:rPr>
          <w:rFonts w:ascii="Times New Roman" w:hAnsi="Times New Roman"/>
        </w:rPr>
        <w:t xml:space="preserve">intent-to-treat </w:t>
      </w:r>
      <w:r w:rsidR="004C2E9A" w:rsidRPr="00166607">
        <w:rPr>
          <w:rFonts w:ascii="Times New Roman" w:hAnsi="Times New Roman"/>
        </w:rPr>
        <w:t xml:space="preserve">(ITT) </w:t>
      </w:r>
      <w:r w:rsidRPr="00166607">
        <w:rPr>
          <w:rFonts w:ascii="Times New Roman" w:hAnsi="Times New Roman"/>
        </w:rPr>
        <w:t>analysis</w:t>
      </w:r>
      <w:r w:rsidR="005F644D" w:rsidRPr="00166607">
        <w:rPr>
          <w:rFonts w:ascii="Times New Roman" w:hAnsi="Times New Roman"/>
        </w:rPr>
        <w:t xml:space="preserve"> </w:t>
      </w:r>
      <w:r w:rsidR="00091B8E" w:rsidRPr="00166607">
        <w:rPr>
          <w:rFonts w:ascii="Times New Roman" w:hAnsi="Times New Roman"/>
        </w:rPr>
        <w:t xml:space="preserve">that </w:t>
      </w:r>
      <w:r w:rsidR="00853292" w:rsidRPr="00166607">
        <w:rPr>
          <w:rFonts w:ascii="Times New Roman" w:hAnsi="Times New Roman"/>
        </w:rPr>
        <w:t xml:space="preserve">compares outcomes between </w:t>
      </w:r>
      <w:r w:rsidR="00EC11E9" w:rsidRPr="00166607">
        <w:rPr>
          <w:rFonts w:ascii="Times New Roman" w:hAnsi="Times New Roman"/>
        </w:rPr>
        <w:t xml:space="preserve">scholarship </w:t>
      </w:r>
      <w:r w:rsidR="00853292" w:rsidRPr="00166607">
        <w:rPr>
          <w:rFonts w:ascii="Times New Roman" w:hAnsi="Times New Roman"/>
        </w:rPr>
        <w:t>lottery winners and losers, as follows:</w:t>
      </w:r>
    </w:p>
    <w:p w14:paraId="16DF2F4F" w14:textId="77777777" w:rsidR="008C36B9" w:rsidRPr="00166607" w:rsidRDefault="00A46987" w:rsidP="00402892">
      <w:pPr>
        <w:spacing w:after="160" w:line="360" w:lineRule="auto"/>
        <w:ind w:firstLine="720"/>
        <w:rPr>
          <w:rFonts w:ascii="Times New Roman" w:hAnsi="Times New Roman"/>
        </w:rPr>
      </w:pPr>
      <m:oMathPara>
        <m:oMath>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=α+γ</m:t>
          </m:r>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+β</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oMath>
      </m:oMathPara>
    </w:p>
    <w:p w14:paraId="392030EC" w14:textId="59F9F163" w:rsidR="004A00E6" w:rsidRPr="00166607" w:rsidRDefault="00771252" w:rsidP="00402892">
      <w:pPr>
        <w:widowControl w:val="0"/>
        <w:autoSpaceDE w:val="0"/>
        <w:autoSpaceDN w:val="0"/>
        <w:adjustRightInd w:val="0"/>
        <w:spacing w:after="160" w:line="360" w:lineRule="auto"/>
        <w:jc w:val="both"/>
        <w:rPr>
          <w:rFonts w:ascii="Times New Roman" w:hAnsi="Times New Roman"/>
        </w:rPr>
      </w:pPr>
      <w:r w:rsidRPr="008233C3">
        <w:rPr>
          <w:rFonts w:ascii="Times New Roman" w:hAnsi="Times New Roman"/>
        </w:rPr>
        <w:t xml:space="preserve">where </w:t>
      </w:r>
      <m:oMath>
        <m:sSub>
          <m:sSubPr>
            <m:ctrlPr>
              <w:rPr>
                <w:rFonts w:ascii="Cambria Math" w:hAnsi="Cambria Math"/>
                <w:i/>
              </w:rPr>
            </m:ctrlPr>
          </m:sSubPr>
          <m:e>
            <m:r>
              <w:rPr>
                <w:rFonts w:ascii="Cambria Math" w:hAnsi="Cambria Math"/>
              </w:rPr>
              <m:t>Y</m:t>
            </m:r>
          </m:e>
          <m:sub>
            <m:r>
              <w:rPr>
                <w:rFonts w:ascii="Cambria Math" w:hAnsi="Cambria Math"/>
              </w:rPr>
              <m:t>i</m:t>
            </m:r>
          </m:sub>
        </m:sSub>
      </m:oMath>
      <w:r w:rsidRPr="00166607">
        <w:rPr>
          <w:rFonts w:ascii="Times New Roman" w:hAnsi="Times New Roman"/>
        </w:rPr>
        <w:t xml:space="preserve"> is an outcome variable for </w:t>
      </w:r>
      <w:r w:rsidR="00771CA5" w:rsidRPr="008233C3">
        <w:rPr>
          <w:rFonts w:ascii="Times New Roman" w:hAnsi="Times New Roman"/>
        </w:rPr>
        <w:t>scholarship</w:t>
      </w:r>
      <w:r w:rsidRPr="00166607">
        <w:rPr>
          <w:rFonts w:ascii="Times New Roman" w:hAnsi="Times New Roman"/>
        </w:rPr>
        <w:t xml:space="preserve"> applicant </w:t>
      </w:r>
      <w:r w:rsidRPr="00166607">
        <w:rPr>
          <w:rFonts w:ascii="Times New Roman" w:hAnsi="Times New Roman"/>
          <w:i/>
        </w:rPr>
        <w:t xml:space="preserve">i, </w:t>
      </w:r>
      <m:oMath>
        <m:sSub>
          <m:sSubPr>
            <m:ctrlPr>
              <w:rPr>
                <w:rFonts w:ascii="Cambria Math" w:hAnsi="Cambria Math"/>
                <w:i/>
              </w:rPr>
            </m:ctrlPr>
          </m:sSubPr>
          <m:e>
            <m:r>
              <w:rPr>
                <w:rFonts w:ascii="Cambria Math" w:hAnsi="Cambria Math"/>
              </w:rPr>
              <m:t>Z</m:t>
            </m:r>
          </m:e>
          <m:sub>
            <m:r>
              <w:rPr>
                <w:rFonts w:ascii="Cambria Math" w:hAnsi="Cambria Math"/>
              </w:rPr>
              <m:t>i</m:t>
            </m:r>
          </m:sub>
        </m:sSub>
      </m:oMath>
      <w:r w:rsidRPr="00166607">
        <w:rPr>
          <w:rFonts w:ascii="Times New Roman" w:hAnsi="Times New Roman"/>
        </w:rPr>
        <w:t xml:space="preserve"> is an indicator variable for </w:t>
      </w:r>
      <w:r w:rsidRPr="00166607">
        <w:rPr>
          <w:rFonts w:ascii="Times New Roman" w:hAnsi="Times New Roman"/>
        </w:rPr>
        <w:lastRenderedPageBreak/>
        <w:t xml:space="preserve">whether applicant </w:t>
      </w:r>
      <w:r w:rsidRPr="008233C3">
        <w:rPr>
          <w:rFonts w:ascii="Times New Roman" w:hAnsi="Times New Roman"/>
          <w:i/>
        </w:rPr>
        <w:t xml:space="preserve">i </w:t>
      </w:r>
      <w:r w:rsidRPr="00166607">
        <w:rPr>
          <w:rFonts w:ascii="Times New Roman" w:hAnsi="Times New Roman"/>
        </w:rPr>
        <w:t xml:space="preserve">was awarded a private school </w:t>
      </w:r>
      <w:r w:rsidR="00EC11E9" w:rsidRPr="00166607">
        <w:rPr>
          <w:rFonts w:ascii="Times New Roman" w:hAnsi="Times New Roman"/>
        </w:rPr>
        <w:t xml:space="preserve">scholarship </w:t>
      </w:r>
      <w:r w:rsidRPr="00166607">
        <w:rPr>
          <w:rFonts w:ascii="Times New Roman" w:hAnsi="Times New Roman"/>
        </w:rPr>
        <w:t xml:space="preserve">through the lottery,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rsidR="00606B47" w:rsidRPr="00166607">
        <w:rPr>
          <w:rFonts w:ascii="Times New Roman" w:hAnsi="Times New Roman"/>
        </w:rPr>
        <w:t xml:space="preserve"> is a vector of baseline controls from the </w:t>
      </w:r>
      <w:r w:rsidR="00B24EA9" w:rsidRPr="008233C3">
        <w:rPr>
          <w:rFonts w:ascii="Times New Roman" w:hAnsi="Times New Roman"/>
        </w:rPr>
        <w:t xml:space="preserve">scholarship </w:t>
      </w:r>
      <w:r w:rsidR="00606B47" w:rsidRPr="00166607">
        <w:rPr>
          <w:rFonts w:ascii="Times New Roman" w:hAnsi="Times New Roman"/>
        </w:rPr>
        <w:t>application form that includes</w:t>
      </w:r>
      <w:r w:rsidR="004809A1" w:rsidRPr="00166607">
        <w:rPr>
          <w:rFonts w:ascii="Times New Roman" w:hAnsi="Times New Roman"/>
        </w:rPr>
        <w:t xml:space="preserve"> age,</w:t>
      </w:r>
      <w:r w:rsidR="00606B47" w:rsidRPr="00166607">
        <w:rPr>
          <w:rFonts w:ascii="Times New Roman" w:hAnsi="Times New Roman"/>
        </w:rPr>
        <w:t xml:space="preserve"> gender and whether the applicant had a phone number at the time of application</w:t>
      </w:r>
      <w:r w:rsidR="006D6877" w:rsidRPr="00166607">
        <w:rPr>
          <w:rFonts w:ascii="Times New Roman" w:hAnsi="Times New Roman"/>
        </w:rPr>
        <w:t>,</w:t>
      </w:r>
      <w:r w:rsidR="00606B47" w:rsidRPr="00166607">
        <w:rPr>
          <w:rFonts w:ascii="Times New Roman" w:hAnsi="Times New Roman"/>
        </w:rPr>
        <w:t xml:space="preserve"> and </w:t>
      </w:r>
      <m:oMath>
        <m:sSub>
          <m:sSubPr>
            <m:ctrlPr>
              <w:rPr>
                <w:rFonts w:ascii="Cambria Math" w:hAnsi="Cambria Math"/>
                <w:i/>
              </w:rPr>
            </m:ctrlPr>
          </m:sSubPr>
          <m:e>
            <m:r>
              <w:rPr>
                <w:rFonts w:ascii="Cambria Math" w:hAnsi="Cambria Math"/>
              </w:rPr>
              <m:t>ε</m:t>
            </m:r>
          </m:e>
          <m:sub>
            <m:r>
              <w:rPr>
                <w:rFonts w:ascii="Cambria Math" w:hAnsi="Cambria Math"/>
              </w:rPr>
              <m:t>i</m:t>
            </m:r>
          </m:sub>
        </m:sSub>
      </m:oMath>
      <w:r w:rsidR="00606B47" w:rsidRPr="00166607">
        <w:rPr>
          <w:rFonts w:ascii="Times New Roman" w:hAnsi="Times New Roman"/>
        </w:rPr>
        <w:t xml:space="preserve"> is an error term.</w:t>
      </w:r>
      <w:r w:rsidR="00D321DF" w:rsidRPr="008233C3">
        <w:rPr>
          <w:rFonts w:ascii="Times New Roman" w:hAnsi="Times New Roman"/>
        </w:rPr>
        <w:t xml:space="preserve"> </w:t>
      </w:r>
      <w:r w:rsidR="006F72C1" w:rsidRPr="00166607">
        <w:rPr>
          <w:rFonts w:ascii="Times New Roman" w:hAnsi="Times New Roman"/>
        </w:rPr>
        <w:t xml:space="preserve">Because students applied to private schools prior to the lottery, we can also estimate the main regression equation separately by the type of school </w:t>
      </w:r>
      <w:r w:rsidR="001901D6" w:rsidRPr="00166607">
        <w:rPr>
          <w:rFonts w:ascii="Times New Roman" w:hAnsi="Times New Roman"/>
        </w:rPr>
        <w:t xml:space="preserve">to which </w:t>
      </w:r>
      <w:r w:rsidR="006F72C1" w:rsidRPr="00166607">
        <w:rPr>
          <w:rFonts w:ascii="Times New Roman" w:hAnsi="Times New Roman"/>
        </w:rPr>
        <w:t xml:space="preserve">they applied. Technically, the lottery could be viewed as two separate lotteries – a lottery for students who had applied to vocational schools and a lottery for students who applied to other schools. </w:t>
      </w:r>
    </w:p>
    <w:p w14:paraId="02D0D6BD" w14:textId="41C5BB18" w:rsidR="00483AD7" w:rsidRPr="00166607" w:rsidRDefault="00907FEA" w:rsidP="00402892">
      <w:pPr>
        <w:pStyle w:val="ListParagraph"/>
        <w:numPr>
          <w:ilvl w:val="0"/>
          <w:numId w:val="3"/>
        </w:numPr>
        <w:spacing w:after="160" w:line="360" w:lineRule="auto"/>
        <w:ind w:left="720" w:hanging="720"/>
        <w:outlineLvl w:val="0"/>
        <w:rPr>
          <w:rFonts w:ascii="Times New Roman" w:hAnsi="Times New Roman"/>
          <w:b/>
          <w:sz w:val="28"/>
          <w:szCs w:val="28"/>
        </w:rPr>
      </w:pPr>
      <w:r w:rsidRPr="00166607">
        <w:rPr>
          <w:rFonts w:ascii="Times New Roman" w:hAnsi="Times New Roman"/>
          <w:b/>
          <w:sz w:val="28"/>
          <w:szCs w:val="28"/>
        </w:rPr>
        <w:t>S</w:t>
      </w:r>
      <w:r w:rsidR="00EC11E9" w:rsidRPr="00166607">
        <w:rPr>
          <w:rFonts w:ascii="Times New Roman" w:hAnsi="Times New Roman"/>
          <w:b/>
          <w:sz w:val="28"/>
          <w:szCs w:val="28"/>
        </w:rPr>
        <w:t>cholarship</w:t>
      </w:r>
      <w:r w:rsidRPr="00166607">
        <w:rPr>
          <w:rFonts w:ascii="Times New Roman" w:hAnsi="Times New Roman"/>
          <w:b/>
          <w:sz w:val="28"/>
          <w:szCs w:val="28"/>
        </w:rPr>
        <w:t xml:space="preserve"> </w:t>
      </w:r>
      <w:r w:rsidR="00F0418E" w:rsidRPr="008233C3">
        <w:rPr>
          <w:rFonts w:ascii="Times New Roman" w:hAnsi="Times New Roman"/>
          <w:b/>
          <w:sz w:val="28"/>
          <w:szCs w:val="28"/>
        </w:rPr>
        <w:t>I</w:t>
      </w:r>
      <w:r w:rsidRPr="00166607">
        <w:rPr>
          <w:rFonts w:ascii="Times New Roman" w:hAnsi="Times New Roman"/>
          <w:b/>
          <w:sz w:val="28"/>
          <w:szCs w:val="28"/>
        </w:rPr>
        <w:t>mpacts</w:t>
      </w:r>
      <w:r w:rsidR="00F77C23" w:rsidRPr="00166607">
        <w:rPr>
          <w:rFonts w:ascii="Times New Roman" w:hAnsi="Times New Roman"/>
          <w:b/>
          <w:sz w:val="28"/>
          <w:szCs w:val="28"/>
        </w:rPr>
        <w:t xml:space="preserve"> on </w:t>
      </w:r>
      <w:r w:rsidR="00F0418E" w:rsidRPr="00166607">
        <w:rPr>
          <w:rFonts w:ascii="Times New Roman" w:hAnsi="Times New Roman"/>
          <w:b/>
          <w:sz w:val="28"/>
          <w:szCs w:val="28"/>
        </w:rPr>
        <w:t>Long</w:t>
      </w:r>
      <w:r w:rsidR="00C727AE" w:rsidRPr="00166607">
        <w:rPr>
          <w:rFonts w:ascii="Times New Roman" w:hAnsi="Times New Roman"/>
          <w:b/>
          <w:sz w:val="28"/>
          <w:szCs w:val="28"/>
        </w:rPr>
        <w:t xml:space="preserve"> </w:t>
      </w:r>
      <w:r w:rsidR="00F0418E" w:rsidRPr="00166607">
        <w:rPr>
          <w:rFonts w:ascii="Times New Roman" w:hAnsi="Times New Roman"/>
          <w:b/>
          <w:sz w:val="28"/>
          <w:szCs w:val="28"/>
        </w:rPr>
        <w:t>R</w:t>
      </w:r>
      <w:r w:rsidR="00684F66" w:rsidRPr="00166607">
        <w:rPr>
          <w:rFonts w:ascii="Times New Roman" w:hAnsi="Times New Roman"/>
          <w:b/>
          <w:sz w:val="28"/>
          <w:szCs w:val="28"/>
        </w:rPr>
        <w:t>un</w:t>
      </w:r>
      <w:r w:rsidR="00F77C23" w:rsidRPr="00166607">
        <w:rPr>
          <w:rFonts w:ascii="Times New Roman" w:hAnsi="Times New Roman"/>
          <w:b/>
          <w:sz w:val="28"/>
          <w:szCs w:val="28"/>
        </w:rPr>
        <w:t xml:space="preserve"> </w:t>
      </w:r>
      <w:r w:rsidR="00F0418E" w:rsidRPr="00166607">
        <w:rPr>
          <w:rFonts w:ascii="Times New Roman" w:hAnsi="Times New Roman"/>
          <w:b/>
          <w:sz w:val="28"/>
          <w:szCs w:val="28"/>
        </w:rPr>
        <w:t>E</w:t>
      </w:r>
      <w:r w:rsidR="00F77C23" w:rsidRPr="00166607">
        <w:rPr>
          <w:rFonts w:ascii="Times New Roman" w:hAnsi="Times New Roman"/>
          <w:b/>
          <w:sz w:val="28"/>
          <w:szCs w:val="28"/>
        </w:rPr>
        <w:t xml:space="preserve">ducational </w:t>
      </w:r>
      <w:r w:rsidR="00F0418E" w:rsidRPr="00166607">
        <w:rPr>
          <w:rFonts w:ascii="Times New Roman" w:hAnsi="Times New Roman"/>
          <w:b/>
          <w:sz w:val="28"/>
          <w:szCs w:val="28"/>
        </w:rPr>
        <w:t>O</w:t>
      </w:r>
      <w:r w:rsidR="00F77C23" w:rsidRPr="00166607">
        <w:rPr>
          <w:rFonts w:ascii="Times New Roman" w:hAnsi="Times New Roman"/>
          <w:b/>
          <w:sz w:val="28"/>
          <w:szCs w:val="28"/>
        </w:rPr>
        <w:t>utcomes</w:t>
      </w:r>
    </w:p>
    <w:p w14:paraId="7FA9D5CC" w14:textId="2202162A" w:rsidR="004A1B4D" w:rsidRPr="00166607" w:rsidRDefault="00194184" w:rsidP="00402892">
      <w:pPr>
        <w:spacing w:after="160" w:line="360" w:lineRule="auto"/>
        <w:rPr>
          <w:rFonts w:ascii="Times New Roman" w:hAnsi="Times New Roman"/>
          <w:b/>
          <w:i/>
        </w:rPr>
      </w:pPr>
      <w:r w:rsidRPr="00166607">
        <w:rPr>
          <w:rFonts w:ascii="Times New Roman" w:hAnsi="Times New Roman"/>
          <w:b/>
          <w:i/>
        </w:rPr>
        <w:t xml:space="preserve">4.1 Secondary </w:t>
      </w:r>
      <w:r w:rsidR="00A53B75">
        <w:rPr>
          <w:rFonts w:ascii="Times New Roman" w:hAnsi="Times New Roman"/>
          <w:b/>
          <w:i/>
        </w:rPr>
        <w:t>e</w:t>
      </w:r>
      <w:r w:rsidR="00BA6DB4" w:rsidRPr="00166607">
        <w:rPr>
          <w:rFonts w:ascii="Times New Roman" w:hAnsi="Times New Roman"/>
          <w:b/>
          <w:i/>
        </w:rPr>
        <w:t xml:space="preserve">ducation </w:t>
      </w:r>
      <w:r w:rsidR="00A53B75">
        <w:rPr>
          <w:rFonts w:ascii="Times New Roman" w:hAnsi="Times New Roman"/>
          <w:b/>
          <w:i/>
        </w:rPr>
        <w:t>c</w:t>
      </w:r>
      <w:r w:rsidRPr="00166607">
        <w:rPr>
          <w:rFonts w:ascii="Times New Roman" w:hAnsi="Times New Roman"/>
          <w:b/>
          <w:i/>
        </w:rPr>
        <w:t>ompletion</w:t>
      </w:r>
      <w:r w:rsidR="00F0418E" w:rsidRPr="00166607">
        <w:rPr>
          <w:rFonts w:ascii="Times New Roman" w:hAnsi="Times New Roman"/>
          <w:b/>
          <w:i/>
        </w:rPr>
        <w:t xml:space="preserve"> </w:t>
      </w:r>
      <w:r w:rsidR="00A53B75">
        <w:rPr>
          <w:rFonts w:ascii="Times New Roman" w:hAnsi="Times New Roman"/>
          <w:b/>
          <w:i/>
        </w:rPr>
        <w:t>o</w:t>
      </w:r>
      <w:r w:rsidRPr="00166607">
        <w:rPr>
          <w:rFonts w:ascii="Times New Roman" w:hAnsi="Times New Roman"/>
          <w:b/>
          <w:i/>
        </w:rPr>
        <w:t>utcomes</w:t>
      </w:r>
    </w:p>
    <w:p w14:paraId="45EA0F9A" w14:textId="33DB342E" w:rsidR="004F709E" w:rsidRPr="00166607" w:rsidRDefault="000C71EA" w:rsidP="00402892">
      <w:pPr>
        <w:spacing w:after="160" w:line="360" w:lineRule="auto"/>
        <w:ind w:firstLine="720"/>
        <w:jc w:val="both"/>
        <w:rPr>
          <w:rFonts w:ascii="Times New Roman" w:hAnsi="Times New Roman"/>
        </w:rPr>
      </w:pPr>
      <w:r w:rsidRPr="00166607">
        <w:rPr>
          <w:rFonts w:ascii="Times New Roman" w:hAnsi="Times New Roman"/>
        </w:rPr>
        <w:t xml:space="preserve">In this subsection, we examine secondary school outcomes </w:t>
      </w:r>
      <w:r w:rsidR="00975DF6" w:rsidRPr="00166607">
        <w:rPr>
          <w:rFonts w:ascii="Times New Roman" w:hAnsi="Times New Roman"/>
        </w:rPr>
        <w:t>and in</w:t>
      </w:r>
      <w:r w:rsidRPr="00166607">
        <w:rPr>
          <w:rFonts w:ascii="Times New Roman" w:hAnsi="Times New Roman"/>
        </w:rPr>
        <w:t xml:space="preserve"> the </w:t>
      </w:r>
      <w:r w:rsidR="00975DF6" w:rsidRPr="00166607">
        <w:rPr>
          <w:rFonts w:ascii="Times New Roman" w:hAnsi="Times New Roman"/>
        </w:rPr>
        <w:t>next we</w:t>
      </w:r>
      <w:r w:rsidRPr="00166607">
        <w:rPr>
          <w:rFonts w:ascii="Times New Roman" w:hAnsi="Times New Roman"/>
        </w:rPr>
        <w:t xml:space="preserve"> examine tertiary education outcomes. </w:t>
      </w:r>
      <w:r w:rsidR="004A00E6" w:rsidRPr="00166607">
        <w:rPr>
          <w:rFonts w:ascii="Times New Roman" w:hAnsi="Times New Roman"/>
        </w:rPr>
        <w:t xml:space="preserve">We </w:t>
      </w:r>
      <w:r w:rsidR="00E9278E" w:rsidRPr="00166607">
        <w:rPr>
          <w:rFonts w:ascii="Times New Roman" w:hAnsi="Times New Roman"/>
        </w:rPr>
        <w:t xml:space="preserve">concentrate </w:t>
      </w:r>
      <w:r w:rsidR="00C25524" w:rsidRPr="00166607">
        <w:rPr>
          <w:rFonts w:ascii="Times New Roman" w:hAnsi="Times New Roman"/>
        </w:rPr>
        <w:t>on</w:t>
      </w:r>
      <w:r w:rsidR="00194184" w:rsidRPr="00166607">
        <w:rPr>
          <w:rFonts w:ascii="Times New Roman" w:hAnsi="Times New Roman"/>
        </w:rPr>
        <w:t xml:space="preserve"> </w:t>
      </w:r>
      <w:r w:rsidR="00CA175D" w:rsidRPr="00166607">
        <w:rPr>
          <w:rFonts w:ascii="Times New Roman" w:hAnsi="Times New Roman"/>
        </w:rPr>
        <w:t xml:space="preserve">on-time </w:t>
      </w:r>
      <w:r w:rsidR="00194184" w:rsidRPr="00166607">
        <w:rPr>
          <w:rFonts w:ascii="Times New Roman" w:hAnsi="Times New Roman"/>
        </w:rPr>
        <w:t xml:space="preserve">secondary school completion and </w:t>
      </w:r>
      <w:r w:rsidR="004A00E6" w:rsidRPr="00166607">
        <w:rPr>
          <w:rFonts w:ascii="Times New Roman" w:hAnsi="Times New Roman"/>
        </w:rPr>
        <w:t xml:space="preserve">the likelihood of </w:t>
      </w:r>
      <w:r w:rsidR="00194184" w:rsidRPr="00166607">
        <w:rPr>
          <w:rFonts w:ascii="Times New Roman" w:hAnsi="Times New Roman"/>
        </w:rPr>
        <w:t>ever completi</w:t>
      </w:r>
      <w:r w:rsidR="004A00E6" w:rsidRPr="00166607">
        <w:rPr>
          <w:rFonts w:ascii="Times New Roman" w:hAnsi="Times New Roman"/>
        </w:rPr>
        <w:t>ng</w:t>
      </w:r>
      <w:r w:rsidR="00E9278E" w:rsidRPr="00166607">
        <w:rPr>
          <w:rFonts w:ascii="Times New Roman" w:hAnsi="Times New Roman"/>
        </w:rPr>
        <w:t xml:space="preserve"> secondary school</w:t>
      </w:r>
      <w:r w:rsidR="00194184" w:rsidRPr="00166607">
        <w:rPr>
          <w:rFonts w:ascii="Times New Roman" w:hAnsi="Times New Roman"/>
        </w:rPr>
        <w:t>.</w:t>
      </w:r>
      <w:r w:rsidR="00676903" w:rsidRPr="00166607">
        <w:rPr>
          <w:rStyle w:val="FootnoteReference"/>
          <w:rFonts w:ascii="Times New Roman" w:hAnsi="Times New Roman"/>
        </w:rPr>
        <w:footnoteReference w:id="15"/>
      </w:r>
      <w:r w:rsidR="00194184" w:rsidRPr="00166607">
        <w:rPr>
          <w:rFonts w:ascii="Times New Roman" w:hAnsi="Times New Roman"/>
        </w:rPr>
        <w:t xml:space="preserve"> </w:t>
      </w:r>
      <w:r w:rsidR="00676903" w:rsidRPr="008233C3">
        <w:rPr>
          <w:rFonts w:ascii="Times New Roman" w:hAnsi="Times New Roman"/>
        </w:rPr>
        <w:t xml:space="preserve"> </w:t>
      </w:r>
      <w:r w:rsidR="00FF345E" w:rsidRPr="00166607">
        <w:rPr>
          <w:rFonts w:ascii="Times New Roman" w:hAnsi="Times New Roman"/>
        </w:rPr>
        <w:t>Scholarship lottery winner</w:t>
      </w:r>
      <w:r w:rsidR="00C6061A" w:rsidRPr="00166607">
        <w:rPr>
          <w:rFonts w:ascii="Times New Roman" w:hAnsi="Times New Roman"/>
        </w:rPr>
        <w:t xml:space="preserve">s are </w:t>
      </w:r>
      <w:r w:rsidR="002923FF" w:rsidRPr="00166607">
        <w:rPr>
          <w:rFonts w:ascii="Times New Roman" w:hAnsi="Times New Roman"/>
        </w:rPr>
        <w:t>17</w:t>
      </w:r>
      <w:r w:rsidR="00E568C7" w:rsidRPr="00166607">
        <w:rPr>
          <w:rFonts w:ascii="Times New Roman" w:hAnsi="Times New Roman"/>
        </w:rPr>
        <w:t xml:space="preserve"> </w:t>
      </w:r>
      <w:r w:rsidR="00574694" w:rsidRPr="00166607">
        <w:rPr>
          <w:rFonts w:ascii="Times New Roman" w:hAnsi="Times New Roman"/>
        </w:rPr>
        <w:t xml:space="preserve">percent </w:t>
      </w:r>
      <w:r w:rsidR="00472623" w:rsidRPr="00166607">
        <w:rPr>
          <w:rFonts w:ascii="Times New Roman" w:hAnsi="Times New Roman"/>
        </w:rPr>
        <w:t>(</w:t>
      </w:r>
      <w:r w:rsidR="002923FF" w:rsidRPr="00166607">
        <w:rPr>
          <w:rFonts w:ascii="Times New Roman" w:hAnsi="Times New Roman"/>
        </w:rPr>
        <w:t>7.</w:t>
      </w:r>
      <w:r w:rsidR="00E568C7" w:rsidRPr="00166607">
        <w:rPr>
          <w:rFonts w:ascii="Times New Roman" w:hAnsi="Times New Roman"/>
        </w:rPr>
        <w:t xml:space="preserve">6 </w:t>
      </w:r>
      <w:r w:rsidR="00472623" w:rsidRPr="00166607">
        <w:rPr>
          <w:rFonts w:ascii="Times New Roman" w:hAnsi="Times New Roman"/>
        </w:rPr>
        <w:t xml:space="preserve">percentage points) </w:t>
      </w:r>
      <w:r w:rsidR="00574694" w:rsidRPr="00166607">
        <w:rPr>
          <w:rFonts w:ascii="Times New Roman" w:hAnsi="Times New Roman"/>
        </w:rPr>
        <w:t>more likely to compl</w:t>
      </w:r>
      <w:r w:rsidR="00842FCE" w:rsidRPr="00166607">
        <w:rPr>
          <w:rFonts w:ascii="Times New Roman" w:hAnsi="Times New Roman"/>
        </w:rPr>
        <w:t>ete secondary school on time</w:t>
      </w:r>
      <w:r w:rsidR="00574694" w:rsidRPr="00166607">
        <w:rPr>
          <w:rFonts w:ascii="Times New Roman" w:hAnsi="Times New Roman"/>
        </w:rPr>
        <w:t xml:space="preserve"> relative</w:t>
      </w:r>
      <w:r w:rsidR="00263CA2" w:rsidRPr="00166607">
        <w:rPr>
          <w:rFonts w:ascii="Times New Roman" w:hAnsi="Times New Roman"/>
        </w:rPr>
        <w:t xml:space="preserve"> to</w:t>
      </w:r>
      <w:r w:rsidR="00574694" w:rsidRPr="00166607">
        <w:rPr>
          <w:rFonts w:ascii="Times New Roman" w:hAnsi="Times New Roman"/>
        </w:rPr>
        <w:t xml:space="preserve"> the loser’s on-schedule completion rate of </w:t>
      </w:r>
      <w:r w:rsidR="00E568C7" w:rsidRPr="00166607">
        <w:rPr>
          <w:rFonts w:ascii="Times New Roman" w:hAnsi="Times New Roman"/>
        </w:rPr>
        <w:t>45</w:t>
      </w:r>
      <w:r w:rsidR="00472623" w:rsidRPr="00166607">
        <w:rPr>
          <w:rFonts w:ascii="Times New Roman" w:hAnsi="Times New Roman"/>
        </w:rPr>
        <w:t>.</w:t>
      </w:r>
      <w:r w:rsidR="00E568C7" w:rsidRPr="00166607">
        <w:rPr>
          <w:rFonts w:ascii="Times New Roman" w:hAnsi="Times New Roman"/>
        </w:rPr>
        <w:t>2</w:t>
      </w:r>
      <w:r w:rsidR="00574694" w:rsidRPr="00166607">
        <w:rPr>
          <w:rFonts w:ascii="Times New Roman" w:hAnsi="Times New Roman"/>
        </w:rPr>
        <w:t xml:space="preserve"> percent (</w:t>
      </w:r>
      <w:r w:rsidR="001B451F" w:rsidRPr="00166607">
        <w:rPr>
          <w:rFonts w:ascii="Times New Roman" w:hAnsi="Times New Roman"/>
        </w:rPr>
        <w:t xml:space="preserve">Panel A of </w:t>
      </w:r>
      <w:r w:rsidR="004561F5" w:rsidRPr="00166607">
        <w:rPr>
          <w:rFonts w:ascii="Times New Roman" w:hAnsi="Times New Roman"/>
        </w:rPr>
        <w:t xml:space="preserve">Table </w:t>
      </w:r>
      <w:r w:rsidR="002923FF" w:rsidRPr="00166607">
        <w:rPr>
          <w:rFonts w:ascii="Times New Roman" w:hAnsi="Times New Roman"/>
        </w:rPr>
        <w:t>2</w:t>
      </w:r>
      <w:r w:rsidR="00C6061A" w:rsidRPr="00166607">
        <w:rPr>
          <w:rFonts w:ascii="Times New Roman" w:hAnsi="Times New Roman"/>
        </w:rPr>
        <w:t>)</w:t>
      </w:r>
      <w:r w:rsidR="00E25DE4" w:rsidRPr="00166607">
        <w:rPr>
          <w:rFonts w:ascii="Times New Roman" w:hAnsi="Times New Roman"/>
        </w:rPr>
        <w:t>.</w:t>
      </w:r>
      <w:r w:rsidR="00574694" w:rsidRPr="00166607">
        <w:rPr>
          <w:rStyle w:val="FootnoteReference"/>
          <w:rFonts w:ascii="Times New Roman" w:hAnsi="Times New Roman"/>
        </w:rPr>
        <w:footnoteReference w:id="16"/>
      </w:r>
      <w:r w:rsidR="00574694" w:rsidRPr="00166607">
        <w:rPr>
          <w:rFonts w:ascii="Times New Roman" w:hAnsi="Times New Roman"/>
        </w:rPr>
        <w:t xml:space="preserve"> </w:t>
      </w:r>
      <w:r w:rsidR="00CA1A86" w:rsidRPr="008233C3">
        <w:rPr>
          <w:rFonts w:ascii="Times New Roman" w:hAnsi="Times New Roman"/>
        </w:rPr>
        <w:t>P</w:t>
      </w:r>
      <w:r w:rsidR="000C1CBF" w:rsidRPr="00166607">
        <w:rPr>
          <w:rFonts w:ascii="Times New Roman" w:hAnsi="Times New Roman"/>
        </w:rPr>
        <w:t xml:space="preserve">oint estimates of </w:t>
      </w:r>
      <w:r w:rsidR="00583E88" w:rsidRPr="00166607">
        <w:rPr>
          <w:rFonts w:ascii="Times New Roman" w:hAnsi="Times New Roman"/>
        </w:rPr>
        <w:t>scholarship</w:t>
      </w:r>
      <w:r w:rsidR="00371F35" w:rsidRPr="00166607">
        <w:rPr>
          <w:rFonts w:ascii="Times New Roman" w:hAnsi="Times New Roman"/>
        </w:rPr>
        <w:t xml:space="preserve"> effects are </w:t>
      </w:r>
      <w:r w:rsidR="00C727AE" w:rsidRPr="00166607">
        <w:rPr>
          <w:rFonts w:ascii="Times New Roman" w:hAnsi="Times New Roman"/>
        </w:rPr>
        <w:t xml:space="preserve">slightly </w:t>
      </w:r>
      <w:r w:rsidR="00303ACB" w:rsidRPr="00166607">
        <w:rPr>
          <w:rFonts w:ascii="Times New Roman" w:hAnsi="Times New Roman"/>
        </w:rPr>
        <w:t xml:space="preserve">larger (both </w:t>
      </w:r>
      <w:r w:rsidR="00E93E7E" w:rsidRPr="00166607">
        <w:rPr>
          <w:rFonts w:ascii="Times New Roman" w:hAnsi="Times New Roman"/>
        </w:rPr>
        <w:t xml:space="preserve">in </w:t>
      </w:r>
      <w:r w:rsidR="00303ACB" w:rsidRPr="00166607">
        <w:rPr>
          <w:rFonts w:ascii="Times New Roman" w:hAnsi="Times New Roman"/>
        </w:rPr>
        <w:t xml:space="preserve">percent and </w:t>
      </w:r>
      <w:r w:rsidR="00583E88" w:rsidRPr="00166607">
        <w:rPr>
          <w:rFonts w:ascii="Times New Roman" w:hAnsi="Times New Roman"/>
        </w:rPr>
        <w:t>percentage point</w:t>
      </w:r>
      <w:r w:rsidR="0075037E" w:rsidRPr="00166607">
        <w:rPr>
          <w:rFonts w:ascii="Times New Roman" w:hAnsi="Times New Roman"/>
        </w:rPr>
        <w:t xml:space="preserve"> terms</w:t>
      </w:r>
      <w:r w:rsidR="00303ACB" w:rsidRPr="00166607">
        <w:rPr>
          <w:rFonts w:ascii="Times New Roman" w:hAnsi="Times New Roman"/>
        </w:rPr>
        <w:t xml:space="preserve">) among </w:t>
      </w:r>
      <w:r w:rsidR="00C727AE" w:rsidRPr="00166607">
        <w:rPr>
          <w:rFonts w:ascii="Times New Roman" w:hAnsi="Times New Roman"/>
        </w:rPr>
        <w:t>applicants to vocational schools.</w:t>
      </w:r>
    </w:p>
    <w:p w14:paraId="4B365675" w14:textId="0F5BE790" w:rsidR="008C36B9" w:rsidRPr="00166607" w:rsidRDefault="00BB11FE" w:rsidP="00402892">
      <w:pPr>
        <w:autoSpaceDE w:val="0"/>
        <w:autoSpaceDN w:val="0"/>
        <w:adjustRightInd w:val="0"/>
        <w:spacing w:after="160" w:line="360" w:lineRule="auto"/>
        <w:ind w:firstLine="720"/>
        <w:jc w:val="both"/>
        <w:rPr>
          <w:rFonts w:ascii="Times New Roman" w:hAnsi="Times New Roman"/>
        </w:rPr>
      </w:pPr>
      <w:r w:rsidRPr="00166607">
        <w:rPr>
          <w:rFonts w:ascii="Times New Roman" w:hAnsi="Times New Roman"/>
        </w:rPr>
        <w:t xml:space="preserve">Scholarship lottery winners are 10 percent (5.4 percentage points) more likely to complete secondary school within six years after on-schedule completion relative to a base rate of 56.5 percent.  </w:t>
      </w:r>
      <w:r w:rsidR="001B451F" w:rsidRPr="00166607">
        <w:rPr>
          <w:rFonts w:ascii="Times New Roman" w:hAnsi="Times New Roman"/>
        </w:rPr>
        <w:t xml:space="preserve">During the </w:t>
      </w:r>
      <w:r w:rsidR="00E93E7E" w:rsidRPr="00166607">
        <w:rPr>
          <w:rFonts w:ascii="Times New Roman" w:hAnsi="Times New Roman"/>
        </w:rPr>
        <w:t>six</w:t>
      </w:r>
      <w:r w:rsidR="001B451F" w:rsidRPr="00166607">
        <w:rPr>
          <w:rFonts w:ascii="Times New Roman" w:hAnsi="Times New Roman"/>
        </w:rPr>
        <w:t xml:space="preserve"> years following</w:t>
      </w:r>
      <w:r w:rsidR="00263CA2" w:rsidRPr="00166607">
        <w:rPr>
          <w:rFonts w:ascii="Times New Roman" w:hAnsi="Times New Roman"/>
        </w:rPr>
        <w:t xml:space="preserve"> on-schedule</w:t>
      </w:r>
      <w:r w:rsidR="001B451F" w:rsidRPr="00166607">
        <w:rPr>
          <w:rFonts w:ascii="Times New Roman" w:hAnsi="Times New Roman"/>
        </w:rPr>
        <w:t xml:space="preserve"> </w:t>
      </w:r>
      <w:r w:rsidR="00E93E7E" w:rsidRPr="00166607">
        <w:rPr>
          <w:rFonts w:ascii="Times New Roman" w:hAnsi="Times New Roman"/>
        </w:rPr>
        <w:t>completion,</w:t>
      </w:r>
      <w:r w:rsidR="001B451F" w:rsidRPr="00166607">
        <w:rPr>
          <w:rFonts w:ascii="Times New Roman" w:hAnsi="Times New Roman"/>
        </w:rPr>
        <w:t xml:space="preserve"> the difference between the proportion of </w:t>
      </w:r>
      <w:r w:rsidR="00FF345E" w:rsidRPr="00166607">
        <w:rPr>
          <w:rFonts w:ascii="Times New Roman" w:hAnsi="Times New Roman"/>
        </w:rPr>
        <w:t>scholarship lottery winner</w:t>
      </w:r>
      <w:r w:rsidR="001B451F" w:rsidRPr="00166607">
        <w:rPr>
          <w:rFonts w:ascii="Times New Roman" w:hAnsi="Times New Roman"/>
        </w:rPr>
        <w:t xml:space="preserve">s and losers who have </w:t>
      </w:r>
      <w:r w:rsidR="00E93E7E" w:rsidRPr="00166607">
        <w:rPr>
          <w:rFonts w:ascii="Times New Roman" w:hAnsi="Times New Roman"/>
        </w:rPr>
        <w:t>complete</w:t>
      </w:r>
      <w:r w:rsidR="00263CA2" w:rsidRPr="00166607">
        <w:rPr>
          <w:rFonts w:ascii="Times New Roman" w:hAnsi="Times New Roman"/>
        </w:rPr>
        <w:t>d</w:t>
      </w:r>
      <w:r w:rsidR="00E93E7E" w:rsidRPr="00166607">
        <w:rPr>
          <w:rFonts w:ascii="Times New Roman" w:hAnsi="Times New Roman"/>
        </w:rPr>
        <w:t xml:space="preserve"> secondary school </w:t>
      </w:r>
      <w:r w:rsidR="001B451F" w:rsidRPr="00166607">
        <w:rPr>
          <w:rFonts w:ascii="Times New Roman" w:hAnsi="Times New Roman"/>
        </w:rPr>
        <w:t xml:space="preserve">declines </w:t>
      </w:r>
      <w:r w:rsidR="00263CA2" w:rsidRPr="00166607">
        <w:rPr>
          <w:rFonts w:ascii="Times New Roman" w:hAnsi="Times New Roman"/>
        </w:rPr>
        <w:t xml:space="preserve">with </w:t>
      </w:r>
      <w:r w:rsidR="001B451F" w:rsidRPr="00166607">
        <w:rPr>
          <w:rFonts w:ascii="Times New Roman" w:hAnsi="Times New Roman"/>
        </w:rPr>
        <w:t>each year.</w:t>
      </w:r>
      <w:r w:rsidR="00256554" w:rsidRPr="00166607">
        <w:rPr>
          <w:rStyle w:val="FootnoteReference"/>
          <w:rFonts w:ascii="Times New Roman" w:hAnsi="Times New Roman"/>
        </w:rPr>
        <w:footnoteReference w:id="17"/>
      </w:r>
    </w:p>
    <w:p w14:paraId="4E30121F" w14:textId="255256D5" w:rsidR="008C36B9" w:rsidRPr="00166607" w:rsidRDefault="003E2634" w:rsidP="00402892">
      <w:pPr>
        <w:keepNext/>
        <w:spacing w:after="160" w:line="360" w:lineRule="auto"/>
        <w:outlineLvl w:val="0"/>
        <w:rPr>
          <w:rFonts w:ascii="Times New Roman" w:hAnsi="Times New Roman"/>
          <w:b/>
          <w:i/>
        </w:rPr>
      </w:pPr>
      <w:r w:rsidRPr="008233C3">
        <w:rPr>
          <w:rFonts w:ascii="Times New Roman" w:hAnsi="Times New Roman"/>
          <w:b/>
          <w:i/>
        </w:rPr>
        <w:lastRenderedPageBreak/>
        <w:t xml:space="preserve">4.2 </w:t>
      </w:r>
      <w:r w:rsidR="009F3829" w:rsidRPr="00166607">
        <w:rPr>
          <w:rFonts w:ascii="Times New Roman" w:hAnsi="Times New Roman"/>
          <w:b/>
          <w:i/>
        </w:rPr>
        <w:t xml:space="preserve">Tertiary </w:t>
      </w:r>
      <w:r w:rsidR="00FC7EB5">
        <w:rPr>
          <w:rFonts w:ascii="Times New Roman" w:hAnsi="Times New Roman"/>
          <w:b/>
          <w:i/>
        </w:rPr>
        <w:t>e</w:t>
      </w:r>
      <w:r w:rsidR="009F3829" w:rsidRPr="00166607">
        <w:rPr>
          <w:rFonts w:ascii="Times New Roman" w:hAnsi="Times New Roman"/>
          <w:b/>
          <w:i/>
        </w:rPr>
        <w:t xml:space="preserve">ducation </w:t>
      </w:r>
      <w:r w:rsidR="00FC7EB5">
        <w:rPr>
          <w:rFonts w:ascii="Times New Roman" w:hAnsi="Times New Roman"/>
          <w:b/>
          <w:i/>
        </w:rPr>
        <w:t>o</w:t>
      </w:r>
      <w:r w:rsidR="002F312D" w:rsidRPr="00166607">
        <w:rPr>
          <w:rFonts w:ascii="Times New Roman" w:hAnsi="Times New Roman"/>
          <w:b/>
          <w:i/>
        </w:rPr>
        <w:t>utcomes</w:t>
      </w:r>
    </w:p>
    <w:p w14:paraId="5D1F4C59" w14:textId="6F370D22" w:rsidR="00236E8D" w:rsidRPr="00166607" w:rsidRDefault="00C116A9" w:rsidP="00402892">
      <w:pPr>
        <w:spacing w:after="160" w:line="360" w:lineRule="auto"/>
        <w:ind w:firstLine="720"/>
        <w:rPr>
          <w:rFonts w:ascii="Times New Roman" w:hAnsi="Times New Roman"/>
        </w:rPr>
      </w:pPr>
      <w:r w:rsidRPr="00166607">
        <w:rPr>
          <w:rFonts w:ascii="Times New Roman" w:hAnsi="Times New Roman"/>
        </w:rPr>
        <w:t xml:space="preserve">Table 2 reports scholarship impacts on tertiary education outcomes. </w:t>
      </w:r>
      <w:r w:rsidR="00C727AE" w:rsidRPr="00166607">
        <w:rPr>
          <w:rFonts w:ascii="Times New Roman" w:hAnsi="Times New Roman"/>
        </w:rPr>
        <w:t>Effects on tertiary</w:t>
      </w:r>
      <w:r w:rsidRPr="00166607">
        <w:rPr>
          <w:rFonts w:ascii="Times New Roman" w:hAnsi="Times New Roman"/>
        </w:rPr>
        <w:t xml:space="preserve"> education outcomes are </w:t>
      </w:r>
      <w:r w:rsidR="00236E8D" w:rsidRPr="00166607">
        <w:rPr>
          <w:rFonts w:ascii="Times New Roman" w:hAnsi="Times New Roman"/>
        </w:rPr>
        <w:t>particularly strong among students who applied to vocational schools.</w:t>
      </w:r>
    </w:p>
    <w:p w14:paraId="7D59A729" w14:textId="32CD4EA8" w:rsidR="00D46733" w:rsidRPr="00166607" w:rsidRDefault="00236E8D" w:rsidP="00402892">
      <w:pPr>
        <w:spacing w:after="160" w:line="360" w:lineRule="auto"/>
        <w:contextualSpacing/>
        <w:jc w:val="both"/>
        <w:rPr>
          <w:rFonts w:ascii="Times New Roman" w:hAnsi="Times New Roman"/>
        </w:rPr>
      </w:pPr>
      <w:r w:rsidRPr="00166607">
        <w:rPr>
          <w:rFonts w:ascii="Times New Roman" w:hAnsi="Times New Roman"/>
        </w:rPr>
        <w:t>In this population, the base rate of ever enrollm</w:t>
      </w:r>
      <w:r w:rsidR="00C116A9" w:rsidRPr="00166607">
        <w:rPr>
          <w:rFonts w:ascii="Times New Roman" w:hAnsi="Times New Roman"/>
        </w:rPr>
        <w:t>ent in tertiary education is 19 percent</w:t>
      </w:r>
      <w:r w:rsidRPr="00166607">
        <w:rPr>
          <w:rFonts w:ascii="Times New Roman" w:hAnsi="Times New Roman"/>
        </w:rPr>
        <w:t xml:space="preserve"> and this increases by 7 percentage points </w:t>
      </w:r>
      <w:r w:rsidR="00484342" w:rsidRPr="00166607">
        <w:rPr>
          <w:rFonts w:ascii="Times New Roman" w:hAnsi="Times New Roman"/>
        </w:rPr>
        <w:t xml:space="preserve">(37 percent) </w:t>
      </w:r>
      <w:r w:rsidRPr="00166607">
        <w:rPr>
          <w:rFonts w:ascii="Times New Roman" w:hAnsi="Times New Roman"/>
        </w:rPr>
        <w:t>among lottery winners.</w:t>
      </w:r>
      <w:r w:rsidR="00C36077" w:rsidRPr="00166607">
        <w:rPr>
          <w:rStyle w:val="FootnoteReference"/>
          <w:rFonts w:ascii="Times New Roman" w:hAnsi="Times New Roman"/>
        </w:rPr>
        <w:footnoteReference w:id="18"/>
      </w:r>
      <w:r w:rsidR="00D82E86" w:rsidRPr="00166607">
        <w:rPr>
          <w:rFonts w:ascii="Times New Roman" w:hAnsi="Times New Roman"/>
        </w:rPr>
        <w:t xml:space="preserve"> </w:t>
      </w:r>
      <w:r w:rsidRPr="008233C3">
        <w:rPr>
          <w:rFonts w:ascii="Times New Roman" w:hAnsi="Times New Roman"/>
        </w:rPr>
        <w:t xml:space="preserve">This ever enrollment effect takes place both in vocational colleges and in universities. </w:t>
      </w:r>
      <w:r w:rsidR="00B706EF" w:rsidRPr="00B706EF">
        <w:rPr>
          <w:rFonts w:ascii="Times New Roman" w:hAnsi="Times New Roman"/>
        </w:rPr>
        <w:t>Within this group</w:t>
      </w:r>
      <w:r w:rsidR="005B6762">
        <w:rPr>
          <w:rFonts w:ascii="Times New Roman" w:hAnsi="Times New Roman"/>
        </w:rPr>
        <w:t>,</w:t>
      </w:r>
      <w:r w:rsidR="00B706EF" w:rsidRPr="00B706EF">
        <w:rPr>
          <w:rFonts w:ascii="Times New Roman" w:hAnsi="Times New Roman"/>
        </w:rPr>
        <w:t xml:space="preserve"> the effects are particularly driven by males for whom there is a 10 percentage point gain in ever enrollment in tertiary education on the base of approximately 16</w:t>
      </w:r>
      <w:r w:rsidR="002F238B">
        <w:rPr>
          <w:rFonts w:ascii="Times New Roman" w:hAnsi="Times New Roman"/>
        </w:rPr>
        <w:t xml:space="preserve"> percent</w:t>
      </w:r>
      <w:r w:rsidR="005B6762">
        <w:rPr>
          <w:rFonts w:ascii="Times New Roman" w:hAnsi="Times New Roman"/>
        </w:rPr>
        <w:t xml:space="preserve"> (Appendix A Table). </w:t>
      </w:r>
    </w:p>
    <w:p w14:paraId="49921D8B" w14:textId="3FCFC912" w:rsidR="00236E8D" w:rsidRPr="00166607" w:rsidRDefault="001F7B47" w:rsidP="00402892">
      <w:pPr>
        <w:spacing w:after="160" w:line="360" w:lineRule="auto"/>
        <w:ind w:firstLine="720"/>
        <w:contextualSpacing/>
        <w:jc w:val="both"/>
        <w:rPr>
          <w:rFonts w:ascii="Times New Roman" w:hAnsi="Times New Roman"/>
        </w:rPr>
      </w:pPr>
      <w:r w:rsidRPr="00166607">
        <w:rPr>
          <w:rFonts w:ascii="Times New Roman" w:hAnsi="Times New Roman"/>
        </w:rPr>
        <w:t>Among vocational school applicants t</w:t>
      </w:r>
      <w:r w:rsidR="00236E8D" w:rsidRPr="00166607">
        <w:rPr>
          <w:rFonts w:ascii="Times New Roman" w:hAnsi="Times New Roman"/>
        </w:rPr>
        <w:t>here is also evidence of gains in</w:t>
      </w:r>
      <w:r w:rsidRPr="00166607">
        <w:rPr>
          <w:rFonts w:ascii="Times New Roman" w:hAnsi="Times New Roman"/>
        </w:rPr>
        <w:t xml:space="preserve"> tertiary </w:t>
      </w:r>
      <w:r w:rsidR="00236E8D" w:rsidRPr="00166607">
        <w:rPr>
          <w:rFonts w:ascii="Times New Roman" w:hAnsi="Times New Roman"/>
        </w:rPr>
        <w:t>graduation rates</w:t>
      </w:r>
      <w:r w:rsidRPr="00166607">
        <w:rPr>
          <w:rFonts w:ascii="Times New Roman" w:hAnsi="Times New Roman"/>
        </w:rPr>
        <w:t xml:space="preserve"> and</w:t>
      </w:r>
      <w:r w:rsidR="00236E8D" w:rsidRPr="00166607">
        <w:rPr>
          <w:rFonts w:ascii="Times New Roman" w:hAnsi="Times New Roman"/>
        </w:rPr>
        <w:t xml:space="preserve"> in total years of tertiary education.</w:t>
      </w:r>
      <w:r w:rsidR="00D46733" w:rsidRPr="00166607">
        <w:rPr>
          <w:rStyle w:val="FootnoteReference"/>
          <w:rFonts w:ascii="Times New Roman" w:hAnsi="Times New Roman"/>
        </w:rPr>
        <w:footnoteReference w:id="19"/>
      </w:r>
      <w:r w:rsidR="00D46733" w:rsidRPr="00166607">
        <w:rPr>
          <w:rFonts w:ascii="Times New Roman" w:hAnsi="Times New Roman"/>
        </w:rPr>
        <w:t xml:space="preserve">  Vocational scholarship winners are 2.4 percentage </w:t>
      </w:r>
      <w:r w:rsidR="00393B6C" w:rsidRPr="008233C3">
        <w:rPr>
          <w:rFonts w:ascii="Times New Roman" w:hAnsi="Times New Roman"/>
        </w:rPr>
        <w:t xml:space="preserve">points </w:t>
      </w:r>
      <w:r w:rsidR="005F20CB" w:rsidRPr="00166607">
        <w:rPr>
          <w:rFonts w:ascii="Times New Roman" w:hAnsi="Times New Roman"/>
        </w:rPr>
        <w:t xml:space="preserve">more likely to graduate from tertiary education from a </w:t>
      </w:r>
      <w:r w:rsidR="00504D39" w:rsidRPr="00166607">
        <w:rPr>
          <w:rFonts w:ascii="Times New Roman" w:hAnsi="Times New Roman"/>
        </w:rPr>
        <w:t xml:space="preserve">base </w:t>
      </w:r>
      <w:r w:rsidR="00943E91" w:rsidRPr="00166607">
        <w:rPr>
          <w:rFonts w:ascii="Times New Roman" w:hAnsi="Times New Roman"/>
        </w:rPr>
        <w:t xml:space="preserve">rate </w:t>
      </w:r>
      <w:r w:rsidR="00504D39" w:rsidRPr="00166607">
        <w:rPr>
          <w:rFonts w:ascii="Times New Roman" w:hAnsi="Times New Roman"/>
        </w:rPr>
        <w:t xml:space="preserve">of </w:t>
      </w:r>
      <w:r w:rsidR="005F20CB" w:rsidRPr="00166607">
        <w:rPr>
          <w:rFonts w:ascii="Times New Roman" w:hAnsi="Times New Roman"/>
        </w:rPr>
        <w:t xml:space="preserve">4.9 </w:t>
      </w:r>
      <w:r w:rsidR="00943E91" w:rsidRPr="00166607">
        <w:rPr>
          <w:rFonts w:ascii="Times New Roman" w:hAnsi="Times New Roman"/>
        </w:rPr>
        <w:t xml:space="preserve">percent </w:t>
      </w:r>
      <w:r w:rsidR="005F20CB" w:rsidRPr="00166607">
        <w:rPr>
          <w:rFonts w:ascii="Times New Roman" w:hAnsi="Times New Roman"/>
        </w:rPr>
        <w:t xml:space="preserve">among </w:t>
      </w:r>
      <w:r w:rsidR="00504D39" w:rsidRPr="00166607">
        <w:rPr>
          <w:rFonts w:ascii="Times New Roman" w:hAnsi="Times New Roman"/>
        </w:rPr>
        <w:t>vocational scholarship losers.</w:t>
      </w:r>
      <w:r w:rsidR="005F20CB" w:rsidRPr="00166607">
        <w:rPr>
          <w:rFonts w:ascii="Times New Roman" w:hAnsi="Times New Roman"/>
        </w:rPr>
        <w:t xml:space="preserve">  In this population, winners complete 0.19 additional years of tertiary education, which corresponds to a 45 percent increase relative to the base rate of 0.42 years among losers. </w:t>
      </w:r>
      <w:r w:rsidR="00504D39" w:rsidRPr="00166607">
        <w:rPr>
          <w:rFonts w:ascii="Times New Roman" w:hAnsi="Times New Roman"/>
        </w:rPr>
        <w:t xml:space="preserve"> </w:t>
      </w:r>
    </w:p>
    <w:p w14:paraId="58661292" w14:textId="012CFE37" w:rsidR="0094257F" w:rsidRPr="00166607" w:rsidRDefault="00236E8D" w:rsidP="00402892">
      <w:pPr>
        <w:autoSpaceDE w:val="0"/>
        <w:autoSpaceDN w:val="0"/>
        <w:adjustRightInd w:val="0"/>
        <w:spacing w:after="160" w:line="360" w:lineRule="auto"/>
        <w:ind w:firstLine="720"/>
        <w:jc w:val="both"/>
        <w:rPr>
          <w:rFonts w:ascii="Times New Roman" w:hAnsi="Times New Roman"/>
        </w:rPr>
      </w:pPr>
      <w:r w:rsidRPr="00166607">
        <w:rPr>
          <w:rFonts w:ascii="Times New Roman" w:hAnsi="Times New Roman"/>
        </w:rPr>
        <w:t>Among applicants to academic secondary schools</w:t>
      </w:r>
      <w:r w:rsidR="00BB11FE" w:rsidRPr="00166607">
        <w:rPr>
          <w:rFonts w:ascii="Times New Roman" w:hAnsi="Times New Roman"/>
        </w:rPr>
        <w:t>,</w:t>
      </w:r>
      <w:r w:rsidRPr="00166607">
        <w:rPr>
          <w:rFonts w:ascii="Times New Roman" w:hAnsi="Times New Roman"/>
        </w:rPr>
        <w:t xml:space="preserve"> there is no evidence of an increase in ever enrolling</w:t>
      </w:r>
      <w:r w:rsidR="005F20CB" w:rsidRPr="00166607">
        <w:rPr>
          <w:rFonts w:ascii="Times New Roman" w:hAnsi="Times New Roman"/>
        </w:rPr>
        <w:t xml:space="preserve">.  There </w:t>
      </w:r>
      <w:r w:rsidRPr="00166607">
        <w:rPr>
          <w:rFonts w:ascii="Times New Roman" w:hAnsi="Times New Roman"/>
        </w:rPr>
        <w:t>is evidence</w:t>
      </w:r>
      <w:r w:rsidR="005F20CB" w:rsidRPr="00166607">
        <w:rPr>
          <w:rFonts w:ascii="Times New Roman" w:hAnsi="Times New Roman"/>
        </w:rPr>
        <w:t>, however,</w:t>
      </w:r>
      <w:r w:rsidRPr="00166607">
        <w:rPr>
          <w:rFonts w:ascii="Times New Roman" w:hAnsi="Times New Roman"/>
        </w:rPr>
        <w:t xml:space="preserve"> that</w:t>
      </w:r>
      <w:r w:rsidR="005F20CB" w:rsidRPr="00166607">
        <w:rPr>
          <w:rFonts w:ascii="Times New Roman" w:hAnsi="Times New Roman"/>
        </w:rPr>
        <w:t xml:space="preserve"> among academic school </w:t>
      </w:r>
      <w:r w:rsidRPr="00166607">
        <w:rPr>
          <w:rFonts w:ascii="Times New Roman" w:hAnsi="Times New Roman"/>
        </w:rPr>
        <w:t>applicants</w:t>
      </w:r>
      <w:r w:rsidR="005F20CB" w:rsidRPr="00166607">
        <w:rPr>
          <w:rFonts w:ascii="Times New Roman" w:hAnsi="Times New Roman"/>
        </w:rPr>
        <w:t>, scholarship winners</w:t>
      </w:r>
      <w:r w:rsidRPr="00166607">
        <w:rPr>
          <w:rFonts w:ascii="Times New Roman" w:hAnsi="Times New Roman"/>
        </w:rPr>
        <w:t xml:space="preserve"> were more likely to be enrolled as of 2012 </w:t>
      </w:r>
      <w:r w:rsidR="005F20CB" w:rsidRPr="00166607">
        <w:rPr>
          <w:rFonts w:ascii="Times New Roman" w:hAnsi="Times New Roman"/>
        </w:rPr>
        <w:t xml:space="preserve">by </w:t>
      </w:r>
      <w:r w:rsidRPr="00166607">
        <w:rPr>
          <w:rFonts w:ascii="Times New Roman" w:hAnsi="Times New Roman"/>
        </w:rPr>
        <w:t>approximately 3 p</w:t>
      </w:r>
      <w:r w:rsidR="005F20CB" w:rsidRPr="00166607">
        <w:rPr>
          <w:rFonts w:ascii="Times New Roman" w:hAnsi="Times New Roman"/>
        </w:rPr>
        <w:t>ercentage points on a base of 3 percent</w:t>
      </w:r>
      <w:r w:rsidRPr="00166607">
        <w:rPr>
          <w:rFonts w:ascii="Times New Roman" w:hAnsi="Times New Roman"/>
        </w:rPr>
        <w:t>.</w:t>
      </w:r>
      <w:r w:rsidR="00D46733" w:rsidRPr="00166607">
        <w:rPr>
          <w:rFonts w:ascii="Times New Roman" w:hAnsi="Times New Roman"/>
        </w:rPr>
        <w:t xml:space="preserve"> </w:t>
      </w:r>
      <w:r w:rsidRPr="00166607">
        <w:rPr>
          <w:rFonts w:ascii="Times New Roman" w:hAnsi="Times New Roman"/>
        </w:rPr>
        <w:t>This seems to be taking place primarily in universities, private universities in particular rather than vocational colleges or public institutions.</w:t>
      </w:r>
    </w:p>
    <w:p w14:paraId="43664DA7" w14:textId="77777777" w:rsidR="005F47E3" w:rsidRPr="00166607" w:rsidRDefault="00E60734" w:rsidP="00402892">
      <w:pPr>
        <w:pStyle w:val="ListParagraph"/>
        <w:numPr>
          <w:ilvl w:val="0"/>
          <w:numId w:val="3"/>
        </w:numPr>
        <w:spacing w:after="160" w:line="360" w:lineRule="auto"/>
        <w:ind w:left="720" w:hanging="720"/>
        <w:outlineLvl w:val="0"/>
        <w:rPr>
          <w:rFonts w:ascii="Times New Roman" w:hAnsi="Times New Roman"/>
          <w:b/>
          <w:sz w:val="28"/>
          <w:szCs w:val="28"/>
        </w:rPr>
      </w:pPr>
      <w:r w:rsidRPr="00166607">
        <w:rPr>
          <w:rFonts w:ascii="Times New Roman" w:hAnsi="Times New Roman"/>
          <w:b/>
          <w:sz w:val="28"/>
          <w:szCs w:val="28"/>
        </w:rPr>
        <w:t>Scholarship</w:t>
      </w:r>
      <w:r w:rsidR="007068A5" w:rsidRPr="00166607">
        <w:rPr>
          <w:rFonts w:ascii="Times New Roman" w:hAnsi="Times New Roman"/>
          <w:b/>
          <w:sz w:val="28"/>
          <w:szCs w:val="28"/>
        </w:rPr>
        <w:t xml:space="preserve"> </w:t>
      </w:r>
      <w:r w:rsidR="00F0418E" w:rsidRPr="00166607">
        <w:rPr>
          <w:rFonts w:ascii="Times New Roman" w:hAnsi="Times New Roman"/>
          <w:b/>
          <w:sz w:val="28"/>
          <w:szCs w:val="28"/>
        </w:rPr>
        <w:t>I</w:t>
      </w:r>
      <w:r w:rsidR="00D30222" w:rsidRPr="00166607">
        <w:rPr>
          <w:rFonts w:ascii="Times New Roman" w:hAnsi="Times New Roman"/>
          <w:b/>
          <w:sz w:val="28"/>
          <w:szCs w:val="28"/>
        </w:rPr>
        <w:t xml:space="preserve">mpacts on </w:t>
      </w:r>
      <w:r w:rsidR="00F0418E" w:rsidRPr="00166607">
        <w:rPr>
          <w:rFonts w:ascii="Times New Roman" w:hAnsi="Times New Roman"/>
          <w:b/>
          <w:sz w:val="28"/>
          <w:szCs w:val="28"/>
        </w:rPr>
        <w:t>L</w:t>
      </w:r>
      <w:r w:rsidR="00D30222" w:rsidRPr="00166607">
        <w:rPr>
          <w:rFonts w:ascii="Times New Roman" w:hAnsi="Times New Roman"/>
          <w:b/>
          <w:sz w:val="28"/>
          <w:szCs w:val="28"/>
        </w:rPr>
        <w:t xml:space="preserve">abor </w:t>
      </w:r>
      <w:r w:rsidR="00F0418E" w:rsidRPr="00166607">
        <w:rPr>
          <w:rFonts w:ascii="Times New Roman" w:hAnsi="Times New Roman"/>
          <w:b/>
          <w:sz w:val="28"/>
          <w:szCs w:val="28"/>
        </w:rPr>
        <w:t>M</w:t>
      </w:r>
      <w:r w:rsidR="007068A5" w:rsidRPr="00166607">
        <w:rPr>
          <w:rFonts w:ascii="Times New Roman" w:hAnsi="Times New Roman"/>
          <w:b/>
          <w:sz w:val="28"/>
          <w:szCs w:val="28"/>
        </w:rPr>
        <w:t xml:space="preserve">arket </w:t>
      </w:r>
      <w:r w:rsidR="00F0418E" w:rsidRPr="00166607">
        <w:rPr>
          <w:rFonts w:ascii="Times New Roman" w:hAnsi="Times New Roman"/>
          <w:b/>
          <w:sz w:val="28"/>
          <w:szCs w:val="28"/>
        </w:rPr>
        <w:t>O</w:t>
      </w:r>
      <w:r w:rsidR="00267AC6" w:rsidRPr="00166607">
        <w:rPr>
          <w:rFonts w:ascii="Times New Roman" w:hAnsi="Times New Roman"/>
          <w:b/>
          <w:sz w:val="28"/>
          <w:szCs w:val="28"/>
        </w:rPr>
        <w:t>utcomes</w:t>
      </w:r>
    </w:p>
    <w:p w14:paraId="7E05EE1C" w14:textId="67023B41" w:rsidR="00356837" w:rsidRPr="00166607" w:rsidRDefault="00D92ABD" w:rsidP="00402892">
      <w:pPr>
        <w:pStyle w:val="ListParagraph"/>
        <w:spacing w:after="160" w:line="360" w:lineRule="auto"/>
        <w:ind w:left="0" w:firstLine="720"/>
        <w:jc w:val="both"/>
        <w:rPr>
          <w:rFonts w:ascii="Times New Roman" w:hAnsi="Times New Roman"/>
        </w:rPr>
      </w:pPr>
      <w:r>
        <w:rPr>
          <w:rFonts w:ascii="Times New Roman" w:hAnsi="Times New Roman"/>
        </w:rPr>
        <w:t xml:space="preserve">In this section, we first show that winning the lottery did not affect the intensive or extensive margin of formal sector labor participation, but that it nonetheless increased formal labor market earnings, and with it, payroll taxes with this effect concentrated among those applying to vocational schools. </w:t>
      </w:r>
      <w:r w:rsidRPr="00D92ABD">
        <w:rPr>
          <w:rFonts w:ascii="Times New Roman" w:hAnsi="Times New Roman"/>
        </w:rPr>
        <w:t xml:space="preserve">Data on </w:t>
      </w:r>
      <w:r w:rsidR="001A064A">
        <w:rPr>
          <w:rFonts w:ascii="Times New Roman" w:hAnsi="Times New Roman"/>
        </w:rPr>
        <w:t xml:space="preserve">self-reported </w:t>
      </w:r>
      <w:r w:rsidRPr="00D92ABD">
        <w:rPr>
          <w:rFonts w:ascii="Times New Roman" w:hAnsi="Times New Roman"/>
        </w:rPr>
        <w:t>earnings are only available for a subsample selected on the endogenous variable of location, as we discuss in subsection 5.3.</w:t>
      </w:r>
      <w:r w:rsidR="004423E7">
        <w:rPr>
          <w:rFonts w:ascii="Times New Roman" w:hAnsi="Times New Roman"/>
        </w:rPr>
        <w:t xml:space="preserve">  In subsection 5.4 we discuss </w:t>
      </w:r>
      <w:r w:rsidR="008F0692">
        <w:rPr>
          <w:rFonts w:ascii="Times New Roman" w:hAnsi="Times New Roman"/>
        </w:rPr>
        <w:t xml:space="preserve">government subsidies </w:t>
      </w:r>
      <w:r w:rsidR="004423E7">
        <w:rPr>
          <w:rFonts w:ascii="Times New Roman" w:hAnsi="Times New Roman"/>
        </w:rPr>
        <w:t xml:space="preserve">receipt. </w:t>
      </w:r>
      <w:r w:rsidR="001A064A">
        <w:rPr>
          <w:rFonts w:ascii="Times New Roman" w:hAnsi="Times New Roman"/>
        </w:rPr>
        <w:t xml:space="preserve">  </w:t>
      </w:r>
      <w:r w:rsidRPr="00D92ABD">
        <w:rPr>
          <w:rFonts w:ascii="Times New Roman" w:hAnsi="Times New Roman"/>
        </w:rPr>
        <w:t xml:space="preserve"> </w:t>
      </w:r>
      <w:r w:rsidR="007667F7" w:rsidRPr="00166607">
        <w:rPr>
          <w:rFonts w:ascii="Times New Roman" w:hAnsi="Times New Roman"/>
        </w:rPr>
        <w:t xml:space="preserve"> </w:t>
      </w:r>
    </w:p>
    <w:p w14:paraId="678D5A8B" w14:textId="3E2D3C7C" w:rsidR="00F73EFF" w:rsidRDefault="00C150C0" w:rsidP="00402892">
      <w:pPr>
        <w:pStyle w:val="ListParagraph"/>
        <w:spacing w:after="160" w:line="360" w:lineRule="auto"/>
        <w:ind w:left="0"/>
        <w:rPr>
          <w:rFonts w:ascii="Times New Roman" w:hAnsi="Times New Roman"/>
          <w:i/>
        </w:rPr>
      </w:pPr>
      <w:r w:rsidRPr="00166607">
        <w:rPr>
          <w:rFonts w:ascii="Times New Roman" w:hAnsi="Times New Roman"/>
          <w:b/>
          <w:i/>
        </w:rPr>
        <w:lastRenderedPageBreak/>
        <w:t xml:space="preserve">5.1 </w:t>
      </w:r>
      <w:r w:rsidR="00B976F8" w:rsidRPr="00166607">
        <w:rPr>
          <w:rFonts w:ascii="Times New Roman" w:hAnsi="Times New Roman"/>
          <w:b/>
          <w:i/>
        </w:rPr>
        <w:t xml:space="preserve">Formal-sector </w:t>
      </w:r>
      <w:r w:rsidR="00CE5552">
        <w:rPr>
          <w:rFonts w:ascii="Times New Roman" w:hAnsi="Times New Roman"/>
          <w:b/>
          <w:i/>
        </w:rPr>
        <w:t>p</w:t>
      </w:r>
      <w:r w:rsidR="00BB11FE" w:rsidRPr="00166607">
        <w:rPr>
          <w:rFonts w:ascii="Times New Roman" w:hAnsi="Times New Roman"/>
          <w:b/>
          <w:i/>
        </w:rPr>
        <w:t xml:space="preserve">articipation and </w:t>
      </w:r>
      <w:r w:rsidR="00CE5552">
        <w:rPr>
          <w:rFonts w:ascii="Times New Roman" w:hAnsi="Times New Roman"/>
          <w:b/>
          <w:i/>
        </w:rPr>
        <w:t>i</w:t>
      </w:r>
      <w:r w:rsidR="00BB11FE" w:rsidRPr="00166607">
        <w:rPr>
          <w:rFonts w:ascii="Times New Roman" w:hAnsi="Times New Roman"/>
          <w:b/>
          <w:i/>
        </w:rPr>
        <w:t>ntensity</w:t>
      </w:r>
    </w:p>
    <w:p w14:paraId="5C33DDED" w14:textId="17F27CC4" w:rsidR="00F73EFF" w:rsidRPr="00F73EFF" w:rsidRDefault="0027191D" w:rsidP="00402892">
      <w:pPr>
        <w:pStyle w:val="ListParagraph"/>
        <w:spacing w:after="160" w:line="360" w:lineRule="auto"/>
        <w:ind w:left="0"/>
        <w:rPr>
          <w:rFonts w:ascii="Times New Roman" w:hAnsi="Times New Roman"/>
        </w:rPr>
      </w:pPr>
      <w:r w:rsidRPr="00F73EFF">
        <w:rPr>
          <w:rFonts w:ascii="Times New Roman" w:hAnsi="Times New Roman"/>
        </w:rPr>
        <w:t>SISPRO data contains monthly earnings for all formal sector workers (i.e. those who pay payroll taxes) between 2008 and 2014.</w:t>
      </w:r>
      <w:r w:rsidR="00F73EFF" w:rsidRPr="00F73EFF">
        <w:rPr>
          <w:rFonts w:ascii="Times New Roman" w:hAnsi="Times New Roman"/>
        </w:rPr>
        <w:tab/>
      </w:r>
    </w:p>
    <w:p w14:paraId="040A143A" w14:textId="26F40392" w:rsidR="00F73EFF" w:rsidRPr="00F73EFF" w:rsidRDefault="0027191D" w:rsidP="00402892">
      <w:pPr>
        <w:pStyle w:val="ListParagraph"/>
        <w:spacing w:after="160" w:line="360" w:lineRule="auto"/>
        <w:ind w:left="0" w:firstLine="720"/>
        <w:rPr>
          <w:rFonts w:ascii="Times New Roman" w:hAnsi="Times New Roman"/>
        </w:rPr>
      </w:pPr>
      <w:r w:rsidRPr="00F73EFF">
        <w:rPr>
          <w:rFonts w:ascii="Times New Roman" w:hAnsi="Times New Roman"/>
        </w:rPr>
        <w:t>One limitation of this analysis is the fact that lottery winners are about two percent more likely to be still enrolled in tertiary education during the periods we analyze, and this may limit their current earnings while increasing their future earnings. Thus current differences in formal sector earnings between winners and losers may understate future earnings differences.</w:t>
      </w:r>
    </w:p>
    <w:p w14:paraId="1F5B04E9" w14:textId="77777777" w:rsidR="000A7830" w:rsidRPr="000041F1" w:rsidRDefault="00CA02C6" w:rsidP="00402892">
      <w:pPr>
        <w:pStyle w:val="ListParagraph"/>
        <w:spacing w:after="160" w:line="360" w:lineRule="auto"/>
        <w:ind w:left="0" w:firstLine="720"/>
        <w:rPr>
          <w:rFonts w:ascii="Times New Roman" w:hAnsi="Times New Roman"/>
        </w:rPr>
      </w:pPr>
      <w:r w:rsidRPr="00F73EFF">
        <w:rPr>
          <w:rFonts w:ascii="Times New Roman" w:hAnsi="Times New Roman"/>
        </w:rPr>
        <w:t>A</w:t>
      </w:r>
      <w:r w:rsidR="00E86E3D" w:rsidRPr="00F73EFF">
        <w:rPr>
          <w:rFonts w:ascii="Times New Roman" w:hAnsi="Times New Roman"/>
        </w:rPr>
        <w:t xml:space="preserve">mong </w:t>
      </w:r>
      <w:r w:rsidR="00A40FB1" w:rsidRPr="00F73EFF">
        <w:rPr>
          <w:rFonts w:ascii="Times New Roman" w:hAnsi="Times New Roman"/>
        </w:rPr>
        <w:t>scholarship lottery loser</w:t>
      </w:r>
      <w:r w:rsidR="00E86E3D" w:rsidRPr="00F73EFF">
        <w:rPr>
          <w:rFonts w:ascii="Times New Roman" w:hAnsi="Times New Roman"/>
        </w:rPr>
        <w:t xml:space="preserve">s, </w:t>
      </w:r>
      <w:r w:rsidR="00AB59D7" w:rsidRPr="00F73EFF">
        <w:rPr>
          <w:rFonts w:ascii="Times New Roman" w:hAnsi="Times New Roman"/>
        </w:rPr>
        <w:t xml:space="preserve">we match </w:t>
      </w:r>
      <w:r w:rsidR="00B22534" w:rsidRPr="00F73EFF">
        <w:rPr>
          <w:rFonts w:ascii="Times New Roman" w:hAnsi="Times New Roman"/>
        </w:rPr>
        <w:t>80</w:t>
      </w:r>
      <w:r w:rsidR="00AB59D7" w:rsidRPr="00F73EFF">
        <w:rPr>
          <w:rFonts w:ascii="Times New Roman" w:hAnsi="Times New Roman"/>
        </w:rPr>
        <w:t xml:space="preserve"> </w:t>
      </w:r>
      <w:r w:rsidR="00E86E3D" w:rsidRPr="00F73EFF">
        <w:rPr>
          <w:rFonts w:ascii="Times New Roman" w:hAnsi="Times New Roman"/>
        </w:rPr>
        <w:t>percent</w:t>
      </w:r>
      <w:r w:rsidR="00AB59D7" w:rsidRPr="00F73EFF">
        <w:rPr>
          <w:rFonts w:ascii="Times New Roman" w:hAnsi="Times New Roman"/>
        </w:rPr>
        <w:t xml:space="preserve"> to</w:t>
      </w:r>
      <w:r w:rsidR="009A46EB" w:rsidRPr="00F73EFF">
        <w:rPr>
          <w:rFonts w:ascii="Times New Roman" w:hAnsi="Times New Roman"/>
        </w:rPr>
        <w:t xml:space="preserve"> the</w:t>
      </w:r>
      <w:r w:rsidR="00F55010" w:rsidRPr="00F73EFF">
        <w:rPr>
          <w:rFonts w:ascii="Times New Roman" w:hAnsi="Times New Roman"/>
        </w:rPr>
        <w:t xml:space="preserve"> </w:t>
      </w:r>
      <w:r w:rsidR="00262133" w:rsidRPr="000A7830">
        <w:rPr>
          <w:rFonts w:ascii="Times New Roman" w:hAnsi="Times New Roman"/>
        </w:rPr>
        <w:t xml:space="preserve">SISPRO </w:t>
      </w:r>
      <w:r w:rsidR="00F55010" w:rsidRPr="000A7830">
        <w:rPr>
          <w:rFonts w:ascii="Times New Roman" w:hAnsi="Times New Roman"/>
        </w:rPr>
        <w:t>government record</w:t>
      </w:r>
      <w:r w:rsidR="00262133" w:rsidRPr="000A7830">
        <w:rPr>
          <w:rFonts w:ascii="Times New Roman" w:hAnsi="Times New Roman"/>
        </w:rPr>
        <w:t>s</w:t>
      </w:r>
      <w:r w:rsidR="00F55010" w:rsidRPr="000A7830">
        <w:rPr>
          <w:rFonts w:ascii="Times New Roman" w:hAnsi="Times New Roman"/>
        </w:rPr>
        <w:t xml:space="preserve"> of those paying payroll taxes</w:t>
      </w:r>
      <w:r w:rsidR="009A46EB" w:rsidRPr="000A7830">
        <w:rPr>
          <w:rFonts w:ascii="Times New Roman" w:hAnsi="Times New Roman"/>
        </w:rPr>
        <w:t>,</w:t>
      </w:r>
      <w:r w:rsidR="00AB59D7" w:rsidRPr="000A7830">
        <w:rPr>
          <w:rFonts w:ascii="Times New Roman" w:hAnsi="Times New Roman"/>
        </w:rPr>
        <w:t xml:space="preserve"> implying that </w:t>
      </w:r>
      <w:r w:rsidR="00B22534" w:rsidRPr="000A7830">
        <w:rPr>
          <w:rFonts w:ascii="Times New Roman" w:hAnsi="Times New Roman"/>
        </w:rPr>
        <w:t xml:space="preserve">80 </w:t>
      </w:r>
      <w:r w:rsidR="00AB59D7" w:rsidRPr="000A7830">
        <w:rPr>
          <w:rFonts w:ascii="Times New Roman" w:hAnsi="Times New Roman"/>
        </w:rPr>
        <w:t xml:space="preserve">percent of losers </w:t>
      </w:r>
      <w:r w:rsidR="00E86E3D" w:rsidRPr="000041F1">
        <w:rPr>
          <w:rFonts w:ascii="Times New Roman" w:hAnsi="Times New Roman"/>
        </w:rPr>
        <w:t xml:space="preserve">ever show up in formal sector employment between 2008 and </w:t>
      </w:r>
      <w:r w:rsidR="00B22534" w:rsidRPr="003A0A19">
        <w:rPr>
          <w:rFonts w:ascii="Times New Roman" w:hAnsi="Times New Roman"/>
        </w:rPr>
        <w:t>2014</w:t>
      </w:r>
      <w:r w:rsidR="00AB59D7" w:rsidRPr="00D41D94">
        <w:rPr>
          <w:rFonts w:ascii="Times New Roman" w:hAnsi="Times New Roman"/>
        </w:rPr>
        <w:t xml:space="preserve">. </w:t>
      </w:r>
      <w:r w:rsidR="00D92ABD" w:rsidRPr="00100F27">
        <w:rPr>
          <w:rFonts w:ascii="Times New Roman" w:hAnsi="Times New Roman"/>
        </w:rPr>
        <w:t>Point estimates suggest that l</w:t>
      </w:r>
      <w:r w:rsidR="00E86E3D" w:rsidRPr="00100F27">
        <w:rPr>
          <w:rFonts w:ascii="Times New Roman" w:hAnsi="Times New Roman"/>
        </w:rPr>
        <w:t xml:space="preserve">ottery </w:t>
      </w:r>
      <w:r w:rsidR="00E86E3D" w:rsidRPr="000D7BC3">
        <w:rPr>
          <w:rFonts w:ascii="Times New Roman" w:hAnsi="Times New Roman"/>
        </w:rPr>
        <w:t xml:space="preserve">winners are </w:t>
      </w:r>
      <w:r w:rsidR="00CC7EFB" w:rsidRPr="006C3673">
        <w:rPr>
          <w:rFonts w:ascii="Times New Roman" w:hAnsi="Times New Roman"/>
        </w:rPr>
        <w:t>1</w:t>
      </w:r>
      <w:r w:rsidR="00E86E3D" w:rsidRPr="00627F33">
        <w:rPr>
          <w:rFonts w:ascii="Times New Roman" w:hAnsi="Times New Roman"/>
        </w:rPr>
        <w:t xml:space="preserve"> percent</w:t>
      </w:r>
      <w:r w:rsidR="00E86E3D" w:rsidRPr="008E0035">
        <w:rPr>
          <w:rFonts w:ascii="Times New Roman" w:hAnsi="Times New Roman"/>
        </w:rPr>
        <w:t xml:space="preserve"> (</w:t>
      </w:r>
      <w:r w:rsidR="00CC7EFB" w:rsidRPr="004D1397">
        <w:rPr>
          <w:rFonts w:ascii="Times New Roman" w:hAnsi="Times New Roman"/>
        </w:rPr>
        <w:t>0</w:t>
      </w:r>
      <w:r w:rsidR="00E86E3D" w:rsidRPr="00011E28">
        <w:rPr>
          <w:rFonts w:ascii="Times New Roman" w:hAnsi="Times New Roman"/>
        </w:rPr>
        <w:t>.</w:t>
      </w:r>
      <w:r w:rsidR="0046698D" w:rsidRPr="003730F4">
        <w:rPr>
          <w:rFonts w:ascii="Times New Roman" w:hAnsi="Times New Roman"/>
        </w:rPr>
        <w:t>00</w:t>
      </w:r>
      <w:r w:rsidR="00CC7EFB" w:rsidRPr="00B833D3">
        <w:rPr>
          <w:rFonts w:ascii="Times New Roman" w:hAnsi="Times New Roman"/>
        </w:rPr>
        <w:t xml:space="preserve">8 </w:t>
      </w:r>
      <w:r w:rsidR="00E86E3D" w:rsidRPr="00CE5552">
        <w:rPr>
          <w:rFonts w:ascii="Times New Roman" w:hAnsi="Times New Roman"/>
        </w:rPr>
        <w:t xml:space="preserve">percentage points) more likely to </w:t>
      </w:r>
      <w:r w:rsidR="00E86E3D" w:rsidRPr="00CE5552">
        <w:rPr>
          <w:rFonts w:ascii="Times New Roman" w:hAnsi="Times New Roman"/>
          <w:i/>
        </w:rPr>
        <w:t>ever</w:t>
      </w:r>
      <w:r w:rsidR="00E86E3D" w:rsidRPr="00CE5552">
        <w:rPr>
          <w:rFonts w:ascii="Times New Roman" w:hAnsi="Times New Roman"/>
        </w:rPr>
        <w:t xml:space="preserve"> appear in formal employ</w:t>
      </w:r>
      <w:r w:rsidR="00220EDE" w:rsidRPr="00CE5552">
        <w:rPr>
          <w:rFonts w:ascii="Times New Roman" w:hAnsi="Times New Roman"/>
        </w:rPr>
        <w:t>ment records</w:t>
      </w:r>
      <w:r w:rsidR="00220EDE" w:rsidRPr="00F73EFF">
        <w:rPr>
          <w:rFonts w:ascii="Times New Roman" w:hAnsi="Times New Roman"/>
        </w:rPr>
        <w:t xml:space="preserve"> during this period</w:t>
      </w:r>
      <w:r w:rsidR="00E37546" w:rsidRPr="00F73EFF">
        <w:rPr>
          <w:rFonts w:ascii="Times New Roman" w:hAnsi="Times New Roman"/>
        </w:rPr>
        <w:t>.</w:t>
      </w:r>
      <w:r w:rsidR="000F5CB9" w:rsidRPr="00F73EFF">
        <w:rPr>
          <w:rFonts w:ascii="Times New Roman" w:hAnsi="Times New Roman"/>
        </w:rPr>
        <w:t xml:space="preserve"> </w:t>
      </w:r>
      <w:r w:rsidR="003F59DE" w:rsidRPr="00F73EFF">
        <w:rPr>
          <w:rFonts w:ascii="Times New Roman" w:hAnsi="Times New Roman"/>
        </w:rPr>
        <w:t xml:space="preserve">However, this </w:t>
      </w:r>
      <w:r w:rsidR="00220EDE" w:rsidRPr="00F73EFF">
        <w:rPr>
          <w:rFonts w:ascii="Times New Roman" w:hAnsi="Times New Roman"/>
        </w:rPr>
        <w:t xml:space="preserve">difference is not statistically significant </w:t>
      </w:r>
      <w:r w:rsidR="00E86E3D" w:rsidRPr="00F73EFF">
        <w:rPr>
          <w:rFonts w:ascii="Times New Roman" w:hAnsi="Times New Roman"/>
        </w:rPr>
        <w:t xml:space="preserve">(Table </w:t>
      </w:r>
      <w:r w:rsidR="00262133" w:rsidRPr="00F73EFF">
        <w:rPr>
          <w:rFonts w:ascii="Times New Roman" w:hAnsi="Times New Roman"/>
        </w:rPr>
        <w:t>3</w:t>
      </w:r>
      <w:r w:rsidR="00E86E3D" w:rsidRPr="00F73EFF">
        <w:rPr>
          <w:rFonts w:ascii="Times New Roman" w:hAnsi="Times New Roman"/>
        </w:rPr>
        <w:t>).</w:t>
      </w:r>
      <w:r w:rsidR="00220EDE" w:rsidRPr="00F73EFF">
        <w:rPr>
          <w:rFonts w:ascii="Times New Roman" w:hAnsi="Times New Roman"/>
        </w:rPr>
        <w:t xml:space="preserve">  </w:t>
      </w:r>
      <w:r w:rsidR="005C4D23" w:rsidRPr="00F73EFF">
        <w:rPr>
          <w:rFonts w:ascii="Times New Roman" w:hAnsi="Times New Roman"/>
        </w:rPr>
        <w:t xml:space="preserve">Match rate correlates do not systematically differ between winners and losers in the </w:t>
      </w:r>
      <w:r w:rsidR="005C4D23" w:rsidRPr="000A7830">
        <w:rPr>
          <w:rFonts w:ascii="Times New Roman" w:hAnsi="Times New Roman"/>
        </w:rPr>
        <w:t xml:space="preserve">full applicant sample or separately by </w:t>
      </w:r>
      <w:r w:rsidR="00977EE9" w:rsidRPr="000A7830">
        <w:rPr>
          <w:rFonts w:ascii="Times New Roman" w:hAnsi="Times New Roman"/>
        </w:rPr>
        <w:t xml:space="preserve">vocational/academic school application status </w:t>
      </w:r>
      <w:r w:rsidR="005C4D23" w:rsidRPr="000041F1">
        <w:rPr>
          <w:rFonts w:ascii="Times New Roman" w:hAnsi="Times New Roman"/>
        </w:rPr>
        <w:t xml:space="preserve">(Table </w:t>
      </w:r>
      <w:r w:rsidR="004640DD" w:rsidRPr="000041F1">
        <w:rPr>
          <w:rFonts w:ascii="Times New Roman" w:hAnsi="Times New Roman"/>
        </w:rPr>
        <w:t>3</w:t>
      </w:r>
      <w:r w:rsidR="005C4D23" w:rsidRPr="003A0A19">
        <w:rPr>
          <w:rFonts w:ascii="Times New Roman" w:hAnsi="Times New Roman"/>
        </w:rPr>
        <w:t>).</w:t>
      </w:r>
    </w:p>
    <w:p w14:paraId="4DEBE94C" w14:textId="7D422C7E" w:rsidR="00BB11FE" w:rsidRPr="00166607" w:rsidRDefault="00BB11FE" w:rsidP="00402892">
      <w:pPr>
        <w:pStyle w:val="ListParagraph"/>
        <w:spacing w:after="160" w:line="360" w:lineRule="auto"/>
        <w:ind w:left="0" w:firstLine="720"/>
      </w:pPr>
      <w:r w:rsidRPr="000A7830">
        <w:rPr>
          <w:rFonts w:ascii="Times New Roman" w:hAnsi="Times New Roman"/>
        </w:rPr>
        <w:t>We define formal sector intensity as the average number of months spent annually in formal sector employment.  Both scholarship winners and losers spend about 5.5 months per year in formal sector employment. There are no statistically significant differences in formal sector employment intensity in the full sample, separately by vocational/academic school status or by gender (Table 4).</w:t>
      </w:r>
      <w:r w:rsidRPr="00166607">
        <w:t xml:space="preserve"> </w:t>
      </w:r>
    </w:p>
    <w:p w14:paraId="00EC7D45" w14:textId="635ACDC3" w:rsidR="0056572C" w:rsidRPr="00166607" w:rsidRDefault="00406D55" w:rsidP="00402892">
      <w:pPr>
        <w:keepNext/>
        <w:spacing w:after="160" w:line="360" w:lineRule="auto"/>
        <w:contextualSpacing/>
        <w:rPr>
          <w:rFonts w:ascii="Times New Roman" w:hAnsi="Times New Roman"/>
        </w:rPr>
      </w:pPr>
      <w:r w:rsidRPr="00166607">
        <w:rPr>
          <w:rFonts w:ascii="Times New Roman" w:hAnsi="Times New Roman"/>
          <w:b/>
          <w:i/>
        </w:rPr>
        <w:t>5.</w:t>
      </w:r>
      <w:r w:rsidR="0056572C" w:rsidRPr="00166607">
        <w:rPr>
          <w:rFonts w:ascii="Times New Roman" w:hAnsi="Times New Roman"/>
          <w:b/>
          <w:i/>
        </w:rPr>
        <w:t>2</w:t>
      </w:r>
      <w:r w:rsidRPr="00166607">
        <w:rPr>
          <w:rFonts w:ascii="Times New Roman" w:hAnsi="Times New Roman"/>
          <w:b/>
          <w:i/>
        </w:rPr>
        <w:t xml:space="preserve"> </w:t>
      </w:r>
      <w:r w:rsidR="00CE4D63" w:rsidRPr="00166607">
        <w:rPr>
          <w:rFonts w:ascii="Times New Roman" w:hAnsi="Times New Roman"/>
          <w:b/>
          <w:i/>
        </w:rPr>
        <w:t>Formal-sector</w:t>
      </w:r>
      <w:r w:rsidR="0056572C" w:rsidRPr="00166607">
        <w:rPr>
          <w:rFonts w:ascii="Times New Roman" w:hAnsi="Times New Roman"/>
          <w:b/>
          <w:i/>
        </w:rPr>
        <w:t xml:space="preserve"> </w:t>
      </w:r>
      <w:r w:rsidR="00B833D3">
        <w:rPr>
          <w:rFonts w:ascii="Times New Roman" w:hAnsi="Times New Roman"/>
          <w:b/>
          <w:i/>
        </w:rPr>
        <w:t>e</w:t>
      </w:r>
      <w:r w:rsidRPr="00166607">
        <w:rPr>
          <w:rFonts w:ascii="Times New Roman" w:hAnsi="Times New Roman"/>
          <w:b/>
          <w:i/>
        </w:rPr>
        <w:t>arnings</w:t>
      </w:r>
      <w:r w:rsidR="00E37546" w:rsidRPr="00166607">
        <w:rPr>
          <w:rFonts w:ascii="Times New Roman" w:hAnsi="Times New Roman"/>
          <w:b/>
          <w:i/>
        </w:rPr>
        <w:t xml:space="preserve"> and </w:t>
      </w:r>
      <w:r w:rsidR="00B833D3">
        <w:rPr>
          <w:rFonts w:ascii="Times New Roman" w:hAnsi="Times New Roman"/>
          <w:b/>
          <w:i/>
        </w:rPr>
        <w:t>p</w:t>
      </w:r>
      <w:r w:rsidR="00E37546" w:rsidRPr="00166607">
        <w:rPr>
          <w:rFonts w:ascii="Times New Roman" w:hAnsi="Times New Roman"/>
          <w:b/>
          <w:i/>
        </w:rPr>
        <w:t xml:space="preserve">ayroll </w:t>
      </w:r>
      <w:r w:rsidR="00B833D3">
        <w:rPr>
          <w:rFonts w:ascii="Times New Roman" w:hAnsi="Times New Roman"/>
          <w:b/>
          <w:i/>
        </w:rPr>
        <w:t>t</w:t>
      </w:r>
      <w:r w:rsidR="00E37546" w:rsidRPr="00166607">
        <w:rPr>
          <w:rFonts w:ascii="Times New Roman" w:hAnsi="Times New Roman"/>
          <w:b/>
          <w:i/>
        </w:rPr>
        <w:t>axes</w:t>
      </w:r>
    </w:p>
    <w:p w14:paraId="008E2D2D" w14:textId="1CFBDFCC" w:rsidR="00AB511C" w:rsidRPr="00115EF3" w:rsidRDefault="0024354E" w:rsidP="00402892">
      <w:pPr>
        <w:spacing w:after="160" w:line="360" w:lineRule="auto"/>
        <w:ind w:firstLine="720"/>
        <w:contextualSpacing/>
        <w:jc w:val="both"/>
        <w:rPr>
          <w:rFonts w:ascii="Times New Roman" w:hAnsi="Times New Roman"/>
        </w:rPr>
      </w:pPr>
      <w:r w:rsidRPr="00AB511C">
        <w:rPr>
          <w:rFonts w:ascii="Times New Roman" w:hAnsi="Times New Roman"/>
        </w:rPr>
        <w:t xml:space="preserve">Current </w:t>
      </w:r>
      <w:r w:rsidR="008B7E7E" w:rsidRPr="00115EF3">
        <w:rPr>
          <w:rFonts w:ascii="Times New Roman" w:hAnsi="Times New Roman"/>
        </w:rPr>
        <w:t>annual</w:t>
      </w:r>
      <w:r w:rsidR="00943012" w:rsidRPr="00115EF3">
        <w:rPr>
          <w:rFonts w:ascii="Times New Roman" w:hAnsi="Times New Roman"/>
        </w:rPr>
        <w:t xml:space="preserve"> </w:t>
      </w:r>
      <w:r w:rsidR="00D71A00" w:rsidRPr="00115EF3">
        <w:rPr>
          <w:rFonts w:ascii="Times New Roman" w:hAnsi="Times New Roman"/>
        </w:rPr>
        <w:t xml:space="preserve">formal earnings for </w:t>
      </w:r>
      <w:r w:rsidR="00A40FB1" w:rsidRPr="00115EF3">
        <w:rPr>
          <w:rFonts w:ascii="Times New Roman" w:hAnsi="Times New Roman"/>
        </w:rPr>
        <w:t>scholarship lottery loser</w:t>
      </w:r>
      <w:r w:rsidR="00CF7F4D" w:rsidRPr="00115EF3">
        <w:rPr>
          <w:rFonts w:ascii="Times New Roman" w:hAnsi="Times New Roman"/>
        </w:rPr>
        <w:t>s are, on average, $</w:t>
      </w:r>
      <w:r w:rsidR="008B7E7E" w:rsidRPr="00115EF3">
        <w:rPr>
          <w:rFonts w:ascii="Times New Roman" w:hAnsi="Times New Roman"/>
        </w:rPr>
        <w:t>2</w:t>
      </w:r>
      <w:r w:rsidR="000A1F85" w:rsidRPr="00115EF3">
        <w:rPr>
          <w:rFonts w:ascii="Times New Roman" w:hAnsi="Times New Roman"/>
        </w:rPr>
        <w:t>,</w:t>
      </w:r>
      <w:r w:rsidR="002A492E" w:rsidRPr="00115EF3">
        <w:rPr>
          <w:rFonts w:ascii="Times New Roman" w:hAnsi="Times New Roman"/>
        </w:rPr>
        <w:t>470</w:t>
      </w:r>
      <w:r w:rsidR="00CF7F4D" w:rsidRPr="00E908D2">
        <w:rPr>
          <w:rFonts w:ascii="Times New Roman" w:hAnsi="Times New Roman"/>
        </w:rPr>
        <w:t xml:space="preserve"> (including zeros).</w:t>
      </w:r>
      <w:r w:rsidR="00D92ABD" w:rsidRPr="00AB511C">
        <w:rPr>
          <w:rStyle w:val="FootnoteReference"/>
          <w:rFonts w:ascii="Times New Roman" w:hAnsi="Times New Roman"/>
        </w:rPr>
        <w:footnoteReference w:id="20"/>
      </w:r>
      <w:r w:rsidR="00D92ABD" w:rsidRPr="00AB511C">
        <w:rPr>
          <w:rFonts w:ascii="Times New Roman" w:hAnsi="Times New Roman"/>
          <w:vertAlign w:val="superscript"/>
        </w:rPr>
        <w:t>,</w:t>
      </w:r>
      <w:r w:rsidR="000A6F22" w:rsidRPr="00AB511C">
        <w:rPr>
          <w:rStyle w:val="FootnoteReference"/>
          <w:rFonts w:ascii="Times New Roman" w:hAnsi="Times New Roman"/>
        </w:rPr>
        <w:footnoteReference w:id="21"/>
      </w:r>
      <w:r w:rsidR="00CF7F4D" w:rsidRPr="00AB511C">
        <w:rPr>
          <w:rFonts w:ascii="Times New Roman" w:hAnsi="Times New Roman"/>
        </w:rPr>
        <w:t xml:space="preserve"> </w:t>
      </w:r>
      <w:r w:rsidR="00FF345E" w:rsidRPr="00115EF3">
        <w:rPr>
          <w:rFonts w:ascii="Times New Roman" w:hAnsi="Times New Roman"/>
        </w:rPr>
        <w:t>Scholarship lottery winner</w:t>
      </w:r>
      <w:r w:rsidR="00CF7F4D" w:rsidRPr="00115EF3">
        <w:rPr>
          <w:rFonts w:ascii="Times New Roman" w:hAnsi="Times New Roman"/>
        </w:rPr>
        <w:t>s earn an additional $</w:t>
      </w:r>
      <w:r w:rsidR="002A492E" w:rsidRPr="00115EF3">
        <w:rPr>
          <w:rFonts w:ascii="Times New Roman" w:hAnsi="Times New Roman"/>
        </w:rPr>
        <w:t xml:space="preserve">196 </w:t>
      </w:r>
      <w:r w:rsidR="00CF7F4D" w:rsidRPr="00115EF3">
        <w:rPr>
          <w:rFonts w:ascii="Times New Roman" w:hAnsi="Times New Roman"/>
        </w:rPr>
        <w:t xml:space="preserve">in </w:t>
      </w:r>
      <w:r w:rsidR="008B7E7E" w:rsidRPr="00115EF3">
        <w:rPr>
          <w:rFonts w:ascii="Times New Roman" w:hAnsi="Times New Roman"/>
        </w:rPr>
        <w:t>formal annual</w:t>
      </w:r>
      <w:r w:rsidR="00CF7F4D" w:rsidRPr="00115EF3">
        <w:rPr>
          <w:rFonts w:ascii="Times New Roman" w:hAnsi="Times New Roman"/>
        </w:rPr>
        <w:t xml:space="preserve"> earnings, an 8 percent increase (Panel A of Table </w:t>
      </w:r>
      <w:r w:rsidR="00251454" w:rsidRPr="00E908D2">
        <w:rPr>
          <w:rFonts w:ascii="Times New Roman" w:hAnsi="Times New Roman"/>
        </w:rPr>
        <w:t>4</w:t>
      </w:r>
      <w:r w:rsidR="00CF7F4D" w:rsidRPr="00E908D2">
        <w:rPr>
          <w:rFonts w:ascii="Times New Roman" w:hAnsi="Times New Roman"/>
        </w:rPr>
        <w:t>).</w:t>
      </w:r>
      <w:r w:rsidRPr="00E908D2">
        <w:rPr>
          <w:rFonts w:ascii="Times New Roman" w:hAnsi="Times New Roman"/>
        </w:rPr>
        <w:t xml:space="preserve">  Th</w:t>
      </w:r>
      <w:r w:rsidR="00354237" w:rsidRPr="00E908D2">
        <w:rPr>
          <w:rFonts w:ascii="Times New Roman" w:hAnsi="Times New Roman"/>
        </w:rPr>
        <w:t>e p-value on this difference is 0.</w:t>
      </w:r>
      <w:r w:rsidR="002A492E" w:rsidRPr="00E908D2">
        <w:rPr>
          <w:rFonts w:ascii="Times New Roman" w:hAnsi="Times New Roman"/>
        </w:rPr>
        <w:t>06</w:t>
      </w:r>
      <w:r w:rsidR="00354237" w:rsidRPr="00E908D2">
        <w:rPr>
          <w:rFonts w:ascii="Times New Roman" w:hAnsi="Times New Roman"/>
        </w:rPr>
        <w:t>.</w:t>
      </w:r>
    </w:p>
    <w:p w14:paraId="275B1D6A" w14:textId="77777777" w:rsidR="00E908D2" w:rsidRPr="00E908D2" w:rsidRDefault="0013238D" w:rsidP="00402892">
      <w:pPr>
        <w:spacing w:after="160" w:line="360" w:lineRule="auto"/>
        <w:ind w:firstLine="720"/>
        <w:contextualSpacing/>
        <w:jc w:val="both"/>
        <w:rPr>
          <w:rFonts w:ascii="Times New Roman" w:hAnsi="Times New Roman"/>
        </w:rPr>
      </w:pPr>
      <w:r w:rsidRPr="00E908D2">
        <w:rPr>
          <w:rFonts w:ascii="Times New Roman" w:hAnsi="Times New Roman"/>
        </w:rPr>
        <w:lastRenderedPageBreak/>
        <w:t xml:space="preserve">Current annual formal earnings for scholarship lottery losers </w:t>
      </w:r>
      <w:r w:rsidR="00D71D79" w:rsidRPr="00E908D2">
        <w:rPr>
          <w:rFonts w:ascii="Times New Roman" w:hAnsi="Times New Roman"/>
        </w:rPr>
        <w:t>who applied to</w:t>
      </w:r>
      <w:r w:rsidRPr="00E908D2">
        <w:rPr>
          <w:rFonts w:ascii="Times New Roman" w:hAnsi="Times New Roman"/>
        </w:rPr>
        <w:t xml:space="preserve"> vocational schools are, on average, $</w:t>
      </w:r>
      <w:r w:rsidRPr="00C55051">
        <w:rPr>
          <w:rFonts w:ascii="Times New Roman" w:hAnsi="Times New Roman"/>
        </w:rPr>
        <w:t xml:space="preserve"> 2,568 (including zeros)</w:t>
      </w:r>
      <w:r w:rsidR="00587D6D" w:rsidRPr="00C55051">
        <w:rPr>
          <w:rFonts w:ascii="Times New Roman" w:hAnsi="Times New Roman"/>
        </w:rPr>
        <w:t>.  S</w:t>
      </w:r>
      <w:r w:rsidRPr="00C55051">
        <w:rPr>
          <w:rFonts w:ascii="Times New Roman" w:hAnsi="Times New Roman"/>
        </w:rPr>
        <w:t xml:space="preserve">cholarship lottery winners </w:t>
      </w:r>
      <w:r w:rsidR="00587D6D" w:rsidRPr="00C55051">
        <w:rPr>
          <w:rFonts w:ascii="Times New Roman" w:hAnsi="Times New Roman"/>
        </w:rPr>
        <w:t xml:space="preserve">from applicants to vocational schools </w:t>
      </w:r>
      <w:r w:rsidRPr="00730C83">
        <w:rPr>
          <w:rFonts w:ascii="Times New Roman" w:hAnsi="Times New Roman"/>
        </w:rPr>
        <w:t>earn an additional $427 in formal annual earnings, a 17 percent increase (column 6, Table 4).</w:t>
      </w:r>
      <w:r w:rsidR="0040773F" w:rsidRPr="00DF696A">
        <w:rPr>
          <w:rFonts w:ascii="Times New Roman" w:hAnsi="Times New Roman"/>
        </w:rPr>
        <w:t xml:space="preserve"> </w:t>
      </w:r>
      <w:r w:rsidR="00C62FA9" w:rsidRPr="00DF696A">
        <w:rPr>
          <w:rFonts w:ascii="Times New Roman" w:hAnsi="Times New Roman"/>
        </w:rPr>
        <w:t>The effects among vocational school</w:t>
      </w:r>
      <w:r w:rsidRPr="00DF696A">
        <w:rPr>
          <w:rFonts w:ascii="Times New Roman" w:hAnsi="Times New Roman"/>
        </w:rPr>
        <w:t xml:space="preserve"> applicants</w:t>
      </w:r>
      <w:r w:rsidR="00C62FA9" w:rsidRPr="00C054D2">
        <w:rPr>
          <w:rFonts w:ascii="Times New Roman" w:hAnsi="Times New Roman"/>
        </w:rPr>
        <w:t xml:space="preserve"> are particularly strong for men. </w:t>
      </w:r>
      <w:r w:rsidR="0040773F" w:rsidRPr="008061A3">
        <w:rPr>
          <w:rFonts w:ascii="Times New Roman" w:hAnsi="Times New Roman"/>
        </w:rPr>
        <w:t xml:space="preserve">Male </w:t>
      </w:r>
      <w:r w:rsidR="001A6E6B" w:rsidRPr="008061A3">
        <w:rPr>
          <w:rFonts w:ascii="Times New Roman" w:hAnsi="Times New Roman"/>
        </w:rPr>
        <w:t>lottery</w:t>
      </w:r>
      <w:r w:rsidR="001A6E6B" w:rsidRPr="00E908D2">
        <w:rPr>
          <w:rFonts w:ascii="Times New Roman" w:hAnsi="Times New Roman"/>
        </w:rPr>
        <w:t xml:space="preserve"> </w:t>
      </w:r>
      <w:r w:rsidR="0040773F" w:rsidRPr="00E908D2">
        <w:rPr>
          <w:rFonts w:ascii="Times New Roman" w:hAnsi="Times New Roman"/>
        </w:rPr>
        <w:t>l</w:t>
      </w:r>
      <w:r w:rsidR="00C62FA9" w:rsidRPr="00E908D2">
        <w:rPr>
          <w:rFonts w:ascii="Times New Roman" w:hAnsi="Times New Roman"/>
        </w:rPr>
        <w:t xml:space="preserve">osers earn </w:t>
      </w:r>
      <w:r w:rsidR="00901A4F" w:rsidRPr="00E908D2">
        <w:rPr>
          <w:rFonts w:ascii="Times New Roman" w:hAnsi="Times New Roman"/>
        </w:rPr>
        <w:t>$</w:t>
      </w:r>
      <w:r w:rsidR="00C62FA9" w:rsidRPr="00E908D2">
        <w:rPr>
          <w:rFonts w:ascii="Times New Roman" w:hAnsi="Times New Roman"/>
        </w:rPr>
        <w:t>2</w:t>
      </w:r>
      <w:r w:rsidRPr="00E908D2">
        <w:rPr>
          <w:rFonts w:ascii="Times New Roman" w:hAnsi="Times New Roman"/>
        </w:rPr>
        <w:t>,</w:t>
      </w:r>
      <w:r w:rsidR="00C62FA9" w:rsidRPr="00E908D2">
        <w:rPr>
          <w:rFonts w:ascii="Times New Roman" w:hAnsi="Times New Roman"/>
        </w:rPr>
        <w:t xml:space="preserve">743 while winners earn </w:t>
      </w:r>
      <w:r w:rsidR="00901A4F" w:rsidRPr="00E908D2">
        <w:rPr>
          <w:rFonts w:ascii="Times New Roman" w:hAnsi="Times New Roman"/>
        </w:rPr>
        <w:t>$</w:t>
      </w:r>
      <w:r w:rsidR="00C62FA9" w:rsidRPr="00E908D2">
        <w:rPr>
          <w:rFonts w:ascii="Times New Roman" w:hAnsi="Times New Roman"/>
        </w:rPr>
        <w:t>535.3 more</w:t>
      </w:r>
      <w:r w:rsidR="00901A4F" w:rsidRPr="00E908D2">
        <w:rPr>
          <w:rFonts w:ascii="Times New Roman" w:hAnsi="Times New Roman"/>
        </w:rPr>
        <w:t xml:space="preserve"> per year,</w:t>
      </w:r>
      <w:r w:rsidR="00C62FA9" w:rsidRPr="00E908D2">
        <w:rPr>
          <w:rFonts w:ascii="Times New Roman" w:hAnsi="Times New Roman"/>
        </w:rPr>
        <w:t xml:space="preserve"> a</w:t>
      </w:r>
      <w:r w:rsidRPr="00E908D2">
        <w:rPr>
          <w:rFonts w:ascii="Times New Roman" w:hAnsi="Times New Roman"/>
        </w:rPr>
        <w:t xml:space="preserve"> 20 percent</w:t>
      </w:r>
      <w:r w:rsidR="001A6E6B" w:rsidRPr="00E908D2">
        <w:rPr>
          <w:rFonts w:ascii="Times New Roman" w:hAnsi="Times New Roman"/>
        </w:rPr>
        <w:t xml:space="preserve"> increase</w:t>
      </w:r>
      <w:r w:rsidRPr="00E908D2">
        <w:rPr>
          <w:rFonts w:ascii="Times New Roman" w:hAnsi="Times New Roman"/>
        </w:rPr>
        <w:t>.</w:t>
      </w:r>
    </w:p>
    <w:p w14:paraId="3C67FAF7" w14:textId="03E691FC" w:rsidR="00A20BFB" w:rsidRPr="00C55051" w:rsidRDefault="00260006" w:rsidP="00402892">
      <w:pPr>
        <w:spacing w:after="160" w:line="360" w:lineRule="auto"/>
        <w:ind w:firstLine="720"/>
        <w:contextualSpacing/>
        <w:jc w:val="both"/>
        <w:rPr>
          <w:rFonts w:ascii="Times New Roman" w:hAnsi="Times New Roman"/>
        </w:rPr>
      </w:pPr>
      <w:r w:rsidRPr="00E908D2">
        <w:rPr>
          <w:rFonts w:ascii="Times New Roman" w:hAnsi="Times New Roman"/>
        </w:rPr>
        <w:t xml:space="preserve">Since </w:t>
      </w:r>
      <w:r w:rsidR="00E908D2">
        <w:rPr>
          <w:rFonts w:ascii="Times New Roman" w:hAnsi="Times New Roman"/>
        </w:rPr>
        <w:t>formal-sector days</w:t>
      </w:r>
      <w:r w:rsidRPr="00E908D2">
        <w:rPr>
          <w:rFonts w:ascii="Times New Roman" w:hAnsi="Times New Roman"/>
        </w:rPr>
        <w:t xml:space="preserve"> are fairly similar between lottery winners and losers, the higher earn</w:t>
      </w:r>
      <w:r w:rsidR="00BA495E" w:rsidRPr="00E908D2">
        <w:rPr>
          <w:rFonts w:ascii="Times New Roman" w:hAnsi="Times New Roman"/>
        </w:rPr>
        <w:t>ings seem to reflect greater earnings per formal</w:t>
      </w:r>
      <w:r w:rsidR="00E908D2">
        <w:rPr>
          <w:rFonts w:ascii="Times New Roman" w:hAnsi="Times New Roman"/>
        </w:rPr>
        <w:t>-</w:t>
      </w:r>
      <w:r w:rsidR="002A2565" w:rsidRPr="00E908D2">
        <w:rPr>
          <w:rFonts w:ascii="Times New Roman" w:hAnsi="Times New Roman"/>
        </w:rPr>
        <w:t xml:space="preserve">sector </w:t>
      </w:r>
      <w:r w:rsidR="00E908D2">
        <w:rPr>
          <w:rFonts w:ascii="Times New Roman" w:hAnsi="Times New Roman"/>
        </w:rPr>
        <w:t>day</w:t>
      </w:r>
      <w:r w:rsidR="002A2565" w:rsidRPr="00E908D2">
        <w:rPr>
          <w:rFonts w:ascii="Times New Roman" w:hAnsi="Times New Roman"/>
        </w:rPr>
        <w:t xml:space="preserve">, rather than more hours, contrary to a model in which education is used as a signaling device to ration formal sector jobs, </w:t>
      </w:r>
      <w:r w:rsidR="002A2565" w:rsidRPr="00C55051">
        <w:rPr>
          <w:rFonts w:ascii="Times New Roman" w:hAnsi="Times New Roman"/>
        </w:rPr>
        <w:t>but consistent with a human capital model.</w:t>
      </w:r>
    </w:p>
    <w:p w14:paraId="5315C0D1" w14:textId="0BB05519" w:rsidR="00C55051" w:rsidRDefault="0024354E" w:rsidP="00402892">
      <w:pPr>
        <w:spacing w:after="160" w:line="360" w:lineRule="auto"/>
        <w:contextualSpacing/>
        <w:jc w:val="both"/>
        <w:rPr>
          <w:rFonts w:ascii="Times New Roman" w:hAnsi="Times New Roman"/>
        </w:rPr>
      </w:pPr>
      <w:r w:rsidRPr="00C55051">
        <w:rPr>
          <w:rFonts w:ascii="Times New Roman" w:hAnsi="Times New Roman"/>
        </w:rPr>
        <w:t xml:space="preserve"> </w:t>
      </w:r>
      <w:r w:rsidR="00C95368" w:rsidRPr="00730C83">
        <w:rPr>
          <w:rFonts w:ascii="Times New Roman" w:hAnsi="Times New Roman"/>
        </w:rPr>
        <w:tab/>
      </w:r>
      <w:r w:rsidR="00A74AE8" w:rsidRPr="00730C83">
        <w:rPr>
          <w:rFonts w:ascii="Times New Roman" w:hAnsi="Times New Roman"/>
        </w:rPr>
        <w:t xml:space="preserve">Relative to losers, scholarship lottery winners pay higher </w:t>
      </w:r>
      <w:r w:rsidR="00DD635C" w:rsidRPr="00DF696A">
        <w:rPr>
          <w:rFonts w:ascii="Times New Roman" w:hAnsi="Times New Roman"/>
        </w:rPr>
        <w:t>annual</w:t>
      </w:r>
      <w:r w:rsidR="00A74AE8" w:rsidRPr="00DF696A">
        <w:rPr>
          <w:rFonts w:ascii="Times New Roman" w:hAnsi="Times New Roman"/>
        </w:rPr>
        <w:t xml:space="preserve"> payroll taxes at </w:t>
      </w:r>
      <w:r w:rsidR="00A74AE8" w:rsidRPr="00C55051">
        <w:rPr>
          <w:rFonts w:ascii="Times New Roman" w:hAnsi="Times New Roman"/>
        </w:rPr>
        <w:t>around age 30.  The OLS scholarship impact on payroll taxes is $</w:t>
      </w:r>
      <w:r w:rsidR="002A492E" w:rsidRPr="00C55051">
        <w:rPr>
          <w:rFonts w:ascii="Times New Roman" w:hAnsi="Times New Roman"/>
        </w:rPr>
        <w:t>55</w:t>
      </w:r>
      <w:r w:rsidR="00DD635C" w:rsidRPr="00C55051">
        <w:rPr>
          <w:rFonts w:ascii="Times New Roman" w:hAnsi="Times New Roman"/>
        </w:rPr>
        <w:t>.</w:t>
      </w:r>
      <w:r w:rsidR="002A492E" w:rsidRPr="00C55051">
        <w:rPr>
          <w:rFonts w:ascii="Times New Roman" w:hAnsi="Times New Roman"/>
        </w:rPr>
        <w:t>1</w:t>
      </w:r>
      <w:r w:rsidR="00A74AE8" w:rsidRPr="00C55051">
        <w:rPr>
          <w:rFonts w:ascii="Times New Roman" w:hAnsi="Times New Roman"/>
        </w:rPr>
        <w:t>, which at the losers’ mean of $</w:t>
      </w:r>
      <w:r w:rsidR="002A492E" w:rsidRPr="00C55051">
        <w:rPr>
          <w:rFonts w:ascii="Times New Roman" w:hAnsi="Times New Roman"/>
        </w:rPr>
        <w:t>695</w:t>
      </w:r>
      <w:r w:rsidR="00DD635C" w:rsidRPr="00C55051">
        <w:rPr>
          <w:rFonts w:ascii="Times New Roman" w:hAnsi="Times New Roman"/>
        </w:rPr>
        <w:t>.</w:t>
      </w:r>
      <w:r w:rsidR="002A492E" w:rsidRPr="00C55051">
        <w:rPr>
          <w:rFonts w:ascii="Times New Roman" w:hAnsi="Times New Roman"/>
        </w:rPr>
        <w:t xml:space="preserve">9 </w:t>
      </w:r>
      <w:r w:rsidR="00A74AE8" w:rsidRPr="00C55051">
        <w:rPr>
          <w:rFonts w:ascii="Times New Roman" w:hAnsi="Times New Roman"/>
        </w:rPr>
        <w:t xml:space="preserve">represents an increase of </w:t>
      </w:r>
      <w:r w:rsidR="0040773F" w:rsidRPr="00C55051">
        <w:rPr>
          <w:rFonts w:ascii="Times New Roman" w:hAnsi="Times New Roman"/>
        </w:rPr>
        <w:t>8</w:t>
      </w:r>
      <w:r w:rsidR="002A492E" w:rsidRPr="00730C83">
        <w:rPr>
          <w:rFonts w:ascii="Times New Roman" w:hAnsi="Times New Roman"/>
        </w:rPr>
        <w:t xml:space="preserve"> </w:t>
      </w:r>
      <w:r w:rsidR="00A74AE8" w:rsidRPr="00730C83">
        <w:rPr>
          <w:rFonts w:ascii="Times New Roman" w:hAnsi="Times New Roman"/>
        </w:rPr>
        <w:t>percent</w:t>
      </w:r>
      <w:r w:rsidR="0040773F" w:rsidRPr="00DF696A">
        <w:rPr>
          <w:rFonts w:ascii="Times New Roman" w:hAnsi="Times New Roman"/>
        </w:rPr>
        <w:t xml:space="preserve"> (p-value 0.07).</w:t>
      </w:r>
    </w:p>
    <w:p w14:paraId="01A5F339" w14:textId="18BE88EF" w:rsidR="008061A3" w:rsidRPr="00CA6CD6" w:rsidRDefault="0040773F" w:rsidP="00402892">
      <w:pPr>
        <w:spacing w:after="160" w:line="360" w:lineRule="auto"/>
        <w:ind w:firstLine="720"/>
        <w:contextualSpacing/>
        <w:jc w:val="both"/>
        <w:rPr>
          <w:rFonts w:ascii="Times New Roman" w:hAnsi="Times New Roman"/>
        </w:rPr>
      </w:pPr>
      <w:r w:rsidRPr="00C55051">
        <w:rPr>
          <w:rFonts w:ascii="Times New Roman" w:hAnsi="Times New Roman"/>
        </w:rPr>
        <w:t>Among applicants to vocational schools, scholarship winners pay, on average, $125 more per year, which at</w:t>
      </w:r>
      <w:r w:rsidRPr="00DF696A">
        <w:rPr>
          <w:rFonts w:ascii="Times New Roman" w:hAnsi="Times New Roman"/>
        </w:rPr>
        <w:t xml:space="preserve"> the losers’ mean of $724 represents an increase</w:t>
      </w:r>
      <w:r w:rsidR="00A74AE8" w:rsidRPr="00DF696A">
        <w:rPr>
          <w:rFonts w:ascii="Times New Roman" w:hAnsi="Times New Roman"/>
        </w:rPr>
        <w:t xml:space="preserve"> </w:t>
      </w:r>
      <w:r w:rsidRPr="00DF696A">
        <w:rPr>
          <w:rFonts w:ascii="Times New Roman" w:hAnsi="Times New Roman"/>
        </w:rPr>
        <w:t xml:space="preserve">of 17 percent. Effects </w:t>
      </w:r>
      <w:r w:rsidRPr="008061A3">
        <w:rPr>
          <w:rFonts w:ascii="Times New Roman" w:hAnsi="Times New Roman"/>
        </w:rPr>
        <w:t>on payroll taxes among vocational applicants are stronger for males. Male losers pay $</w:t>
      </w:r>
      <w:r w:rsidRPr="00CA6CD6">
        <w:rPr>
          <w:rFonts w:ascii="Times New Roman" w:hAnsi="Times New Roman"/>
        </w:rPr>
        <w:t xml:space="preserve">793 in annual payroll taxes at age 30 and winners pay $161 more, an increase of 20 percent. </w:t>
      </w:r>
    </w:p>
    <w:p w14:paraId="40E09AD3" w14:textId="69AAC7E1" w:rsidR="00747C02" w:rsidRPr="00CA6CD6" w:rsidRDefault="009D6538" w:rsidP="00402892">
      <w:pPr>
        <w:spacing w:after="160" w:line="360" w:lineRule="auto"/>
        <w:ind w:firstLine="720"/>
        <w:contextualSpacing/>
        <w:jc w:val="both"/>
        <w:rPr>
          <w:rFonts w:ascii="Times New Roman" w:hAnsi="Times New Roman"/>
        </w:rPr>
      </w:pPr>
      <w:r w:rsidRPr="00CA6CD6">
        <w:rPr>
          <w:rFonts w:ascii="Times New Roman" w:hAnsi="Times New Roman"/>
        </w:rPr>
        <w:t>T</w:t>
      </w:r>
      <w:r w:rsidR="00C025FD" w:rsidRPr="00CA6CD6">
        <w:rPr>
          <w:rFonts w:ascii="Times New Roman" w:hAnsi="Times New Roman"/>
        </w:rPr>
        <w:t xml:space="preserve">he </w:t>
      </w:r>
      <w:r w:rsidR="0039239D" w:rsidRPr="00CA6CD6">
        <w:rPr>
          <w:rFonts w:ascii="Times New Roman" w:hAnsi="Times New Roman"/>
        </w:rPr>
        <w:t>point estimates o</w:t>
      </w:r>
      <w:r w:rsidR="00166126" w:rsidRPr="00CA6CD6">
        <w:rPr>
          <w:rFonts w:ascii="Times New Roman" w:hAnsi="Times New Roman"/>
        </w:rPr>
        <w:t xml:space="preserve">n formal </w:t>
      </w:r>
      <w:r w:rsidR="00C025FD" w:rsidRPr="00CA6CD6">
        <w:rPr>
          <w:rFonts w:ascii="Times New Roman" w:hAnsi="Times New Roman"/>
        </w:rPr>
        <w:t xml:space="preserve">earnings increases in Table </w:t>
      </w:r>
      <w:r w:rsidR="00166126" w:rsidRPr="00CA6CD6">
        <w:rPr>
          <w:rFonts w:ascii="Times New Roman" w:hAnsi="Times New Roman"/>
        </w:rPr>
        <w:t>4</w:t>
      </w:r>
      <w:r w:rsidR="00C025FD" w:rsidRPr="00CA6CD6">
        <w:rPr>
          <w:rFonts w:ascii="Times New Roman" w:hAnsi="Times New Roman"/>
        </w:rPr>
        <w:t xml:space="preserve"> are </w:t>
      </w:r>
      <w:r w:rsidR="00587D6D" w:rsidRPr="00CA6CD6">
        <w:rPr>
          <w:rFonts w:ascii="Times New Roman" w:hAnsi="Times New Roman"/>
        </w:rPr>
        <w:t xml:space="preserve">too </w:t>
      </w:r>
      <w:r w:rsidR="00C025FD" w:rsidRPr="00CA6CD6">
        <w:rPr>
          <w:rFonts w:ascii="Times New Roman" w:hAnsi="Times New Roman"/>
        </w:rPr>
        <w:t xml:space="preserve">large to </w:t>
      </w:r>
      <w:r w:rsidR="00E16A38" w:rsidRPr="008061A3">
        <w:rPr>
          <w:rFonts w:ascii="Times New Roman" w:hAnsi="Times New Roman"/>
        </w:rPr>
        <w:t xml:space="preserve">plausibly </w:t>
      </w:r>
      <w:r w:rsidR="00C025FD" w:rsidRPr="00CA6CD6">
        <w:rPr>
          <w:rFonts w:ascii="Times New Roman" w:hAnsi="Times New Roman"/>
        </w:rPr>
        <w:t>be explained fully by additional years of education</w:t>
      </w:r>
      <w:r w:rsidR="00166126" w:rsidRPr="00CA6CD6">
        <w:rPr>
          <w:rFonts w:ascii="Times New Roman" w:hAnsi="Times New Roman"/>
        </w:rPr>
        <w:t xml:space="preserve">.  For instance, among vocational school applicants, lottery winners accumulate additional 0.19 years of tertiary education.  </w:t>
      </w:r>
      <w:r w:rsidR="00E16A38" w:rsidRPr="00CA6CD6">
        <w:rPr>
          <w:rFonts w:ascii="Times New Roman" w:hAnsi="Times New Roman"/>
        </w:rPr>
        <w:t>Under the hypothesis that the wage gain was due entirely to additional years of education, t</w:t>
      </w:r>
      <w:r w:rsidR="00166126" w:rsidRPr="00575CF1">
        <w:rPr>
          <w:rFonts w:ascii="Times New Roman" w:hAnsi="Times New Roman"/>
        </w:rPr>
        <w:t xml:space="preserve">his </w:t>
      </w:r>
      <w:r w:rsidR="00E16A38" w:rsidRPr="00575CF1">
        <w:rPr>
          <w:rFonts w:ascii="Times New Roman" w:hAnsi="Times New Roman"/>
        </w:rPr>
        <w:t xml:space="preserve">would </w:t>
      </w:r>
      <w:r w:rsidR="00E16A38" w:rsidRPr="00CA6CD6">
        <w:rPr>
          <w:rFonts w:ascii="Times New Roman" w:hAnsi="Times New Roman"/>
        </w:rPr>
        <w:t>imply</w:t>
      </w:r>
      <w:r w:rsidR="00166126" w:rsidRPr="00CA6CD6">
        <w:rPr>
          <w:rFonts w:ascii="Times New Roman" w:hAnsi="Times New Roman"/>
        </w:rPr>
        <w:t xml:space="preserve"> an annual rate of return to a year of tertiary education of 89 percent, which is implausibly high.  This suggests </w:t>
      </w:r>
      <w:r w:rsidR="0039239D" w:rsidRPr="00575CF1">
        <w:rPr>
          <w:rFonts w:ascii="Times New Roman" w:hAnsi="Times New Roman"/>
        </w:rPr>
        <w:t xml:space="preserve">that </w:t>
      </w:r>
      <w:r w:rsidR="00C025FD" w:rsidRPr="00575CF1">
        <w:rPr>
          <w:rFonts w:ascii="Times New Roman" w:hAnsi="Times New Roman"/>
        </w:rPr>
        <w:t xml:space="preserve">education quality </w:t>
      </w:r>
      <w:r w:rsidR="00E16A38" w:rsidRPr="00575CF1">
        <w:rPr>
          <w:rFonts w:ascii="Times New Roman" w:hAnsi="Times New Roman"/>
        </w:rPr>
        <w:t xml:space="preserve">or labor-market matching </w:t>
      </w:r>
      <w:r w:rsidR="0039239D" w:rsidRPr="00575CF1">
        <w:rPr>
          <w:rFonts w:ascii="Times New Roman" w:hAnsi="Times New Roman"/>
        </w:rPr>
        <w:t xml:space="preserve">may </w:t>
      </w:r>
      <w:r w:rsidR="00C025FD" w:rsidRPr="00C32C05">
        <w:rPr>
          <w:rFonts w:ascii="Times New Roman" w:hAnsi="Times New Roman"/>
        </w:rPr>
        <w:t>also</w:t>
      </w:r>
      <w:r w:rsidR="006D1D64" w:rsidRPr="00C32C05">
        <w:rPr>
          <w:rFonts w:ascii="Times New Roman" w:hAnsi="Times New Roman"/>
        </w:rPr>
        <w:t xml:space="preserve"> h</w:t>
      </w:r>
      <w:r w:rsidR="0039239D" w:rsidRPr="00C32C05">
        <w:rPr>
          <w:rFonts w:ascii="Times New Roman" w:hAnsi="Times New Roman"/>
        </w:rPr>
        <w:t>ave</w:t>
      </w:r>
      <w:r w:rsidR="00C025FD" w:rsidRPr="00C32C05">
        <w:rPr>
          <w:rFonts w:ascii="Times New Roman" w:hAnsi="Times New Roman"/>
        </w:rPr>
        <w:t xml:space="preserve"> played a role. </w:t>
      </w:r>
      <w:r w:rsidR="00BE2021" w:rsidRPr="00F07E04">
        <w:rPr>
          <w:rFonts w:ascii="Times New Roman" w:hAnsi="Times New Roman"/>
        </w:rPr>
        <w:t>(</w:t>
      </w:r>
      <w:r w:rsidR="00BE2021" w:rsidRPr="006A436B">
        <w:rPr>
          <w:rFonts w:ascii="Times New Roman" w:hAnsi="Times New Roman"/>
        </w:rPr>
        <w:t>I</w:t>
      </w:r>
      <w:r w:rsidR="00BE2021" w:rsidRPr="004A17AF">
        <w:rPr>
          <w:rFonts w:ascii="Times New Roman" w:hAnsi="Times New Roman"/>
        </w:rPr>
        <w:t xml:space="preserve">t is also inconsistent with </w:t>
      </w:r>
      <w:r w:rsidR="002A2565" w:rsidRPr="00D11E87">
        <w:rPr>
          <w:rFonts w:ascii="Times New Roman" w:hAnsi="Times New Roman"/>
        </w:rPr>
        <w:t>a Spence-</w:t>
      </w:r>
      <w:r w:rsidR="00CA6CD6">
        <w:rPr>
          <w:rFonts w:ascii="Times New Roman" w:hAnsi="Times New Roman"/>
        </w:rPr>
        <w:t>type</w:t>
      </w:r>
      <w:r w:rsidR="002A2565" w:rsidRPr="00CA6CD6">
        <w:rPr>
          <w:rFonts w:ascii="Times New Roman" w:hAnsi="Times New Roman"/>
        </w:rPr>
        <w:t xml:space="preserve"> </w:t>
      </w:r>
      <w:r w:rsidR="00BE2021" w:rsidRPr="00CA6CD6">
        <w:rPr>
          <w:rFonts w:ascii="Times New Roman" w:hAnsi="Times New Roman"/>
        </w:rPr>
        <w:t xml:space="preserve">model in which </w:t>
      </w:r>
      <w:r w:rsidR="00CA6CD6">
        <w:rPr>
          <w:rFonts w:ascii="Times New Roman" w:hAnsi="Times New Roman"/>
        </w:rPr>
        <w:t xml:space="preserve">years of schooling </w:t>
      </w:r>
      <w:r w:rsidR="00BE2021" w:rsidRPr="00CA6CD6">
        <w:rPr>
          <w:rFonts w:ascii="Times New Roman" w:hAnsi="Times New Roman"/>
        </w:rPr>
        <w:t>act as a signal)</w:t>
      </w:r>
      <w:r w:rsidR="00CA6CD6">
        <w:rPr>
          <w:rFonts w:ascii="Times New Roman" w:hAnsi="Times New Roman"/>
        </w:rPr>
        <w:t xml:space="preserve">. </w:t>
      </w:r>
    </w:p>
    <w:p w14:paraId="3183CCCA" w14:textId="349CA356" w:rsidR="00242D1C" w:rsidRPr="00166607" w:rsidRDefault="00140766" w:rsidP="00402892">
      <w:pPr>
        <w:spacing w:after="160" w:line="360" w:lineRule="auto"/>
        <w:ind w:firstLine="720"/>
        <w:jc w:val="both"/>
        <w:rPr>
          <w:rFonts w:ascii="Times New Roman" w:hAnsi="Times New Roman"/>
          <w:b/>
        </w:rPr>
      </w:pPr>
      <w:r w:rsidRPr="00575CF1">
        <w:rPr>
          <w:rFonts w:ascii="Times New Roman" w:hAnsi="Times New Roman"/>
        </w:rPr>
        <w:t xml:space="preserve">To summarize, we find </w:t>
      </w:r>
      <w:r w:rsidR="00FF345E" w:rsidRPr="00575CF1">
        <w:rPr>
          <w:rFonts w:ascii="Times New Roman" w:hAnsi="Times New Roman"/>
        </w:rPr>
        <w:t>scholarship lottery winner</w:t>
      </w:r>
      <w:r w:rsidRPr="00575CF1">
        <w:rPr>
          <w:rFonts w:ascii="Times New Roman" w:hAnsi="Times New Roman"/>
        </w:rPr>
        <w:t>s have</w:t>
      </w:r>
      <w:r w:rsidR="00E53EC7" w:rsidRPr="00C32C05">
        <w:rPr>
          <w:rFonts w:ascii="Times New Roman" w:hAnsi="Times New Roman"/>
        </w:rPr>
        <w:t xml:space="preserve"> formal</w:t>
      </w:r>
      <w:r w:rsidRPr="00C32C05">
        <w:rPr>
          <w:rFonts w:ascii="Times New Roman" w:hAnsi="Times New Roman"/>
        </w:rPr>
        <w:t xml:space="preserve"> </w:t>
      </w:r>
      <w:r w:rsidR="00E53EC7" w:rsidRPr="00C32C05">
        <w:rPr>
          <w:rFonts w:ascii="Times New Roman" w:hAnsi="Times New Roman"/>
        </w:rPr>
        <w:t>earnings twenty years after</w:t>
      </w:r>
      <w:r w:rsidR="000C016E" w:rsidRPr="00C32C05">
        <w:rPr>
          <w:rFonts w:ascii="Times New Roman" w:hAnsi="Times New Roman"/>
        </w:rPr>
        <w:t xml:space="preserve"> </w:t>
      </w:r>
      <w:r w:rsidR="00E53EC7" w:rsidRPr="00C32C05">
        <w:rPr>
          <w:rFonts w:ascii="Times New Roman" w:hAnsi="Times New Roman"/>
        </w:rPr>
        <w:t xml:space="preserve">initial scholarship award </w:t>
      </w:r>
      <w:r w:rsidR="00310734" w:rsidRPr="00F07E04">
        <w:rPr>
          <w:rFonts w:ascii="Times New Roman" w:hAnsi="Times New Roman"/>
        </w:rPr>
        <w:t>that are 8 percent greater than those of losers</w:t>
      </w:r>
      <w:r w:rsidR="00793AE4" w:rsidRPr="006A436B">
        <w:rPr>
          <w:rFonts w:ascii="Times New Roman" w:hAnsi="Times New Roman"/>
        </w:rPr>
        <w:t xml:space="preserve">, with the difference significant at the </w:t>
      </w:r>
      <w:r w:rsidR="00BC0E70" w:rsidRPr="004A17AF">
        <w:rPr>
          <w:rFonts w:ascii="Times New Roman" w:hAnsi="Times New Roman"/>
        </w:rPr>
        <w:t>6</w:t>
      </w:r>
      <w:r w:rsidR="00E53EC7" w:rsidRPr="00D11E87">
        <w:rPr>
          <w:rFonts w:ascii="Times New Roman" w:hAnsi="Times New Roman"/>
        </w:rPr>
        <w:t xml:space="preserve"> percent</w:t>
      </w:r>
      <w:r w:rsidR="00793AE4" w:rsidRPr="00046360">
        <w:rPr>
          <w:rFonts w:ascii="Times New Roman" w:hAnsi="Times New Roman"/>
        </w:rPr>
        <w:t xml:space="preserve"> level</w:t>
      </w:r>
      <w:r w:rsidRPr="00F22793">
        <w:rPr>
          <w:rFonts w:ascii="Times New Roman" w:hAnsi="Times New Roman"/>
        </w:rPr>
        <w:t xml:space="preserve">. </w:t>
      </w:r>
      <w:r w:rsidR="00E53EC7" w:rsidRPr="00AD3C77">
        <w:rPr>
          <w:rFonts w:ascii="Times New Roman" w:hAnsi="Times New Roman"/>
        </w:rPr>
        <w:t xml:space="preserve"> Among applicants to vocational s</w:t>
      </w:r>
      <w:r w:rsidR="00E53EC7" w:rsidRPr="00284CEB">
        <w:rPr>
          <w:rFonts w:ascii="Times New Roman" w:hAnsi="Times New Roman"/>
        </w:rPr>
        <w:t>chools, winners</w:t>
      </w:r>
      <w:r w:rsidR="00054FC6" w:rsidRPr="006F4D14">
        <w:rPr>
          <w:rFonts w:ascii="Times New Roman" w:hAnsi="Times New Roman"/>
        </w:rPr>
        <w:t>’</w:t>
      </w:r>
      <w:r w:rsidR="00E53EC7" w:rsidRPr="009D7204">
        <w:rPr>
          <w:rFonts w:ascii="Times New Roman" w:hAnsi="Times New Roman"/>
        </w:rPr>
        <w:t xml:space="preserve"> </w:t>
      </w:r>
      <w:r w:rsidR="00E53EC7" w:rsidRPr="00575CF1">
        <w:rPr>
          <w:rFonts w:ascii="Times New Roman" w:hAnsi="Times New Roman"/>
        </w:rPr>
        <w:t>formal earnings twenty years later are 1</w:t>
      </w:r>
      <w:r w:rsidR="000C0F60" w:rsidRPr="00575CF1">
        <w:rPr>
          <w:rFonts w:ascii="Times New Roman" w:hAnsi="Times New Roman"/>
        </w:rPr>
        <w:t>7</w:t>
      </w:r>
      <w:r w:rsidR="00E53EC7" w:rsidRPr="00575CF1">
        <w:rPr>
          <w:rFonts w:ascii="Times New Roman" w:hAnsi="Times New Roman"/>
        </w:rPr>
        <w:t xml:space="preserve"> percent greater than those of losers, a</w:t>
      </w:r>
      <w:r w:rsidR="00E53EC7" w:rsidRPr="00166607">
        <w:rPr>
          <w:rFonts w:ascii="Times New Roman" w:hAnsi="Times New Roman"/>
        </w:rPr>
        <w:t xml:space="preserve"> difference that is statistically significant at the 5 percent level. </w:t>
      </w:r>
      <w:r w:rsidR="00166126" w:rsidRPr="00166607">
        <w:rPr>
          <w:rFonts w:ascii="Times New Roman" w:hAnsi="Times New Roman"/>
        </w:rPr>
        <w:t xml:space="preserve"> Given that there are no effects on the extensive or intensive margin of formal sector employment, these earnings impacts </w:t>
      </w:r>
      <w:r w:rsidR="00166126" w:rsidRPr="00166607">
        <w:rPr>
          <w:rFonts w:ascii="Times New Roman" w:hAnsi="Times New Roman"/>
        </w:rPr>
        <w:lastRenderedPageBreak/>
        <w:t>suggest that—through their effects on various educational outcomes—scholarships may have raised productivity.</w:t>
      </w:r>
      <w:r w:rsidR="004A290E">
        <w:rPr>
          <w:rFonts w:ascii="Times New Roman" w:hAnsi="Times New Roman"/>
        </w:rPr>
        <w:t xml:space="preserve"> Since we observe no change in formal sector hours, there is no particular reason to believe that increased </w:t>
      </w:r>
      <w:r w:rsidR="00C7161D">
        <w:rPr>
          <w:rFonts w:ascii="Times New Roman" w:hAnsi="Times New Roman"/>
        </w:rPr>
        <w:t>formal sector earnings are due to a substitution of time away from the informal sector. Unfortunately</w:t>
      </w:r>
      <w:r w:rsidR="00402892">
        <w:rPr>
          <w:rFonts w:ascii="Times New Roman" w:hAnsi="Times New Roman"/>
        </w:rPr>
        <w:t>,</w:t>
      </w:r>
      <w:r w:rsidR="00C7161D">
        <w:rPr>
          <w:rFonts w:ascii="Times New Roman" w:hAnsi="Times New Roman"/>
        </w:rPr>
        <w:t xml:space="preserve"> we do not have data on info</w:t>
      </w:r>
      <w:r w:rsidR="00D467C3">
        <w:rPr>
          <w:rFonts w:ascii="Times New Roman" w:hAnsi="Times New Roman"/>
        </w:rPr>
        <w:t>rmal earnings</w:t>
      </w:r>
      <w:r w:rsidR="002A2565">
        <w:rPr>
          <w:rFonts w:ascii="Times New Roman" w:hAnsi="Times New Roman"/>
        </w:rPr>
        <w:t xml:space="preserve"> in the full sample, and the data we have is on an endogenously selected subsample allowing us to create only bounds and not point estimates for the impact on earnings within a subpopulation</w:t>
      </w:r>
      <w:r w:rsidR="00D467C3">
        <w:rPr>
          <w:rFonts w:ascii="Times New Roman" w:hAnsi="Times New Roman"/>
        </w:rPr>
        <w:t xml:space="preserve">. </w:t>
      </w:r>
    </w:p>
    <w:p w14:paraId="29FCED7C" w14:textId="21E70803" w:rsidR="000041F1" w:rsidRDefault="00237660" w:rsidP="00402892">
      <w:pPr>
        <w:spacing w:after="160" w:line="360" w:lineRule="auto"/>
        <w:contextualSpacing/>
        <w:rPr>
          <w:rFonts w:ascii="Times New Roman" w:hAnsi="Times New Roman"/>
          <w:b/>
          <w:i/>
        </w:rPr>
      </w:pPr>
      <w:r w:rsidRPr="00166607">
        <w:rPr>
          <w:rFonts w:ascii="Times New Roman" w:hAnsi="Times New Roman"/>
          <w:b/>
          <w:i/>
        </w:rPr>
        <w:t>5.</w:t>
      </w:r>
      <w:r w:rsidR="00BB7FC3" w:rsidRPr="00166607">
        <w:rPr>
          <w:rFonts w:ascii="Times New Roman" w:hAnsi="Times New Roman"/>
          <w:b/>
          <w:i/>
        </w:rPr>
        <w:t>3</w:t>
      </w:r>
      <w:r w:rsidRPr="00166607">
        <w:rPr>
          <w:rFonts w:ascii="Times New Roman" w:hAnsi="Times New Roman"/>
          <w:b/>
          <w:i/>
        </w:rPr>
        <w:t xml:space="preserve"> SISBEN and </w:t>
      </w:r>
      <w:r w:rsidR="00B833D3">
        <w:rPr>
          <w:rFonts w:ascii="Times New Roman" w:hAnsi="Times New Roman"/>
          <w:b/>
          <w:i/>
        </w:rPr>
        <w:t>i</w:t>
      </w:r>
      <w:r w:rsidRPr="00166607">
        <w:rPr>
          <w:rFonts w:ascii="Times New Roman" w:hAnsi="Times New Roman"/>
          <w:b/>
          <w:i/>
        </w:rPr>
        <w:t xml:space="preserve">nformal </w:t>
      </w:r>
      <w:r w:rsidR="00B833D3">
        <w:rPr>
          <w:rFonts w:ascii="Times New Roman" w:hAnsi="Times New Roman"/>
          <w:b/>
          <w:i/>
        </w:rPr>
        <w:t>e</w:t>
      </w:r>
      <w:r w:rsidRPr="00166607">
        <w:rPr>
          <w:rFonts w:ascii="Times New Roman" w:hAnsi="Times New Roman"/>
          <w:b/>
          <w:i/>
        </w:rPr>
        <w:t>arnings</w:t>
      </w:r>
    </w:p>
    <w:p w14:paraId="3504E3F1" w14:textId="5CCAF229" w:rsidR="00242D1C" w:rsidRPr="008233C3" w:rsidRDefault="00242D1C" w:rsidP="00402892">
      <w:pPr>
        <w:spacing w:after="160" w:line="360" w:lineRule="auto"/>
        <w:ind w:firstLine="720"/>
        <w:contextualSpacing/>
        <w:rPr>
          <w:rFonts w:ascii="Times New Roman" w:hAnsi="Times New Roman"/>
        </w:rPr>
      </w:pPr>
      <w:r w:rsidRPr="00166607">
        <w:rPr>
          <w:rFonts w:ascii="Times New Roman" w:hAnsi="Times New Roman"/>
        </w:rPr>
        <w:t xml:space="preserve">The SISBEN survey covers low-SES neighborhoods and includes about </w:t>
      </w:r>
      <w:r w:rsidR="009F1DF6" w:rsidRPr="00166607">
        <w:rPr>
          <w:rFonts w:ascii="Times New Roman" w:hAnsi="Times New Roman"/>
        </w:rPr>
        <w:t>52</w:t>
      </w:r>
      <w:r w:rsidRPr="00166607">
        <w:rPr>
          <w:rFonts w:ascii="Times New Roman" w:hAnsi="Times New Roman"/>
        </w:rPr>
        <w:t xml:space="preserve"> percent of the scholarship applicant population fifteen years after initial scholarship award</w:t>
      </w:r>
      <w:r w:rsidR="009F1DF6" w:rsidRPr="00166607">
        <w:rPr>
          <w:rFonts w:ascii="Times New Roman" w:hAnsi="Times New Roman"/>
        </w:rPr>
        <w:t xml:space="preserve"> (Table 5)</w:t>
      </w:r>
      <w:r w:rsidRPr="00166607">
        <w:rPr>
          <w:rFonts w:ascii="Times New Roman" w:hAnsi="Times New Roman"/>
        </w:rPr>
        <w:t xml:space="preserve"> SISBEN 2010 earnings are a cross-section of self-reported earnings for 2010</w:t>
      </w:r>
      <w:r w:rsidR="00BB1DD0" w:rsidRPr="00166607">
        <w:rPr>
          <w:rFonts w:ascii="Times New Roman" w:hAnsi="Times New Roman"/>
        </w:rPr>
        <w:t xml:space="preserve">.  The self-reported earnings </w:t>
      </w:r>
      <w:r w:rsidR="00166607" w:rsidRPr="00166607">
        <w:rPr>
          <w:rFonts w:ascii="Times New Roman" w:hAnsi="Times New Roman"/>
        </w:rPr>
        <w:t>are</w:t>
      </w:r>
      <w:r w:rsidR="00BB1DD0" w:rsidRPr="00166607">
        <w:rPr>
          <w:rFonts w:ascii="Times New Roman" w:hAnsi="Times New Roman"/>
        </w:rPr>
        <w:t xml:space="preserve"> </w:t>
      </w:r>
      <w:r w:rsidR="001A6E6B" w:rsidRPr="00166607">
        <w:rPr>
          <w:rFonts w:ascii="Times New Roman" w:hAnsi="Times New Roman"/>
        </w:rPr>
        <w:t xml:space="preserve">an aggregated measure </w:t>
      </w:r>
      <w:r w:rsidR="003A0A19">
        <w:rPr>
          <w:rFonts w:ascii="Times New Roman" w:hAnsi="Times New Roman"/>
        </w:rPr>
        <w:t xml:space="preserve">that </w:t>
      </w:r>
      <w:r w:rsidR="00BB1DD0" w:rsidRPr="00166607">
        <w:rPr>
          <w:rFonts w:ascii="Times New Roman" w:hAnsi="Times New Roman"/>
        </w:rPr>
        <w:t xml:space="preserve">includes </w:t>
      </w:r>
      <w:r w:rsidRPr="00166607">
        <w:rPr>
          <w:rFonts w:ascii="Times New Roman" w:hAnsi="Times New Roman"/>
        </w:rPr>
        <w:t>both formal and informal earnings.</w:t>
      </w:r>
      <w:r w:rsidR="00296313" w:rsidRPr="00166607">
        <w:rPr>
          <w:rFonts w:ascii="Times New Roman" w:hAnsi="Times New Roman"/>
        </w:rPr>
        <w:t xml:space="preserve"> </w:t>
      </w:r>
      <w:r w:rsidR="003A0A19">
        <w:rPr>
          <w:rFonts w:ascii="Times New Roman" w:hAnsi="Times New Roman"/>
        </w:rPr>
        <w:t xml:space="preserve"> However, over two thirds of SISBEN respondents do not pay payroll taxes, so their </w:t>
      </w:r>
      <w:r w:rsidR="00083575">
        <w:rPr>
          <w:rFonts w:ascii="Times New Roman" w:hAnsi="Times New Roman"/>
        </w:rPr>
        <w:t xml:space="preserve">total </w:t>
      </w:r>
      <w:r w:rsidR="003A0A19">
        <w:rPr>
          <w:rFonts w:ascii="Times New Roman" w:hAnsi="Times New Roman"/>
        </w:rPr>
        <w:t xml:space="preserve">earnings are informal earnings. </w:t>
      </w:r>
      <w:r w:rsidRPr="008233C3">
        <w:rPr>
          <w:rFonts w:ascii="Times New Roman" w:hAnsi="Times New Roman"/>
        </w:rPr>
        <w:t xml:space="preserve"> </w:t>
      </w:r>
    </w:p>
    <w:p w14:paraId="5B60283C" w14:textId="1D81BD25" w:rsidR="00D41D94" w:rsidRPr="00166607" w:rsidRDefault="00242D1C" w:rsidP="00402892">
      <w:pPr>
        <w:spacing w:after="160" w:line="360" w:lineRule="auto"/>
        <w:ind w:firstLine="720"/>
        <w:contextualSpacing/>
        <w:jc w:val="both"/>
        <w:rPr>
          <w:rFonts w:ascii="Times New Roman" w:hAnsi="Times New Roman"/>
        </w:rPr>
      </w:pPr>
      <w:r w:rsidRPr="00166607">
        <w:rPr>
          <w:rFonts w:ascii="Times New Roman" w:hAnsi="Times New Roman"/>
        </w:rPr>
        <w:t xml:space="preserve">Among scholarship lottery losers, we match 52 percent to SISBEN data. Lottery winners are 5 percent (2.8 percentage points) less likely to ever appear in SISBEN data, indicating that they are less likely to reside in poor neighborhoods fifteen years after initial scholarship receipt.  This </w:t>
      </w:r>
      <w:r w:rsidR="00B56773" w:rsidRPr="00166607">
        <w:rPr>
          <w:rFonts w:ascii="Times New Roman" w:hAnsi="Times New Roman"/>
        </w:rPr>
        <w:t>difference</w:t>
      </w:r>
      <w:r w:rsidRPr="00166607">
        <w:rPr>
          <w:rFonts w:ascii="Times New Roman" w:hAnsi="Times New Roman"/>
        </w:rPr>
        <w:t xml:space="preserve"> is statistically significant at</w:t>
      </w:r>
      <w:r w:rsidR="001D6F79">
        <w:rPr>
          <w:rFonts w:ascii="Times New Roman" w:hAnsi="Times New Roman"/>
        </w:rPr>
        <w:t xml:space="preserve"> the</w:t>
      </w:r>
      <w:r w:rsidRPr="00166607">
        <w:rPr>
          <w:rFonts w:ascii="Times New Roman" w:hAnsi="Times New Roman"/>
        </w:rPr>
        <w:t xml:space="preserve"> 10% level (</w:t>
      </w:r>
      <w:r w:rsidR="00EB5234" w:rsidRPr="00166607">
        <w:rPr>
          <w:rFonts w:ascii="Times New Roman" w:hAnsi="Times New Roman"/>
        </w:rPr>
        <w:t>c</w:t>
      </w:r>
      <w:r w:rsidRPr="00166607">
        <w:rPr>
          <w:rFonts w:ascii="Times New Roman" w:hAnsi="Times New Roman"/>
        </w:rPr>
        <w:t xml:space="preserve">olumn 1, </w:t>
      </w:r>
      <w:r w:rsidR="00EB5234" w:rsidRPr="00166607">
        <w:rPr>
          <w:rFonts w:ascii="Times New Roman" w:hAnsi="Times New Roman"/>
        </w:rPr>
        <w:t>Table 5</w:t>
      </w:r>
      <w:r w:rsidRPr="00166607">
        <w:rPr>
          <w:rFonts w:ascii="Times New Roman" w:hAnsi="Times New Roman"/>
        </w:rPr>
        <w:t>.  The implication for bounding</w:t>
      </w:r>
      <w:r w:rsidR="00EB5234" w:rsidRPr="00166607">
        <w:rPr>
          <w:rFonts w:ascii="Times New Roman" w:hAnsi="Times New Roman"/>
        </w:rPr>
        <w:t xml:space="preserve"> </w:t>
      </w:r>
      <w:r w:rsidRPr="00166607">
        <w:rPr>
          <w:rFonts w:ascii="Times New Roman" w:hAnsi="Times New Roman"/>
        </w:rPr>
        <w:t xml:space="preserve">earnings effects of the scholarship is that adding in the approximately 5 percent of winners who </w:t>
      </w:r>
      <w:r w:rsidR="003A6814">
        <w:rPr>
          <w:rFonts w:ascii="Times New Roman" w:hAnsi="Times New Roman"/>
        </w:rPr>
        <w:t>moved out of the low-income</w:t>
      </w:r>
      <w:r w:rsidRPr="00166607">
        <w:rPr>
          <w:rFonts w:ascii="Times New Roman" w:hAnsi="Times New Roman"/>
        </w:rPr>
        <w:t xml:space="preserve"> SISBEN neighborhoods </w:t>
      </w:r>
      <w:r w:rsidR="00DD625D">
        <w:rPr>
          <w:rFonts w:ascii="Times New Roman" w:hAnsi="Times New Roman"/>
        </w:rPr>
        <w:t xml:space="preserve">due to receiving the scholarship </w:t>
      </w:r>
      <w:r w:rsidRPr="00166607">
        <w:rPr>
          <w:rFonts w:ascii="Times New Roman" w:hAnsi="Times New Roman"/>
        </w:rPr>
        <w:t>would likely increase reported earnings in the SISBEN</w:t>
      </w:r>
      <w:r w:rsidR="006D2FB6" w:rsidRPr="00166607">
        <w:rPr>
          <w:rFonts w:ascii="Times New Roman" w:hAnsi="Times New Roman"/>
        </w:rPr>
        <w:t xml:space="preserve">, making </w:t>
      </w:r>
      <w:r w:rsidR="009554D6">
        <w:rPr>
          <w:rFonts w:ascii="Times New Roman" w:hAnsi="Times New Roman"/>
        </w:rPr>
        <w:t>the raw difference between SISBEN earnings among winners and lowers</w:t>
      </w:r>
      <w:r w:rsidR="009554D6" w:rsidRPr="00166607">
        <w:rPr>
          <w:rFonts w:ascii="Times New Roman" w:hAnsi="Times New Roman"/>
        </w:rPr>
        <w:t xml:space="preserve"> </w:t>
      </w:r>
      <w:r w:rsidR="006D2FB6" w:rsidRPr="00166607">
        <w:rPr>
          <w:rFonts w:ascii="Times New Roman" w:hAnsi="Times New Roman"/>
        </w:rPr>
        <w:t>a lower bound</w:t>
      </w:r>
      <w:r w:rsidR="00DD625D">
        <w:rPr>
          <w:rFonts w:ascii="Times New Roman" w:hAnsi="Times New Roman"/>
        </w:rPr>
        <w:t xml:space="preserve"> on the voucher effect</w:t>
      </w:r>
      <w:r w:rsidR="00166607" w:rsidRPr="00166607">
        <w:rPr>
          <w:rFonts w:ascii="Times New Roman" w:hAnsi="Times New Roman"/>
        </w:rPr>
        <w:t>.</w:t>
      </w:r>
      <w:r w:rsidR="00657E10" w:rsidRPr="00166607">
        <w:rPr>
          <w:rFonts w:ascii="Times New Roman" w:hAnsi="Times New Roman"/>
        </w:rPr>
        <w:t xml:space="preserve"> </w:t>
      </w:r>
      <w:r w:rsidR="00387F57" w:rsidRPr="00166607">
        <w:rPr>
          <w:rFonts w:ascii="Times New Roman" w:hAnsi="Times New Roman"/>
        </w:rPr>
        <w:t>We estimate a</w:t>
      </w:r>
      <w:r w:rsidR="00657E10" w:rsidRPr="00166607">
        <w:rPr>
          <w:rFonts w:ascii="Times New Roman" w:hAnsi="Times New Roman"/>
        </w:rPr>
        <w:t>n upper bound by trimming the top 5% of earners among losers.</w:t>
      </w:r>
    </w:p>
    <w:p w14:paraId="14755FA7" w14:textId="77777777" w:rsidR="000041F1" w:rsidRDefault="00EE1BE0" w:rsidP="00402892">
      <w:pPr>
        <w:spacing w:after="160" w:line="360" w:lineRule="auto"/>
        <w:ind w:firstLine="720"/>
        <w:contextualSpacing/>
        <w:jc w:val="both"/>
        <w:rPr>
          <w:rFonts w:ascii="Times New Roman" w:hAnsi="Times New Roman"/>
        </w:rPr>
      </w:pPr>
      <w:r w:rsidRPr="00166607">
        <w:rPr>
          <w:rFonts w:ascii="Times New Roman" w:hAnsi="Times New Roman"/>
        </w:rPr>
        <w:t xml:space="preserve">Table 6 reports bounds on the scholarship effect on </w:t>
      </w:r>
      <w:r w:rsidR="00C32C05">
        <w:rPr>
          <w:rFonts w:ascii="Times New Roman" w:hAnsi="Times New Roman"/>
        </w:rPr>
        <w:t>self-reported total earnings from the S</w:t>
      </w:r>
      <w:r w:rsidR="006A436B">
        <w:rPr>
          <w:rFonts w:ascii="Times New Roman" w:hAnsi="Times New Roman"/>
        </w:rPr>
        <w:t>ISBEN census of the poor.  O</w:t>
      </w:r>
      <w:r w:rsidR="00C32C05">
        <w:rPr>
          <w:rFonts w:ascii="Times New Roman" w:hAnsi="Times New Roman"/>
        </w:rPr>
        <w:t>ver two thirds of SISBEN respondents</w:t>
      </w:r>
      <w:r w:rsidR="006A436B">
        <w:rPr>
          <w:rFonts w:ascii="Times New Roman" w:hAnsi="Times New Roman"/>
        </w:rPr>
        <w:t xml:space="preserve"> report not paying payroll taxes, which implies that for them </w:t>
      </w:r>
      <w:r w:rsidR="00C32C05">
        <w:rPr>
          <w:rFonts w:ascii="Times New Roman" w:hAnsi="Times New Roman"/>
        </w:rPr>
        <w:t>these total earnings are i</w:t>
      </w:r>
      <w:r w:rsidR="00F07E04">
        <w:rPr>
          <w:rFonts w:ascii="Times New Roman" w:hAnsi="Times New Roman"/>
        </w:rPr>
        <w:t>nformal earnings</w:t>
      </w:r>
      <w:r w:rsidR="00C32C05">
        <w:rPr>
          <w:rFonts w:ascii="Times New Roman" w:hAnsi="Times New Roman"/>
        </w:rPr>
        <w:t xml:space="preserve">. </w:t>
      </w:r>
      <w:r w:rsidR="002A2B10">
        <w:rPr>
          <w:rFonts w:ascii="Times New Roman" w:hAnsi="Times New Roman"/>
        </w:rPr>
        <w:t>T</w:t>
      </w:r>
      <w:r w:rsidR="002A2B10" w:rsidRPr="00166607">
        <w:rPr>
          <w:rFonts w:ascii="Times New Roman" w:hAnsi="Times New Roman"/>
        </w:rPr>
        <w:t xml:space="preserve">he </w:t>
      </w:r>
      <w:r w:rsidR="00BB1DD0" w:rsidRPr="00166607">
        <w:rPr>
          <w:rFonts w:ascii="Times New Roman" w:hAnsi="Times New Roman"/>
        </w:rPr>
        <w:t xml:space="preserve">upper bound is </w:t>
      </w:r>
      <w:r w:rsidR="002A2565">
        <w:rPr>
          <w:rFonts w:ascii="Times New Roman" w:hAnsi="Times New Roman"/>
        </w:rPr>
        <w:t>$366 on a base of $ 2</w:t>
      </w:r>
      <w:r w:rsidR="00C32C05">
        <w:rPr>
          <w:rFonts w:ascii="Times New Roman" w:hAnsi="Times New Roman"/>
        </w:rPr>
        <w:t>,</w:t>
      </w:r>
      <w:r w:rsidR="002A2565">
        <w:rPr>
          <w:rFonts w:ascii="Times New Roman" w:hAnsi="Times New Roman"/>
        </w:rPr>
        <w:t xml:space="preserve">000, </w:t>
      </w:r>
      <w:r w:rsidR="00BB1DD0" w:rsidRPr="00166607">
        <w:rPr>
          <w:rFonts w:ascii="Times New Roman" w:hAnsi="Times New Roman"/>
        </w:rPr>
        <w:t>and statistically significant.</w:t>
      </w:r>
      <w:r w:rsidR="002A2B10">
        <w:rPr>
          <w:rFonts w:ascii="Times New Roman" w:hAnsi="Times New Roman"/>
        </w:rPr>
        <w:t xml:space="preserve"> </w:t>
      </w:r>
      <w:r w:rsidR="00BB1DD0" w:rsidRPr="00166607">
        <w:rPr>
          <w:rFonts w:ascii="Times New Roman" w:hAnsi="Times New Roman"/>
        </w:rPr>
        <w:t>T</w:t>
      </w:r>
      <w:r w:rsidR="009F1DF6" w:rsidRPr="00166607">
        <w:rPr>
          <w:rFonts w:ascii="Times New Roman" w:hAnsi="Times New Roman"/>
        </w:rPr>
        <w:t xml:space="preserve">he lower bound impact on annual </w:t>
      </w:r>
      <w:r w:rsidR="00C32C05">
        <w:rPr>
          <w:rFonts w:ascii="Times New Roman" w:hAnsi="Times New Roman"/>
        </w:rPr>
        <w:t xml:space="preserve">self-reported </w:t>
      </w:r>
      <w:r w:rsidR="00D11E87">
        <w:rPr>
          <w:rFonts w:ascii="Times New Roman" w:hAnsi="Times New Roman"/>
        </w:rPr>
        <w:t xml:space="preserve">total </w:t>
      </w:r>
      <w:r w:rsidR="009F1DF6" w:rsidRPr="00166607">
        <w:rPr>
          <w:rFonts w:ascii="Times New Roman" w:hAnsi="Times New Roman"/>
        </w:rPr>
        <w:t xml:space="preserve">earnings is statistically </w:t>
      </w:r>
      <w:r w:rsidR="00657E10" w:rsidRPr="00166607">
        <w:rPr>
          <w:rFonts w:ascii="Times New Roman" w:hAnsi="Times New Roman"/>
        </w:rPr>
        <w:t>in</w:t>
      </w:r>
      <w:r w:rsidR="009F1DF6" w:rsidRPr="00166607">
        <w:rPr>
          <w:rFonts w:ascii="Times New Roman" w:hAnsi="Times New Roman"/>
        </w:rPr>
        <w:t>significant.</w:t>
      </w:r>
    </w:p>
    <w:p w14:paraId="5E19266B" w14:textId="51BCAE66" w:rsidR="00100F27" w:rsidRDefault="00100F27" w:rsidP="00402892">
      <w:pPr>
        <w:spacing w:after="160" w:line="360" w:lineRule="auto"/>
        <w:contextualSpacing/>
        <w:jc w:val="both"/>
        <w:rPr>
          <w:rFonts w:ascii="Times New Roman" w:hAnsi="Times New Roman"/>
        </w:rPr>
      </w:pPr>
      <w:r w:rsidRPr="00166607">
        <w:rPr>
          <w:rFonts w:ascii="Times New Roman" w:hAnsi="Times New Roman"/>
          <w:b/>
          <w:i/>
        </w:rPr>
        <w:t>5.</w:t>
      </w:r>
      <w:r>
        <w:rPr>
          <w:rFonts w:ascii="Times New Roman" w:hAnsi="Times New Roman"/>
          <w:b/>
          <w:i/>
        </w:rPr>
        <w:t>4</w:t>
      </w:r>
      <w:r w:rsidRPr="00166607">
        <w:rPr>
          <w:rFonts w:ascii="Times New Roman" w:hAnsi="Times New Roman"/>
          <w:b/>
          <w:i/>
        </w:rPr>
        <w:t xml:space="preserve"> </w:t>
      </w:r>
      <w:r w:rsidR="006B1C96">
        <w:rPr>
          <w:rFonts w:ascii="Times New Roman" w:hAnsi="Times New Roman"/>
          <w:b/>
          <w:i/>
        </w:rPr>
        <w:t>Government subsidies’ r</w:t>
      </w:r>
      <w:r>
        <w:rPr>
          <w:rFonts w:ascii="Times New Roman" w:hAnsi="Times New Roman"/>
          <w:b/>
          <w:i/>
        </w:rPr>
        <w:t>eceipt</w:t>
      </w:r>
    </w:p>
    <w:p w14:paraId="2969C829" w14:textId="11B3DF4B" w:rsidR="00100F27" w:rsidRDefault="00100F27" w:rsidP="00402892">
      <w:pPr>
        <w:spacing w:line="360" w:lineRule="auto"/>
        <w:ind w:firstLine="720"/>
        <w:rPr>
          <w:rFonts w:ascii="Times New Roman" w:hAnsi="Times New Roman"/>
        </w:rPr>
      </w:pPr>
      <w:r w:rsidRPr="00642495">
        <w:rPr>
          <w:rFonts w:ascii="Times New Roman" w:hAnsi="Times New Roman"/>
        </w:rPr>
        <w:t xml:space="preserve">We estimate scholarship impacts on </w:t>
      </w:r>
      <w:r>
        <w:rPr>
          <w:rFonts w:ascii="Times New Roman" w:hAnsi="Times New Roman"/>
        </w:rPr>
        <w:t xml:space="preserve">the probability of receiving </w:t>
      </w:r>
      <w:r w:rsidRPr="00A74AE8">
        <w:rPr>
          <w:rFonts w:ascii="Times New Roman" w:hAnsi="Times New Roman"/>
          <w:i/>
        </w:rPr>
        <w:t>Familias en Acción</w:t>
      </w:r>
      <w:r>
        <w:rPr>
          <w:rFonts w:ascii="Times New Roman" w:hAnsi="Times New Roman"/>
        </w:rPr>
        <w:t xml:space="preserve"> conditional cash transfers and on the probability of being eligible to receive benefits from the </w:t>
      </w:r>
      <w:r>
        <w:rPr>
          <w:rFonts w:ascii="Times New Roman" w:hAnsi="Times New Roman"/>
        </w:rPr>
        <w:lastRenderedPageBreak/>
        <w:t xml:space="preserve">other three </w:t>
      </w:r>
      <w:r w:rsidRPr="00642495">
        <w:rPr>
          <w:rFonts w:ascii="Times New Roman" w:hAnsi="Times New Roman"/>
        </w:rPr>
        <w:t>largest government subsidy programs available for urban households</w:t>
      </w:r>
      <w:r>
        <w:rPr>
          <w:rFonts w:ascii="Times New Roman" w:hAnsi="Times New Roman"/>
        </w:rPr>
        <w:t>: the two tiers of subsidized health care and early childhood care (</w:t>
      </w:r>
      <w:r w:rsidR="000D7BC3">
        <w:rPr>
          <w:rFonts w:ascii="Times New Roman" w:hAnsi="Times New Roman"/>
        </w:rPr>
        <w:t>Appendix B Table</w:t>
      </w:r>
      <w:r>
        <w:rPr>
          <w:rFonts w:ascii="Times New Roman" w:hAnsi="Times New Roman"/>
        </w:rPr>
        <w:t>)</w:t>
      </w:r>
      <w:r w:rsidRPr="00642495">
        <w:rPr>
          <w:rFonts w:ascii="Times New Roman" w:hAnsi="Times New Roman"/>
        </w:rPr>
        <w:t>.</w:t>
      </w:r>
      <w:r>
        <w:rPr>
          <w:rStyle w:val="FootnoteReference"/>
          <w:rFonts w:ascii="Times New Roman" w:hAnsi="Times New Roman"/>
        </w:rPr>
        <w:footnoteReference w:id="22"/>
      </w:r>
      <w:r>
        <w:rPr>
          <w:rFonts w:ascii="Times New Roman" w:hAnsi="Times New Roman"/>
        </w:rPr>
        <w:t xml:space="preserve">  Eligibility for subsidized health care is equivalent to utilization because take up is almost one hundred percent.  </w:t>
      </w:r>
      <w:r w:rsidRPr="00642495">
        <w:rPr>
          <w:rFonts w:ascii="Times New Roman" w:hAnsi="Times New Roman"/>
        </w:rPr>
        <w:t xml:space="preserve">  </w:t>
      </w:r>
    </w:p>
    <w:p w14:paraId="5A3086AA" w14:textId="77777777" w:rsidR="00100F27" w:rsidRDefault="00100F27" w:rsidP="00402892">
      <w:pPr>
        <w:spacing w:line="360" w:lineRule="auto"/>
        <w:ind w:firstLine="720"/>
        <w:rPr>
          <w:rFonts w:ascii="Times New Roman" w:hAnsi="Times New Roman"/>
        </w:rPr>
      </w:pPr>
      <w:r w:rsidRPr="00642495">
        <w:rPr>
          <w:rFonts w:ascii="Times New Roman" w:hAnsi="Times New Roman"/>
        </w:rPr>
        <w:t>Eligibility for these programs is based on SISBEN scores</w:t>
      </w:r>
      <w:r>
        <w:rPr>
          <w:rFonts w:ascii="Times New Roman" w:hAnsi="Times New Roman"/>
        </w:rPr>
        <w:t xml:space="preserve"> and demographic characteristics such as having age-appropriate children</w:t>
      </w:r>
      <w:r w:rsidRPr="00642495">
        <w:rPr>
          <w:rFonts w:ascii="Times New Roman" w:hAnsi="Times New Roman"/>
        </w:rPr>
        <w:t>.</w:t>
      </w:r>
      <w:r>
        <w:rPr>
          <w:rStyle w:val="FootnoteReference"/>
          <w:rFonts w:ascii="Times New Roman" w:hAnsi="Times New Roman"/>
        </w:rPr>
        <w:footnoteReference w:id="23"/>
      </w:r>
      <w:r>
        <w:rPr>
          <w:rFonts w:ascii="Times New Roman" w:hAnsi="Times New Roman"/>
        </w:rPr>
        <w:t xml:space="preserve">  Applicants without SISBEN scores are not eligible to receive these subsidies so for applicants who do not show up in SISBEN 2010 subsidy receipt is zero. </w:t>
      </w:r>
    </w:p>
    <w:p w14:paraId="79538BAB" w14:textId="3BEE8A34" w:rsidR="007F588B" w:rsidRPr="006C3673" w:rsidRDefault="000D7BC3" w:rsidP="00402892">
      <w:pPr>
        <w:spacing w:after="160" w:line="360" w:lineRule="auto"/>
        <w:ind w:firstLine="720"/>
        <w:contextualSpacing/>
        <w:jc w:val="both"/>
        <w:rPr>
          <w:rFonts w:ascii="Times New Roman" w:hAnsi="Times New Roman"/>
        </w:rPr>
      </w:pPr>
      <w:r>
        <w:rPr>
          <w:rFonts w:ascii="Times New Roman" w:hAnsi="Times New Roman"/>
        </w:rPr>
        <w:t>W</w:t>
      </w:r>
      <w:r w:rsidR="00100F27">
        <w:rPr>
          <w:rFonts w:ascii="Times New Roman" w:hAnsi="Times New Roman"/>
        </w:rPr>
        <w:t xml:space="preserve">e find no evidence suggesting that, in the full sample of applicants, by type of school, or by gender, winning the scholarship affects government welfare receipt of </w:t>
      </w:r>
      <w:r w:rsidR="00100F27" w:rsidRPr="002072B4">
        <w:rPr>
          <w:rFonts w:ascii="Times New Roman" w:hAnsi="Times New Roman"/>
          <w:i/>
        </w:rPr>
        <w:t>Familias en Acción</w:t>
      </w:r>
      <w:r w:rsidR="00100F27">
        <w:rPr>
          <w:rFonts w:ascii="Times New Roman" w:hAnsi="Times New Roman"/>
        </w:rPr>
        <w:t xml:space="preserve"> and subsidized health care programs or eligibility for early childhood care</w:t>
      </w:r>
      <w:r>
        <w:rPr>
          <w:rFonts w:ascii="Times New Roman" w:hAnsi="Times New Roman"/>
        </w:rPr>
        <w:t>.</w:t>
      </w:r>
    </w:p>
    <w:p w14:paraId="2A5E7128" w14:textId="5CEE3E10" w:rsidR="00AA4D5F" w:rsidRPr="00166607" w:rsidRDefault="00AA4D5F" w:rsidP="00402892">
      <w:pPr>
        <w:pStyle w:val="ListParagraph"/>
        <w:keepNext/>
        <w:numPr>
          <w:ilvl w:val="0"/>
          <w:numId w:val="3"/>
        </w:numPr>
        <w:spacing w:after="160" w:line="360" w:lineRule="auto"/>
        <w:ind w:left="720" w:hanging="720"/>
        <w:outlineLvl w:val="0"/>
        <w:rPr>
          <w:rFonts w:ascii="Times New Roman" w:hAnsi="Times New Roman"/>
          <w:b/>
          <w:sz w:val="28"/>
          <w:szCs w:val="28"/>
        </w:rPr>
      </w:pPr>
      <w:r w:rsidRPr="008233C3">
        <w:rPr>
          <w:rFonts w:ascii="Times New Roman" w:hAnsi="Times New Roman"/>
          <w:b/>
          <w:sz w:val="28"/>
          <w:szCs w:val="28"/>
        </w:rPr>
        <w:t xml:space="preserve">Scholarship Impacts on </w:t>
      </w:r>
      <w:r w:rsidR="00D93BDD" w:rsidRPr="00166607">
        <w:rPr>
          <w:rFonts w:ascii="Times New Roman" w:hAnsi="Times New Roman"/>
          <w:b/>
          <w:sz w:val="28"/>
          <w:szCs w:val="28"/>
        </w:rPr>
        <w:t>Teen Fertility</w:t>
      </w:r>
    </w:p>
    <w:p w14:paraId="7DA8060E" w14:textId="54163929" w:rsidR="00284CEB" w:rsidRPr="006F4D14" w:rsidRDefault="00A33109" w:rsidP="00402892">
      <w:pPr>
        <w:pStyle w:val="CommentText"/>
        <w:spacing w:after="160" w:line="360" w:lineRule="auto"/>
        <w:ind w:firstLine="720"/>
        <w:contextualSpacing/>
        <w:jc w:val="both"/>
        <w:rPr>
          <w:rFonts w:ascii="Times New Roman" w:hAnsi="Times New Roman"/>
          <w:sz w:val="24"/>
          <w:szCs w:val="24"/>
        </w:rPr>
      </w:pPr>
      <w:r w:rsidRPr="00166607">
        <w:rPr>
          <w:rFonts w:ascii="Times New Roman" w:hAnsi="Times New Roman"/>
          <w:sz w:val="24"/>
          <w:szCs w:val="24"/>
        </w:rPr>
        <w:t>F</w:t>
      </w:r>
      <w:r w:rsidR="00215D08" w:rsidRPr="00166607">
        <w:rPr>
          <w:rFonts w:ascii="Times New Roman" w:hAnsi="Times New Roman"/>
          <w:sz w:val="24"/>
          <w:szCs w:val="24"/>
        </w:rPr>
        <w:t xml:space="preserve">ertility outcomes </w:t>
      </w:r>
      <w:r w:rsidR="008A7EFC" w:rsidRPr="00166607">
        <w:rPr>
          <w:rFonts w:ascii="Times New Roman" w:hAnsi="Times New Roman"/>
          <w:sz w:val="24"/>
          <w:szCs w:val="24"/>
        </w:rPr>
        <w:t>are</w:t>
      </w:r>
      <w:r w:rsidRPr="00166607">
        <w:rPr>
          <w:rFonts w:ascii="Times New Roman" w:hAnsi="Times New Roman"/>
          <w:sz w:val="24"/>
          <w:szCs w:val="24"/>
        </w:rPr>
        <w:t xml:space="preserve"> only observed for applicants who show</w:t>
      </w:r>
      <w:r w:rsidR="008A7EFC" w:rsidRPr="00166607">
        <w:rPr>
          <w:rFonts w:ascii="Times New Roman" w:hAnsi="Times New Roman"/>
          <w:sz w:val="24"/>
          <w:szCs w:val="24"/>
        </w:rPr>
        <w:t xml:space="preserve"> up in the </w:t>
      </w:r>
      <w:r w:rsidR="00215D08" w:rsidRPr="00166607">
        <w:rPr>
          <w:rFonts w:ascii="Times New Roman" w:hAnsi="Times New Roman"/>
          <w:sz w:val="24"/>
          <w:szCs w:val="24"/>
        </w:rPr>
        <w:t>SISBEN</w:t>
      </w:r>
      <w:r w:rsidR="008F2E38" w:rsidRPr="00166607">
        <w:rPr>
          <w:rFonts w:ascii="Times New Roman" w:hAnsi="Times New Roman"/>
          <w:sz w:val="24"/>
          <w:szCs w:val="24"/>
        </w:rPr>
        <w:t xml:space="preserve"> 2010</w:t>
      </w:r>
      <w:r w:rsidR="00215D08" w:rsidRPr="00166607">
        <w:rPr>
          <w:rFonts w:ascii="Times New Roman" w:hAnsi="Times New Roman"/>
          <w:sz w:val="24"/>
          <w:szCs w:val="24"/>
        </w:rPr>
        <w:t xml:space="preserve"> data. </w:t>
      </w:r>
      <w:r w:rsidRPr="00166607">
        <w:rPr>
          <w:rFonts w:ascii="Times New Roman" w:hAnsi="Times New Roman"/>
          <w:sz w:val="24"/>
          <w:szCs w:val="24"/>
        </w:rPr>
        <w:t xml:space="preserve"> </w:t>
      </w:r>
      <w:r w:rsidR="009E12E6" w:rsidRPr="00166607">
        <w:rPr>
          <w:rFonts w:ascii="Times New Roman" w:hAnsi="Times New Roman"/>
          <w:sz w:val="24"/>
          <w:szCs w:val="24"/>
        </w:rPr>
        <w:t>As noted earlier, s</w:t>
      </w:r>
      <w:r w:rsidR="00FF345E" w:rsidRPr="00166607">
        <w:rPr>
          <w:rFonts w:ascii="Times New Roman" w:hAnsi="Times New Roman"/>
          <w:sz w:val="24"/>
          <w:szCs w:val="24"/>
        </w:rPr>
        <w:t>cholarship lottery winner</w:t>
      </w:r>
      <w:r w:rsidR="00344CA2" w:rsidRPr="00166607">
        <w:rPr>
          <w:rFonts w:ascii="Times New Roman" w:hAnsi="Times New Roman"/>
          <w:sz w:val="24"/>
          <w:szCs w:val="24"/>
        </w:rPr>
        <w:t>s have a lower likelihood of appearing in SISBEN 2010 data. W</w:t>
      </w:r>
      <w:r w:rsidR="00AE6524" w:rsidRPr="00166607">
        <w:rPr>
          <w:rFonts w:ascii="Times New Roman" w:hAnsi="Times New Roman"/>
          <w:sz w:val="24"/>
          <w:szCs w:val="24"/>
        </w:rPr>
        <w:t>e cannot</w:t>
      </w:r>
      <w:r w:rsidR="00344CA2" w:rsidRPr="00166607">
        <w:rPr>
          <w:rFonts w:ascii="Times New Roman" w:hAnsi="Times New Roman"/>
          <w:sz w:val="24"/>
          <w:szCs w:val="24"/>
        </w:rPr>
        <w:t xml:space="preserve">, however, </w:t>
      </w:r>
      <w:r w:rsidR="00AE6524" w:rsidRPr="00166607">
        <w:rPr>
          <w:rFonts w:ascii="Times New Roman" w:hAnsi="Times New Roman"/>
          <w:sz w:val="24"/>
          <w:szCs w:val="24"/>
        </w:rPr>
        <w:t>rej</w:t>
      </w:r>
      <w:r w:rsidR="001008A1" w:rsidRPr="00166607">
        <w:rPr>
          <w:rFonts w:ascii="Times New Roman" w:hAnsi="Times New Roman"/>
          <w:sz w:val="24"/>
          <w:szCs w:val="24"/>
        </w:rPr>
        <w:t>ect the null hypothesis that</w:t>
      </w:r>
      <w:r w:rsidR="00AE6524" w:rsidRPr="00166607">
        <w:rPr>
          <w:rFonts w:ascii="Times New Roman" w:hAnsi="Times New Roman"/>
          <w:sz w:val="24"/>
          <w:szCs w:val="24"/>
        </w:rPr>
        <w:t xml:space="preserve"> </w:t>
      </w:r>
      <w:r w:rsidR="003808A6" w:rsidRPr="00166607">
        <w:rPr>
          <w:rFonts w:ascii="Times New Roman" w:hAnsi="Times New Roman"/>
          <w:sz w:val="24"/>
          <w:szCs w:val="24"/>
        </w:rPr>
        <w:t>the variables</w:t>
      </w:r>
      <w:r w:rsidR="00AE6524" w:rsidRPr="00166607">
        <w:rPr>
          <w:rFonts w:ascii="Times New Roman" w:hAnsi="Times New Roman"/>
          <w:sz w:val="24"/>
          <w:szCs w:val="24"/>
        </w:rPr>
        <w:t xml:space="preserve"> that predict </w:t>
      </w:r>
      <w:r w:rsidR="003808A6" w:rsidRPr="00166607">
        <w:rPr>
          <w:rFonts w:ascii="Times New Roman" w:hAnsi="Times New Roman"/>
          <w:sz w:val="24"/>
          <w:szCs w:val="24"/>
        </w:rPr>
        <w:t xml:space="preserve">students </w:t>
      </w:r>
      <w:r w:rsidR="007818FA" w:rsidRPr="00166607">
        <w:rPr>
          <w:rFonts w:ascii="Times New Roman" w:hAnsi="Times New Roman"/>
          <w:sz w:val="24"/>
          <w:szCs w:val="24"/>
        </w:rPr>
        <w:t xml:space="preserve">showing up in SISBEN 2010 are the same for winners and losers in the full sample </w:t>
      </w:r>
      <w:r w:rsidR="00624215" w:rsidRPr="00166607">
        <w:rPr>
          <w:rFonts w:ascii="Times New Roman" w:hAnsi="Times New Roman"/>
          <w:sz w:val="24"/>
          <w:szCs w:val="24"/>
        </w:rPr>
        <w:t xml:space="preserve">(Table </w:t>
      </w:r>
      <w:r w:rsidR="00EB1AF2" w:rsidRPr="00166607">
        <w:rPr>
          <w:rFonts w:ascii="Times New Roman" w:hAnsi="Times New Roman"/>
          <w:sz w:val="24"/>
          <w:szCs w:val="24"/>
        </w:rPr>
        <w:t>5</w:t>
      </w:r>
      <w:r w:rsidR="007818FA" w:rsidRPr="00166607">
        <w:rPr>
          <w:rFonts w:ascii="Times New Roman" w:hAnsi="Times New Roman"/>
          <w:sz w:val="24"/>
          <w:szCs w:val="24"/>
        </w:rPr>
        <w:t>).</w:t>
      </w:r>
      <w:r w:rsidR="00E418B3" w:rsidRPr="00166607">
        <w:rPr>
          <w:rFonts w:ascii="Times New Roman" w:hAnsi="Times New Roman"/>
          <w:sz w:val="24"/>
          <w:szCs w:val="24"/>
        </w:rPr>
        <w:t xml:space="preserve"> </w:t>
      </w:r>
      <w:r w:rsidR="003F4D52">
        <w:rPr>
          <w:rFonts w:ascii="Times New Roman" w:hAnsi="Times New Roman"/>
          <w:sz w:val="24"/>
          <w:szCs w:val="24"/>
        </w:rPr>
        <w:t xml:space="preserve">Estimated effects on teen fertility </w:t>
      </w:r>
      <w:r w:rsidR="006D1D64" w:rsidRPr="00166607">
        <w:rPr>
          <w:rFonts w:ascii="Times New Roman" w:hAnsi="Times New Roman"/>
          <w:sz w:val="24"/>
          <w:szCs w:val="24"/>
        </w:rPr>
        <w:t xml:space="preserve">conditional on SISBEN appearance </w:t>
      </w:r>
      <w:r w:rsidR="0020538E">
        <w:rPr>
          <w:rFonts w:ascii="Times New Roman" w:hAnsi="Times New Roman"/>
          <w:sz w:val="24"/>
          <w:szCs w:val="24"/>
        </w:rPr>
        <w:t>will be</w:t>
      </w:r>
      <w:r w:rsidR="0020538E" w:rsidRPr="00166607">
        <w:rPr>
          <w:rFonts w:ascii="Times New Roman" w:hAnsi="Times New Roman"/>
          <w:sz w:val="24"/>
          <w:szCs w:val="24"/>
        </w:rPr>
        <w:t xml:space="preserve"> </w:t>
      </w:r>
      <w:r w:rsidR="006D1D64" w:rsidRPr="00166607">
        <w:rPr>
          <w:rFonts w:ascii="Times New Roman" w:hAnsi="Times New Roman"/>
          <w:sz w:val="24"/>
          <w:szCs w:val="24"/>
        </w:rPr>
        <w:t>a lower bound</w:t>
      </w:r>
      <w:r w:rsidR="0020538E">
        <w:rPr>
          <w:rFonts w:ascii="Times New Roman" w:hAnsi="Times New Roman"/>
          <w:sz w:val="24"/>
          <w:szCs w:val="24"/>
        </w:rPr>
        <w:t xml:space="preserve"> on the true effect on teen fertility</w:t>
      </w:r>
      <w:r w:rsidR="006D1D64" w:rsidRPr="00166607">
        <w:rPr>
          <w:rFonts w:ascii="Times New Roman" w:hAnsi="Times New Roman"/>
          <w:sz w:val="24"/>
          <w:szCs w:val="24"/>
        </w:rPr>
        <w:t xml:space="preserve"> as long as lottery winners who </w:t>
      </w:r>
      <w:r w:rsidR="0020538E">
        <w:rPr>
          <w:rFonts w:ascii="Times New Roman" w:hAnsi="Times New Roman"/>
          <w:sz w:val="24"/>
          <w:szCs w:val="24"/>
        </w:rPr>
        <w:t>moved out of</w:t>
      </w:r>
      <w:r w:rsidR="0089465C" w:rsidRPr="00166607">
        <w:rPr>
          <w:rFonts w:ascii="Times New Roman" w:hAnsi="Times New Roman"/>
          <w:sz w:val="24"/>
          <w:szCs w:val="24"/>
        </w:rPr>
        <w:t xml:space="preserve"> low-SES neighborhoods covered by</w:t>
      </w:r>
      <w:r w:rsidR="006D1D64" w:rsidRPr="00166607">
        <w:rPr>
          <w:rFonts w:ascii="Times New Roman" w:hAnsi="Times New Roman"/>
          <w:sz w:val="24"/>
          <w:szCs w:val="24"/>
        </w:rPr>
        <w:t xml:space="preserve"> SISBEN as a consequence of winning the scholarship have a </w:t>
      </w:r>
      <w:r w:rsidR="006D1D64" w:rsidRPr="00284CEB">
        <w:rPr>
          <w:rFonts w:ascii="Times New Roman" w:hAnsi="Times New Roman"/>
          <w:sz w:val="24"/>
          <w:szCs w:val="24"/>
        </w:rPr>
        <w:t>lower chance of being teenage parents than scholarship lottery</w:t>
      </w:r>
      <w:r w:rsidR="006D1D64" w:rsidRPr="006F4D14">
        <w:rPr>
          <w:rFonts w:ascii="Times New Roman" w:hAnsi="Times New Roman"/>
          <w:sz w:val="24"/>
          <w:szCs w:val="24"/>
        </w:rPr>
        <w:t xml:space="preserve"> winners who remained in </w:t>
      </w:r>
      <w:r w:rsidR="006D72AA" w:rsidRPr="006F4D14">
        <w:rPr>
          <w:rFonts w:ascii="Times New Roman" w:hAnsi="Times New Roman"/>
          <w:sz w:val="24"/>
          <w:szCs w:val="24"/>
        </w:rPr>
        <w:t xml:space="preserve">neighborhoods covered by </w:t>
      </w:r>
      <w:r w:rsidR="006D1D64" w:rsidRPr="006F4D14">
        <w:rPr>
          <w:rFonts w:ascii="Times New Roman" w:hAnsi="Times New Roman"/>
          <w:sz w:val="24"/>
          <w:szCs w:val="24"/>
        </w:rPr>
        <w:t>SISBEN.</w:t>
      </w:r>
      <w:r w:rsidR="006D1D64" w:rsidRPr="00284CEB">
        <w:rPr>
          <w:rStyle w:val="FootnoteReference"/>
          <w:rFonts w:ascii="Times New Roman" w:hAnsi="Times New Roman"/>
          <w:sz w:val="24"/>
          <w:szCs w:val="24"/>
        </w:rPr>
        <w:footnoteReference w:id="24"/>
      </w:r>
    </w:p>
    <w:p w14:paraId="05969C7D" w14:textId="77777777" w:rsidR="009D7204" w:rsidRPr="008E72B7" w:rsidRDefault="00EC78B1" w:rsidP="00402892">
      <w:pPr>
        <w:pStyle w:val="CommentText"/>
        <w:spacing w:after="160" w:line="360" w:lineRule="auto"/>
        <w:ind w:firstLine="720"/>
        <w:contextualSpacing/>
        <w:jc w:val="both"/>
        <w:rPr>
          <w:rFonts w:ascii="Times New Roman" w:hAnsi="Times New Roman"/>
          <w:sz w:val="24"/>
          <w:szCs w:val="24"/>
        </w:rPr>
      </w:pPr>
      <w:r w:rsidRPr="006F4D14">
        <w:rPr>
          <w:rFonts w:ascii="Times New Roman" w:hAnsi="Times New Roman"/>
          <w:sz w:val="24"/>
          <w:szCs w:val="24"/>
        </w:rPr>
        <w:lastRenderedPageBreak/>
        <w:t>Conditional on showing up in the SISBEN 2010 dataset, w</w:t>
      </w:r>
      <w:r w:rsidR="000D4266" w:rsidRPr="006F4D14">
        <w:rPr>
          <w:rFonts w:ascii="Times New Roman" w:hAnsi="Times New Roman"/>
          <w:sz w:val="24"/>
          <w:szCs w:val="24"/>
        </w:rPr>
        <w:t>inners are 1</w:t>
      </w:r>
      <w:r w:rsidR="00A102A1" w:rsidRPr="006F4D14">
        <w:rPr>
          <w:rFonts w:ascii="Times New Roman" w:hAnsi="Times New Roman"/>
          <w:sz w:val="24"/>
          <w:szCs w:val="24"/>
        </w:rPr>
        <w:t>8</w:t>
      </w:r>
      <w:r w:rsidR="000D4266" w:rsidRPr="006F4D14">
        <w:rPr>
          <w:rFonts w:ascii="Times New Roman" w:hAnsi="Times New Roman"/>
          <w:sz w:val="24"/>
          <w:szCs w:val="24"/>
        </w:rPr>
        <w:t xml:space="preserve"> percent (4</w:t>
      </w:r>
      <w:r w:rsidR="00A102A1" w:rsidRPr="006F4D14">
        <w:rPr>
          <w:rFonts w:ascii="Times New Roman" w:hAnsi="Times New Roman"/>
          <w:sz w:val="24"/>
          <w:szCs w:val="24"/>
        </w:rPr>
        <w:t>.3</w:t>
      </w:r>
      <w:r w:rsidR="006D35C9" w:rsidRPr="006F4D14">
        <w:rPr>
          <w:rFonts w:ascii="Times New Roman" w:hAnsi="Times New Roman"/>
          <w:sz w:val="24"/>
          <w:szCs w:val="24"/>
        </w:rPr>
        <w:t xml:space="preserve"> percentage points) less likely to have a child during their teenage years relative to </w:t>
      </w:r>
      <w:r w:rsidR="00AA672B" w:rsidRPr="006F4D14">
        <w:rPr>
          <w:rFonts w:ascii="Times New Roman" w:hAnsi="Times New Roman"/>
          <w:sz w:val="24"/>
          <w:szCs w:val="24"/>
        </w:rPr>
        <w:t>the lottery losers’ mean of 23.4</w:t>
      </w:r>
      <w:r w:rsidR="006D35C9" w:rsidRPr="006F4D14">
        <w:rPr>
          <w:rFonts w:ascii="Times New Roman" w:hAnsi="Times New Roman"/>
          <w:sz w:val="24"/>
          <w:szCs w:val="24"/>
        </w:rPr>
        <w:t xml:space="preserve"> percent.  </w:t>
      </w:r>
      <w:r w:rsidR="00AA672B" w:rsidRPr="006F4D14">
        <w:rPr>
          <w:rFonts w:ascii="Times New Roman" w:hAnsi="Times New Roman"/>
          <w:sz w:val="24"/>
          <w:szCs w:val="24"/>
        </w:rPr>
        <w:t xml:space="preserve">Among </w:t>
      </w:r>
      <w:r w:rsidR="00324713" w:rsidRPr="006F4D14">
        <w:rPr>
          <w:rFonts w:ascii="Times New Roman" w:hAnsi="Times New Roman"/>
          <w:sz w:val="24"/>
          <w:szCs w:val="24"/>
        </w:rPr>
        <w:t>females</w:t>
      </w:r>
      <w:r w:rsidR="00AA672B" w:rsidRPr="006F4D14">
        <w:rPr>
          <w:rFonts w:ascii="Times New Roman" w:hAnsi="Times New Roman"/>
          <w:sz w:val="24"/>
          <w:szCs w:val="24"/>
        </w:rPr>
        <w:t xml:space="preserve">, </w:t>
      </w:r>
      <w:r w:rsidR="006D35C9" w:rsidRPr="006F4D14">
        <w:rPr>
          <w:rFonts w:ascii="Times New Roman" w:hAnsi="Times New Roman"/>
          <w:sz w:val="24"/>
          <w:szCs w:val="24"/>
        </w:rPr>
        <w:t>winning a scholarshi</w:t>
      </w:r>
      <w:r w:rsidR="00AA672B" w:rsidRPr="006F4D14">
        <w:rPr>
          <w:rFonts w:ascii="Times New Roman" w:hAnsi="Times New Roman"/>
          <w:sz w:val="24"/>
          <w:szCs w:val="24"/>
        </w:rPr>
        <w:t xml:space="preserve">p reduces teen motherhood by </w:t>
      </w:r>
      <w:r w:rsidR="006D72AA" w:rsidRPr="006F4D14">
        <w:rPr>
          <w:rFonts w:ascii="Times New Roman" w:hAnsi="Times New Roman"/>
          <w:sz w:val="24"/>
          <w:szCs w:val="24"/>
        </w:rPr>
        <w:t xml:space="preserve">at least </w:t>
      </w:r>
      <w:r w:rsidR="00AA672B" w:rsidRPr="006F4D14">
        <w:rPr>
          <w:rFonts w:ascii="Times New Roman" w:hAnsi="Times New Roman"/>
          <w:sz w:val="24"/>
          <w:szCs w:val="24"/>
        </w:rPr>
        <w:t>1</w:t>
      </w:r>
      <w:r w:rsidR="00A102A1" w:rsidRPr="006F4D14">
        <w:rPr>
          <w:rFonts w:ascii="Times New Roman" w:hAnsi="Times New Roman"/>
          <w:sz w:val="24"/>
          <w:szCs w:val="24"/>
        </w:rPr>
        <w:t>7</w:t>
      </w:r>
      <w:r w:rsidR="00AA672B" w:rsidRPr="006F4D14">
        <w:rPr>
          <w:rFonts w:ascii="Times New Roman" w:hAnsi="Times New Roman"/>
          <w:sz w:val="24"/>
          <w:szCs w:val="24"/>
        </w:rPr>
        <w:t xml:space="preserve"> percent (6.</w:t>
      </w:r>
      <w:r w:rsidR="00A102A1" w:rsidRPr="006F4D14">
        <w:rPr>
          <w:rFonts w:ascii="Times New Roman" w:hAnsi="Times New Roman"/>
          <w:sz w:val="24"/>
          <w:szCs w:val="24"/>
        </w:rPr>
        <w:t>5</w:t>
      </w:r>
      <w:r w:rsidR="006D35C9" w:rsidRPr="006F4D14">
        <w:rPr>
          <w:rFonts w:ascii="Times New Roman" w:hAnsi="Times New Roman"/>
          <w:sz w:val="24"/>
          <w:szCs w:val="24"/>
        </w:rPr>
        <w:t xml:space="preserve"> percentage point</w:t>
      </w:r>
      <w:r w:rsidRPr="006F4D14">
        <w:rPr>
          <w:rFonts w:ascii="Times New Roman" w:hAnsi="Times New Roman"/>
          <w:sz w:val="24"/>
          <w:szCs w:val="24"/>
        </w:rPr>
        <w:t>s</w:t>
      </w:r>
      <w:r w:rsidR="00C46F6A" w:rsidRPr="006F4D14">
        <w:rPr>
          <w:rFonts w:ascii="Times New Roman" w:hAnsi="Times New Roman"/>
          <w:sz w:val="24"/>
          <w:szCs w:val="24"/>
        </w:rPr>
        <w:t>) relative to a base of 37.</w:t>
      </w:r>
      <w:r w:rsidR="00A102A1" w:rsidRPr="006F4D14">
        <w:rPr>
          <w:rFonts w:ascii="Times New Roman" w:hAnsi="Times New Roman"/>
          <w:sz w:val="24"/>
          <w:szCs w:val="24"/>
        </w:rPr>
        <w:t xml:space="preserve">7 </w:t>
      </w:r>
      <w:r w:rsidR="006D35C9" w:rsidRPr="006F4D14">
        <w:rPr>
          <w:rFonts w:ascii="Times New Roman" w:hAnsi="Times New Roman"/>
          <w:sz w:val="24"/>
          <w:szCs w:val="24"/>
        </w:rPr>
        <w:t>percent</w:t>
      </w:r>
      <w:r w:rsidR="00EB69BF" w:rsidRPr="006F4D14">
        <w:rPr>
          <w:rFonts w:ascii="Times New Roman" w:hAnsi="Times New Roman"/>
          <w:sz w:val="24"/>
          <w:szCs w:val="24"/>
        </w:rPr>
        <w:t xml:space="preserve">.  </w:t>
      </w:r>
      <w:r w:rsidR="003808A6" w:rsidRPr="006F4D14">
        <w:rPr>
          <w:rFonts w:ascii="Times New Roman" w:hAnsi="Times New Roman"/>
          <w:sz w:val="24"/>
          <w:szCs w:val="24"/>
        </w:rPr>
        <w:t>The incidence of t</w:t>
      </w:r>
      <w:r w:rsidR="00FD19F9" w:rsidRPr="006F4D14">
        <w:rPr>
          <w:rFonts w:ascii="Times New Roman" w:hAnsi="Times New Roman"/>
          <w:sz w:val="24"/>
          <w:szCs w:val="24"/>
        </w:rPr>
        <w:t xml:space="preserve">een fatherhood is </w:t>
      </w:r>
      <w:r w:rsidR="003808A6" w:rsidRPr="006F4D14">
        <w:rPr>
          <w:rFonts w:ascii="Times New Roman" w:hAnsi="Times New Roman"/>
          <w:sz w:val="24"/>
          <w:szCs w:val="24"/>
        </w:rPr>
        <w:t xml:space="preserve">low </w:t>
      </w:r>
      <w:r w:rsidR="00FD19F9" w:rsidRPr="006F4D14">
        <w:rPr>
          <w:rFonts w:ascii="Times New Roman" w:hAnsi="Times New Roman"/>
          <w:sz w:val="24"/>
          <w:szCs w:val="24"/>
        </w:rPr>
        <w:t>in Colombia</w:t>
      </w:r>
      <w:r w:rsidR="00277639" w:rsidRPr="006F4D14">
        <w:rPr>
          <w:rFonts w:ascii="Times New Roman" w:hAnsi="Times New Roman"/>
          <w:sz w:val="24"/>
          <w:szCs w:val="24"/>
        </w:rPr>
        <w:t xml:space="preserve"> in part</w:t>
      </w:r>
      <w:r w:rsidR="00FD19F9" w:rsidRPr="006F4D14">
        <w:rPr>
          <w:rFonts w:ascii="Times New Roman" w:hAnsi="Times New Roman"/>
          <w:sz w:val="24"/>
          <w:szCs w:val="24"/>
        </w:rPr>
        <w:t xml:space="preserve"> because women </w:t>
      </w:r>
      <w:r w:rsidR="003808A6" w:rsidRPr="006F4D14">
        <w:rPr>
          <w:rFonts w:ascii="Times New Roman" w:hAnsi="Times New Roman"/>
          <w:sz w:val="24"/>
          <w:szCs w:val="24"/>
        </w:rPr>
        <w:t>typically have</w:t>
      </w:r>
      <w:r w:rsidR="00FD19F9" w:rsidRPr="006F4D14">
        <w:rPr>
          <w:rFonts w:ascii="Times New Roman" w:hAnsi="Times New Roman"/>
          <w:sz w:val="24"/>
          <w:szCs w:val="24"/>
        </w:rPr>
        <w:t xml:space="preserve"> partners</w:t>
      </w:r>
      <w:r w:rsidR="003808A6" w:rsidRPr="006F4D14">
        <w:rPr>
          <w:rFonts w:ascii="Times New Roman" w:hAnsi="Times New Roman"/>
          <w:sz w:val="24"/>
          <w:szCs w:val="24"/>
        </w:rPr>
        <w:t xml:space="preserve"> that are older.  Hence</w:t>
      </w:r>
      <w:r w:rsidR="00DB0291" w:rsidRPr="006F4D14">
        <w:rPr>
          <w:rFonts w:ascii="Times New Roman" w:hAnsi="Times New Roman"/>
          <w:sz w:val="24"/>
          <w:szCs w:val="24"/>
        </w:rPr>
        <w:t>,</w:t>
      </w:r>
      <w:r w:rsidR="00FD19F9" w:rsidRPr="006F4D14">
        <w:rPr>
          <w:rFonts w:ascii="Times New Roman" w:hAnsi="Times New Roman"/>
          <w:sz w:val="24"/>
          <w:szCs w:val="24"/>
        </w:rPr>
        <w:t xml:space="preserve"> </w:t>
      </w:r>
      <w:r w:rsidR="003808A6" w:rsidRPr="006F4D14">
        <w:rPr>
          <w:rFonts w:ascii="Times New Roman" w:hAnsi="Times New Roman"/>
          <w:sz w:val="24"/>
          <w:szCs w:val="24"/>
        </w:rPr>
        <w:t xml:space="preserve">for males </w:t>
      </w:r>
      <w:r w:rsidR="00FD19F9" w:rsidRPr="006F4D14">
        <w:rPr>
          <w:rFonts w:ascii="Times New Roman" w:hAnsi="Times New Roman"/>
          <w:sz w:val="24"/>
          <w:szCs w:val="24"/>
        </w:rPr>
        <w:t xml:space="preserve">we examine whether </w:t>
      </w:r>
      <w:r w:rsidR="003808A6" w:rsidRPr="006F4D14">
        <w:rPr>
          <w:rFonts w:ascii="Times New Roman" w:hAnsi="Times New Roman"/>
          <w:sz w:val="24"/>
          <w:szCs w:val="24"/>
        </w:rPr>
        <w:t xml:space="preserve">they </w:t>
      </w:r>
      <w:r w:rsidR="00FD19F9" w:rsidRPr="006F4D14">
        <w:rPr>
          <w:rFonts w:ascii="Times New Roman" w:hAnsi="Times New Roman"/>
          <w:sz w:val="24"/>
          <w:szCs w:val="24"/>
        </w:rPr>
        <w:t xml:space="preserve">have children with teen partners. </w:t>
      </w:r>
      <w:r w:rsidR="00EB69BF" w:rsidRPr="006F4D14">
        <w:rPr>
          <w:rFonts w:ascii="Times New Roman" w:hAnsi="Times New Roman"/>
          <w:sz w:val="24"/>
          <w:szCs w:val="24"/>
        </w:rPr>
        <w:t>M</w:t>
      </w:r>
      <w:r w:rsidR="006D35C9" w:rsidRPr="006F4D14">
        <w:rPr>
          <w:rFonts w:ascii="Times New Roman" w:hAnsi="Times New Roman"/>
          <w:sz w:val="24"/>
          <w:szCs w:val="24"/>
        </w:rPr>
        <w:t xml:space="preserve">ale lottery winners </w:t>
      </w:r>
      <w:r w:rsidR="00571B80" w:rsidRPr="006F4D14">
        <w:rPr>
          <w:rFonts w:ascii="Times New Roman" w:hAnsi="Times New Roman"/>
          <w:sz w:val="24"/>
          <w:szCs w:val="24"/>
        </w:rPr>
        <w:t>are 3</w:t>
      </w:r>
      <w:r w:rsidR="00A102A1" w:rsidRPr="006F4D14">
        <w:rPr>
          <w:rFonts w:ascii="Times New Roman" w:hAnsi="Times New Roman"/>
          <w:sz w:val="24"/>
          <w:szCs w:val="24"/>
        </w:rPr>
        <w:t>2</w:t>
      </w:r>
      <w:r w:rsidR="00EB69BF" w:rsidRPr="006F4D14">
        <w:rPr>
          <w:rFonts w:ascii="Times New Roman" w:hAnsi="Times New Roman"/>
          <w:sz w:val="24"/>
          <w:szCs w:val="24"/>
        </w:rPr>
        <w:t xml:space="preserve"> percent (5</w:t>
      </w:r>
      <w:r w:rsidR="00A102A1" w:rsidRPr="006F4D14">
        <w:rPr>
          <w:rFonts w:ascii="Times New Roman" w:hAnsi="Times New Roman"/>
          <w:sz w:val="24"/>
          <w:szCs w:val="24"/>
        </w:rPr>
        <w:t>.1</w:t>
      </w:r>
      <w:r w:rsidR="006D35C9" w:rsidRPr="006F4D14">
        <w:rPr>
          <w:rFonts w:ascii="Times New Roman" w:hAnsi="Times New Roman"/>
          <w:sz w:val="24"/>
          <w:szCs w:val="24"/>
        </w:rPr>
        <w:t xml:space="preserve"> percentage points) less likely to have a </w:t>
      </w:r>
      <w:r w:rsidR="006D35C9" w:rsidRPr="008E72B7">
        <w:rPr>
          <w:rFonts w:ascii="Times New Roman" w:hAnsi="Times New Roman"/>
          <w:sz w:val="24"/>
          <w:szCs w:val="24"/>
        </w:rPr>
        <w:t>spouse or partner who had a child as a teenager</w:t>
      </w:r>
      <w:r w:rsidR="00916E9B" w:rsidRPr="008E72B7">
        <w:rPr>
          <w:rFonts w:ascii="Times New Roman" w:hAnsi="Times New Roman"/>
          <w:sz w:val="24"/>
          <w:szCs w:val="24"/>
        </w:rPr>
        <w:t xml:space="preserve"> </w:t>
      </w:r>
      <w:r w:rsidR="0039275D" w:rsidRPr="008E72B7">
        <w:rPr>
          <w:rFonts w:ascii="Times New Roman" w:hAnsi="Times New Roman"/>
          <w:sz w:val="24"/>
          <w:szCs w:val="24"/>
        </w:rPr>
        <w:t>relative to a base rate of</w:t>
      </w:r>
      <w:r w:rsidR="00E3786F" w:rsidRPr="008E72B7">
        <w:rPr>
          <w:rFonts w:ascii="Times New Roman" w:hAnsi="Times New Roman"/>
          <w:sz w:val="24"/>
          <w:szCs w:val="24"/>
        </w:rPr>
        <w:t xml:space="preserve"> </w:t>
      </w:r>
      <w:r w:rsidR="00BC3B7A" w:rsidRPr="008E72B7">
        <w:rPr>
          <w:rFonts w:ascii="Times New Roman" w:hAnsi="Times New Roman"/>
          <w:sz w:val="24"/>
          <w:szCs w:val="24"/>
        </w:rPr>
        <w:t>16</w:t>
      </w:r>
      <w:r w:rsidR="00A102A1" w:rsidRPr="008E72B7">
        <w:rPr>
          <w:rFonts w:ascii="Times New Roman" w:hAnsi="Times New Roman"/>
          <w:sz w:val="24"/>
          <w:szCs w:val="24"/>
        </w:rPr>
        <w:t>.1</w:t>
      </w:r>
      <w:r w:rsidR="00BC3B7A" w:rsidRPr="008E72B7">
        <w:rPr>
          <w:rFonts w:ascii="Times New Roman" w:hAnsi="Times New Roman"/>
          <w:sz w:val="24"/>
          <w:szCs w:val="24"/>
        </w:rPr>
        <w:t xml:space="preserve"> percent</w:t>
      </w:r>
      <w:r w:rsidR="0039275D" w:rsidRPr="008E72B7">
        <w:rPr>
          <w:rFonts w:ascii="Times New Roman" w:hAnsi="Times New Roman"/>
          <w:sz w:val="24"/>
          <w:szCs w:val="24"/>
        </w:rPr>
        <w:t xml:space="preserve"> </w:t>
      </w:r>
      <w:r w:rsidR="00AB59CB" w:rsidRPr="008E72B7">
        <w:rPr>
          <w:rFonts w:ascii="Times New Roman" w:hAnsi="Times New Roman"/>
          <w:sz w:val="24"/>
          <w:szCs w:val="24"/>
        </w:rPr>
        <w:t>(</w:t>
      </w:r>
      <w:r w:rsidR="001E2E72" w:rsidRPr="008E72B7">
        <w:rPr>
          <w:rFonts w:ascii="Times New Roman" w:hAnsi="Times New Roman"/>
          <w:sz w:val="24"/>
          <w:szCs w:val="24"/>
        </w:rPr>
        <w:t xml:space="preserve">Table </w:t>
      </w:r>
      <w:r w:rsidR="00E422B3" w:rsidRPr="008E72B7">
        <w:rPr>
          <w:rFonts w:ascii="Times New Roman" w:hAnsi="Times New Roman"/>
          <w:sz w:val="24"/>
          <w:szCs w:val="24"/>
        </w:rPr>
        <w:t>9, Panel A.</w:t>
      </w:r>
      <w:r w:rsidR="00916E9B" w:rsidRPr="008E72B7">
        <w:rPr>
          <w:rFonts w:ascii="Times New Roman" w:hAnsi="Times New Roman"/>
          <w:sz w:val="24"/>
          <w:szCs w:val="24"/>
        </w:rPr>
        <w:t>)</w:t>
      </w:r>
    </w:p>
    <w:p w14:paraId="0473CD70" w14:textId="6B5B4273" w:rsidR="009D7204" w:rsidRPr="008E72B7" w:rsidRDefault="00E422B3" w:rsidP="00402892">
      <w:pPr>
        <w:pStyle w:val="CommentText"/>
        <w:spacing w:after="160" w:line="360" w:lineRule="auto"/>
        <w:ind w:firstLine="720"/>
        <w:contextualSpacing/>
        <w:jc w:val="both"/>
        <w:rPr>
          <w:rFonts w:ascii="Times New Roman" w:hAnsi="Times New Roman"/>
          <w:sz w:val="24"/>
          <w:szCs w:val="24"/>
        </w:rPr>
      </w:pPr>
      <w:r w:rsidRPr="008E72B7">
        <w:rPr>
          <w:rFonts w:ascii="Times New Roman" w:hAnsi="Times New Roman"/>
          <w:sz w:val="24"/>
          <w:szCs w:val="24"/>
        </w:rPr>
        <w:t xml:space="preserve">These </w:t>
      </w:r>
      <w:r w:rsidR="00364998" w:rsidRPr="008E72B7">
        <w:rPr>
          <w:rFonts w:ascii="Times New Roman" w:hAnsi="Times New Roman"/>
          <w:sz w:val="24"/>
          <w:szCs w:val="24"/>
        </w:rPr>
        <w:t xml:space="preserve">effects </w:t>
      </w:r>
      <w:r w:rsidRPr="008E72B7">
        <w:rPr>
          <w:rFonts w:ascii="Times New Roman" w:hAnsi="Times New Roman"/>
          <w:sz w:val="24"/>
          <w:szCs w:val="24"/>
        </w:rPr>
        <w:t xml:space="preserve">are concentrated </w:t>
      </w:r>
      <w:r w:rsidR="00364998" w:rsidRPr="008E72B7">
        <w:rPr>
          <w:rFonts w:ascii="Times New Roman" w:hAnsi="Times New Roman"/>
          <w:sz w:val="24"/>
          <w:szCs w:val="24"/>
        </w:rPr>
        <w:t xml:space="preserve">among applicants to </w:t>
      </w:r>
      <w:r w:rsidRPr="008E72B7">
        <w:rPr>
          <w:rFonts w:ascii="Times New Roman" w:hAnsi="Times New Roman"/>
          <w:sz w:val="24"/>
          <w:szCs w:val="24"/>
        </w:rPr>
        <w:t xml:space="preserve">academic schools. Table 9, Panel B shows the results for academic applicants while panel C shows the results for vocational schools. </w:t>
      </w:r>
    </w:p>
    <w:p w14:paraId="4A54BD81" w14:textId="2CE4718F" w:rsidR="008E0035" w:rsidRPr="008E0035" w:rsidRDefault="00AA4D5F" w:rsidP="00402892">
      <w:pPr>
        <w:pStyle w:val="CommentText"/>
        <w:spacing w:after="160" w:line="360" w:lineRule="auto"/>
        <w:ind w:firstLine="720"/>
        <w:contextualSpacing/>
        <w:jc w:val="both"/>
        <w:rPr>
          <w:rFonts w:ascii="Times New Roman" w:hAnsi="Times New Roman"/>
          <w:color w:val="222222"/>
          <w:sz w:val="24"/>
          <w:szCs w:val="24"/>
        </w:rPr>
      </w:pPr>
      <w:r w:rsidRPr="008E72B7">
        <w:rPr>
          <w:rFonts w:ascii="Times New Roman" w:hAnsi="Times New Roman"/>
          <w:sz w:val="24"/>
          <w:szCs w:val="24"/>
        </w:rPr>
        <w:t xml:space="preserve">The reduction in teen </w:t>
      </w:r>
      <w:r w:rsidR="001E2E72" w:rsidRPr="008E72B7">
        <w:rPr>
          <w:rFonts w:ascii="Times New Roman" w:hAnsi="Times New Roman"/>
          <w:sz w:val="24"/>
          <w:szCs w:val="24"/>
        </w:rPr>
        <w:t>fertility could be the result of a</w:t>
      </w:r>
      <w:r w:rsidR="00AE6652" w:rsidRPr="008E72B7">
        <w:rPr>
          <w:rFonts w:ascii="Times New Roman" w:hAnsi="Times New Roman"/>
          <w:sz w:val="24"/>
          <w:szCs w:val="24"/>
        </w:rPr>
        <w:t>n “incarceration” or</w:t>
      </w:r>
      <w:r w:rsidR="00FF2A4B" w:rsidRPr="008E72B7">
        <w:rPr>
          <w:rFonts w:ascii="Times New Roman" w:hAnsi="Times New Roman"/>
          <w:sz w:val="24"/>
          <w:szCs w:val="24"/>
        </w:rPr>
        <w:t xml:space="preserve"> </w:t>
      </w:r>
      <w:r w:rsidR="001E2E72" w:rsidRPr="008E72B7">
        <w:rPr>
          <w:rFonts w:ascii="Times New Roman" w:hAnsi="Times New Roman"/>
          <w:sz w:val="24"/>
          <w:szCs w:val="24"/>
        </w:rPr>
        <w:t>“</w:t>
      </w:r>
      <w:r w:rsidR="00FF2A4B" w:rsidRPr="008E72B7">
        <w:rPr>
          <w:rFonts w:ascii="Times New Roman" w:hAnsi="Times New Roman"/>
          <w:sz w:val="24"/>
          <w:szCs w:val="24"/>
        </w:rPr>
        <w:t>delay</w:t>
      </w:r>
      <w:r w:rsidR="001E2E72" w:rsidRPr="008E72B7">
        <w:rPr>
          <w:rFonts w:ascii="Times New Roman" w:hAnsi="Times New Roman"/>
          <w:sz w:val="24"/>
          <w:szCs w:val="24"/>
        </w:rPr>
        <w:t xml:space="preserve">” effect by which </w:t>
      </w:r>
      <w:r w:rsidR="00CB751B" w:rsidRPr="008E72B7">
        <w:rPr>
          <w:rFonts w:ascii="Times New Roman" w:hAnsi="Times New Roman"/>
          <w:sz w:val="24"/>
          <w:szCs w:val="24"/>
        </w:rPr>
        <w:t>winners</w:t>
      </w:r>
      <w:r w:rsidR="006367C5" w:rsidRPr="008E72B7">
        <w:rPr>
          <w:rFonts w:ascii="Times New Roman" w:hAnsi="Times New Roman"/>
          <w:sz w:val="24"/>
          <w:szCs w:val="24"/>
        </w:rPr>
        <w:t xml:space="preserve"> </w:t>
      </w:r>
      <w:r w:rsidR="006367C5" w:rsidRPr="008E72B7">
        <w:rPr>
          <w:rFonts w:ascii="Times New Roman" w:hAnsi="Times New Roman"/>
          <w:color w:val="222222"/>
          <w:sz w:val="24"/>
          <w:szCs w:val="24"/>
        </w:rPr>
        <w:t xml:space="preserve">stay in school longer </w:t>
      </w:r>
      <w:r w:rsidR="00B16123" w:rsidRPr="008E72B7">
        <w:rPr>
          <w:rFonts w:ascii="Times New Roman" w:hAnsi="Times New Roman"/>
          <w:color w:val="222222"/>
          <w:sz w:val="24"/>
          <w:szCs w:val="24"/>
        </w:rPr>
        <w:t xml:space="preserve">and </w:t>
      </w:r>
      <w:r w:rsidR="00DB0291" w:rsidRPr="008E72B7">
        <w:rPr>
          <w:rFonts w:ascii="Times New Roman" w:hAnsi="Times New Roman"/>
          <w:color w:val="222222"/>
          <w:sz w:val="24"/>
          <w:szCs w:val="24"/>
        </w:rPr>
        <w:t xml:space="preserve">do </w:t>
      </w:r>
      <w:r w:rsidR="00B16123" w:rsidRPr="008E72B7">
        <w:rPr>
          <w:rFonts w:ascii="Times New Roman" w:hAnsi="Times New Roman"/>
          <w:color w:val="222222"/>
          <w:sz w:val="24"/>
          <w:szCs w:val="24"/>
        </w:rPr>
        <w:t>not</w:t>
      </w:r>
      <w:r w:rsidR="006367C5" w:rsidRPr="008E72B7">
        <w:rPr>
          <w:rFonts w:ascii="Times New Roman" w:hAnsi="Times New Roman"/>
          <w:color w:val="222222"/>
          <w:sz w:val="24"/>
          <w:szCs w:val="24"/>
        </w:rPr>
        <w:t xml:space="preserve"> want to risk losing the scholarship</w:t>
      </w:r>
      <w:r w:rsidR="00720B2E" w:rsidRPr="008E72B7">
        <w:rPr>
          <w:rFonts w:ascii="Times New Roman" w:hAnsi="Times New Roman"/>
          <w:color w:val="222222"/>
          <w:sz w:val="24"/>
          <w:szCs w:val="24"/>
        </w:rPr>
        <w:t>,</w:t>
      </w:r>
      <w:r w:rsidR="006367C5" w:rsidRPr="008E72B7">
        <w:rPr>
          <w:rFonts w:ascii="Times New Roman" w:hAnsi="Times New Roman"/>
          <w:color w:val="222222"/>
          <w:sz w:val="24"/>
          <w:szCs w:val="24"/>
        </w:rPr>
        <w:t xml:space="preserve"> </w:t>
      </w:r>
      <w:r w:rsidR="00E3786F" w:rsidRPr="008E72B7">
        <w:rPr>
          <w:rFonts w:ascii="Times New Roman" w:hAnsi="Times New Roman"/>
          <w:color w:val="222222"/>
          <w:sz w:val="24"/>
          <w:szCs w:val="24"/>
        </w:rPr>
        <w:t>or</w:t>
      </w:r>
      <w:r w:rsidR="006367C5" w:rsidRPr="008E72B7">
        <w:rPr>
          <w:rFonts w:ascii="Times New Roman" w:hAnsi="Times New Roman"/>
          <w:color w:val="222222"/>
          <w:sz w:val="24"/>
          <w:szCs w:val="24"/>
        </w:rPr>
        <w:t xml:space="preserve"> </w:t>
      </w:r>
      <w:r w:rsidR="00B16123" w:rsidRPr="008E72B7">
        <w:rPr>
          <w:rFonts w:ascii="Times New Roman" w:hAnsi="Times New Roman"/>
          <w:color w:val="222222"/>
          <w:sz w:val="24"/>
          <w:szCs w:val="24"/>
        </w:rPr>
        <w:t xml:space="preserve">it could be </w:t>
      </w:r>
      <w:r w:rsidR="006367C5" w:rsidRPr="008E72B7">
        <w:rPr>
          <w:rFonts w:ascii="Times New Roman" w:hAnsi="Times New Roman"/>
          <w:color w:val="222222"/>
          <w:sz w:val="24"/>
          <w:szCs w:val="24"/>
        </w:rPr>
        <w:t>an opportunity cost effect by which additional human capital increases wages</w:t>
      </w:r>
      <w:r w:rsidR="00CB751B" w:rsidRPr="008E72B7">
        <w:rPr>
          <w:rFonts w:ascii="Times New Roman" w:hAnsi="Times New Roman"/>
          <w:color w:val="222222"/>
          <w:sz w:val="24"/>
          <w:szCs w:val="24"/>
        </w:rPr>
        <w:t>,</w:t>
      </w:r>
      <w:r w:rsidR="006367C5" w:rsidRPr="008E72B7">
        <w:rPr>
          <w:rFonts w:ascii="Times New Roman" w:hAnsi="Times New Roman"/>
          <w:color w:val="222222"/>
          <w:sz w:val="24"/>
          <w:szCs w:val="24"/>
        </w:rPr>
        <w:t xml:space="preserve"> making time valuable. </w:t>
      </w:r>
      <w:r w:rsidR="00CB751B" w:rsidRPr="008E72B7">
        <w:rPr>
          <w:rFonts w:ascii="Times New Roman" w:hAnsi="Times New Roman"/>
          <w:color w:val="222222"/>
          <w:sz w:val="24"/>
          <w:szCs w:val="24"/>
        </w:rPr>
        <w:t xml:space="preserve"> </w:t>
      </w:r>
      <w:r w:rsidR="006367C5" w:rsidRPr="008E72B7">
        <w:rPr>
          <w:rFonts w:ascii="Times New Roman" w:hAnsi="Times New Roman"/>
          <w:color w:val="222222"/>
          <w:sz w:val="24"/>
          <w:szCs w:val="24"/>
        </w:rPr>
        <w:t>If “</w:t>
      </w:r>
      <w:r w:rsidR="00FF2A4B" w:rsidRPr="008E72B7">
        <w:rPr>
          <w:rFonts w:ascii="Times New Roman" w:hAnsi="Times New Roman"/>
          <w:color w:val="222222"/>
          <w:sz w:val="24"/>
          <w:szCs w:val="24"/>
        </w:rPr>
        <w:t>delay</w:t>
      </w:r>
      <w:r w:rsidR="006367C5" w:rsidRPr="008E72B7">
        <w:rPr>
          <w:rFonts w:ascii="Times New Roman" w:hAnsi="Times New Roman"/>
          <w:color w:val="222222"/>
          <w:sz w:val="24"/>
          <w:szCs w:val="24"/>
        </w:rPr>
        <w:t xml:space="preserve">” is the driving mechanism, we </w:t>
      </w:r>
      <w:r w:rsidR="00256982" w:rsidRPr="008E72B7">
        <w:rPr>
          <w:rFonts w:ascii="Times New Roman" w:hAnsi="Times New Roman"/>
          <w:color w:val="222222"/>
          <w:sz w:val="24"/>
          <w:szCs w:val="24"/>
        </w:rPr>
        <w:t xml:space="preserve">might </w:t>
      </w:r>
      <w:r w:rsidR="006367C5" w:rsidRPr="008E72B7">
        <w:rPr>
          <w:rFonts w:ascii="Times New Roman" w:hAnsi="Times New Roman"/>
          <w:color w:val="222222"/>
          <w:sz w:val="24"/>
          <w:szCs w:val="24"/>
        </w:rPr>
        <w:t>not observe scholarship impacts on total fertility</w:t>
      </w:r>
      <w:r w:rsidR="00256982" w:rsidRPr="008E72B7">
        <w:rPr>
          <w:rFonts w:ascii="Times New Roman" w:hAnsi="Times New Roman"/>
          <w:color w:val="222222"/>
          <w:sz w:val="24"/>
          <w:szCs w:val="24"/>
        </w:rPr>
        <w:t xml:space="preserve"> because there may be </w:t>
      </w:r>
      <w:r w:rsidR="00773DA7" w:rsidRPr="008E72B7">
        <w:rPr>
          <w:rFonts w:ascii="Times New Roman" w:hAnsi="Times New Roman"/>
          <w:color w:val="222222"/>
          <w:sz w:val="24"/>
          <w:szCs w:val="24"/>
        </w:rPr>
        <w:t>catch up</w:t>
      </w:r>
      <w:r w:rsidR="00256982" w:rsidRPr="008E72B7">
        <w:rPr>
          <w:rFonts w:ascii="Times New Roman" w:hAnsi="Times New Roman"/>
          <w:color w:val="222222"/>
          <w:sz w:val="24"/>
          <w:szCs w:val="24"/>
        </w:rPr>
        <w:t xml:space="preserve"> fertility once schooling is completed</w:t>
      </w:r>
      <w:r w:rsidR="006367C5" w:rsidRPr="008E72B7">
        <w:rPr>
          <w:rFonts w:ascii="Times New Roman" w:hAnsi="Times New Roman"/>
          <w:color w:val="222222"/>
          <w:sz w:val="24"/>
          <w:szCs w:val="24"/>
        </w:rPr>
        <w:t xml:space="preserve">.  </w:t>
      </w:r>
      <w:r w:rsidR="00256982" w:rsidRPr="008E72B7">
        <w:rPr>
          <w:rFonts w:ascii="Times New Roman" w:hAnsi="Times New Roman"/>
          <w:color w:val="222222"/>
          <w:sz w:val="24"/>
          <w:szCs w:val="24"/>
        </w:rPr>
        <w:t xml:space="preserve">In </w:t>
      </w:r>
      <w:r w:rsidR="006367C5" w:rsidRPr="008E72B7">
        <w:rPr>
          <w:rFonts w:ascii="Times New Roman" w:hAnsi="Times New Roman"/>
          <w:color w:val="222222"/>
          <w:sz w:val="24"/>
          <w:szCs w:val="24"/>
        </w:rPr>
        <w:t>contrast, if the driving mechanism</w:t>
      </w:r>
      <w:r w:rsidR="009F43A8" w:rsidRPr="008E72B7">
        <w:rPr>
          <w:rFonts w:ascii="Times New Roman" w:hAnsi="Times New Roman"/>
          <w:color w:val="222222"/>
          <w:sz w:val="24"/>
          <w:szCs w:val="24"/>
        </w:rPr>
        <w:t xml:space="preserve"> </w:t>
      </w:r>
      <w:r w:rsidR="006367C5" w:rsidRPr="008E72B7">
        <w:rPr>
          <w:rFonts w:ascii="Times New Roman" w:hAnsi="Times New Roman"/>
          <w:color w:val="222222"/>
          <w:sz w:val="24"/>
          <w:szCs w:val="24"/>
        </w:rPr>
        <w:t xml:space="preserve">is opportunity cost, we should observe an effect on total </w:t>
      </w:r>
      <w:r w:rsidR="006367C5" w:rsidRPr="004D1397">
        <w:rPr>
          <w:rFonts w:ascii="Times New Roman" w:hAnsi="Times New Roman"/>
          <w:color w:val="222222"/>
          <w:sz w:val="24"/>
          <w:szCs w:val="24"/>
        </w:rPr>
        <w:t>fertility.</w:t>
      </w:r>
    </w:p>
    <w:p w14:paraId="6B9DA49B" w14:textId="08EEE3D8" w:rsidR="004735E7" w:rsidRPr="00166607" w:rsidRDefault="009F43A8" w:rsidP="00402892">
      <w:pPr>
        <w:pStyle w:val="CommentText"/>
        <w:spacing w:after="160" w:line="360" w:lineRule="auto"/>
        <w:ind w:firstLine="720"/>
        <w:contextualSpacing/>
        <w:jc w:val="both"/>
      </w:pPr>
      <w:r w:rsidRPr="004D1397">
        <w:rPr>
          <w:rFonts w:ascii="Times New Roman" w:hAnsi="Times New Roman"/>
          <w:sz w:val="24"/>
          <w:szCs w:val="24"/>
        </w:rPr>
        <w:t xml:space="preserve">We find no evidence that winning a scholarship </w:t>
      </w:r>
      <w:r w:rsidR="00AE6652" w:rsidRPr="004D1397">
        <w:rPr>
          <w:rFonts w:ascii="Times New Roman" w:hAnsi="Times New Roman"/>
          <w:sz w:val="24"/>
          <w:szCs w:val="24"/>
        </w:rPr>
        <w:t xml:space="preserve">changed </w:t>
      </w:r>
      <w:r w:rsidRPr="004D1397">
        <w:rPr>
          <w:rFonts w:ascii="Times New Roman" w:hAnsi="Times New Roman"/>
          <w:sz w:val="24"/>
          <w:szCs w:val="24"/>
        </w:rPr>
        <w:t>total fertility</w:t>
      </w:r>
      <w:r w:rsidR="00B26937">
        <w:rPr>
          <w:rFonts w:ascii="Times New Roman" w:hAnsi="Times New Roman"/>
          <w:sz w:val="24"/>
          <w:szCs w:val="24"/>
        </w:rPr>
        <w:t>, although since our effects conditional on appearance in SISBEN are lower bounds, one should not conclude that there was no effect on fertility</w:t>
      </w:r>
      <w:r w:rsidR="00402892">
        <w:rPr>
          <w:rFonts w:ascii="Times New Roman" w:hAnsi="Times New Roman"/>
          <w:sz w:val="24"/>
          <w:szCs w:val="24"/>
        </w:rPr>
        <w:t>.</w:t>
      </w:r>
      <w:r w:rsidRPr="004D1397">
        <w:rPr>
          <w:rFonts w:ascii="Times New Roman" w:hAnsi="Times New Roman"/>
          <w:sz w:val="24"/>
          <w:szCs w:val="24"/>
        </w:rPr>
        <w:t xml:space="preserve">  </w:t>
      </w:r>
      <w:r w:rsidR="00AE31A4" w:rsidRPr="004D1397">
        <w:rPr>
          <w:rFonts w:ascii="Times New Roman" w:hAnsi="Times New Roman"/>
          <w:sz w:val="24"/>
          <w:szCs w:val="24"/>
        </w:rPr>
        <w:t>At the time of SISBEN 2010, in which a</w:t>
      </w:r>
      <w:r w:rsidR="0052599E" w:rsidRPr="004D1397">
        <w:rPr>
          <w:rFonts w:ascii="Times New Roman" w:hAnsi="Times New Roman"/>
          <w:sz w:val="24"/>
          <w:szCs w:val="24"/>
        </w:rPr>
        <w:t>pplicants are about twenty-eight</w:t>
      </w:r>
      <w:r w:rsidR="00AE31A4" w:rsidRPr="004D1397">
        <w:rPr>
          <w:rFonts w:ascii="Times New Roman" w:hAnsi="Times New Roman"/>
          <w:sz w:val="24"/>
          <w:szCs w:val="24"/>
        </w:rPr>
        <w:t xml:space="preserve"> years old, the average </w:t>
      </w:r>
      <w:r w:rsidR="00A40FB1" w:rsidRPr="004D1397">
        <w:rPr>
          <w:rFonts w:ascii="Times New Roman" w:hAnsi="Times New Roman"/>
          <w:sz w:val="24"/>
          <w:szCs w:val="24"/>
        </w:rPr>
        <w:t>scholarship lottery loser</w:t>
      </w:r>
      <w:r w:rsidR="00AE31A4" w:rsidRPr="004D1397">
        <w:rPr>
          <w:rFonts w:ascii="Times New Roman" w:hAnsi="Times New Roman"/>
          <w:sz w:val="24"/>
          <w:szCs w:val="24"/>
        </w:rPr>
        <w:t xml:space="preserve"> has one child.  Estimates on winning a scholarship are small and statistically insignificant although fairly precisely estimated.  We also do not find any evidence of scholarship effects on total fertility when we examine the probability of have at least one, two or three children. </w:t>
      </w:r>
      <w:r w:rsidR="008A7881" w:rsidRPr="004D1397">
        <w:rPr>
          <w:rFonts w:ascii="Times New Roman" w:hAnsi="Times New Roman"/>
          <w:sz w:val="24"/>
          <w:szCs w:val="24"/>
        </w:rPr>
        <w:t xml:space="preserve"> This</w:t>
      </w:r>
      <w:r w:rsidR="00CB751B" w:rsidRPr="004D1397">
        <w:rPr>
          <w:rFonts w:ascii="Times New Roman" w:hAnsi="Times New Roman"/>
          <w:sz w:val="24"/>
          <w:szCs w:val="24"/>
        </w:rPr>
        <w:t xml:space="preserve"> pattern of results is consistent with the “</w:t>
      </w:r>
      <w:r w:rsidR="00AF2A02" w:rsidRPr="004D1397">
        <w:rPr>
          <w:rFonts w:ascii="Times New Roman" w:hAnsi="Times New Roman"/>
          <w:sz w:val="24"/>
          <w:szCs w:val="24"/>
        </w:rPr>
        <w:t>delay</w:t>
      </w:r>
      <w:r w:rsidR="00CB751B" w:rsidRPr="004D1397">
        <w:rPr>
          <w:rFonts w:ascii="Times New Roman" w:hAnsi="Times New Roman"/>
          <w:sz w:val="24"/>
          <w:szCs w:val="24"/>
        </w:rPr>
        <w:t xml:space="preserve">” hypothesis by which </w:t>
      </w:r>
      <w:r w:rsidR="008A7881" w:rsidRPr="004D1397">
        <w:rPr>
          <w:rFonts w:ascii="Times New Roman" w:hAnsi="Times New Roman"/>
          <w:sz w:val="24"/>
          <w:szCs w:val="24"/>
        </w:rPr>
        <w:t>winning a scholarship</w:t>
      </w:r>
      <w:r w:rsidR="008A0BD2" w:rsidRPr="004D1397">
        <w:rPr>
          <w:rFonts w:ascii="Times New Roman" w:hAnsi="Times New Roman"/>
          <w:sz w:val="24"/>
          <w:szCs w:val="24"/>
        </w:rPr>
        <w:t xml:space="preserve"> keeps</w:t>
      </w:r>
      <w:r w:rsidR="008A7881" w:rsidRPr="004D1397">
        <w:rPr>
          <w:rFonts w:ascii="Times New Roman" w:hAnsi="Times New Roman"/>
          <w:sz w:val="24"/>
          <w:szCs w:val="24"/>
        </w:rPr>
        <w:t xml:space="preserve"> </w:t>
      </w:r>
      <w:r w:rsidR="008A0BD2" w:rsidRPr="004D1397">
        <w:rPr>
          <w:rFonts w:ascii="Times New Roman" w:hAnsi="Times New Roman"/>
          <w:sz w:val="24"/>
          <w:szCs w:val="24"/>
        </w:rPr>
        <w:t xml:space="preserve">a student </w:t>
      </w:r>
      <w:r w:rsidR="008A7881" w:rsidRPr="004D1397">
        <w:rPr>
          <w:rFonts w:ascii="Times New Roman" w:hAnsi="Times New Roman"/>
          <w:sz w:val="24"/>
          <w:szCs w:val="24"/>
        </w:rPr>
        <w:t>in school longer w</w:t>
      </w:r>
      <w:r w:rsidR="008A0BD2" w:rsidRPr="004D1397">
        <w:rPr>
          <w:rFonts w:ascii="Times New Roman" w:hAnsi="Times New Roman"/>
          <w:sz w:val="24"/>
          <w:szCs w:val="24"/>
        </w:rPr>
        <w:t>ithout necessarily affecting her</w:t>
      </w:r>
      <w:r w:rsidR="008A7881" w:rsidRPr="004D1397">
        <w:rPr>
          <w:rFonts w:ascii="Times New Roman" w:hAnsi="Times New Roman"/>
          <w:sz w:val="24"/>
          <w:szCs w:val="24"/>
        </w:rPr>
        <w:t xml:space="preserve"> opportunity cost of time. </w:t>
      </w:r>
      <w:r w:rsidR="00E201EB" w:rsidRPr="004D1397">
        <w:rPr>
          <w:rFonts w:ascii="Times New Roman" w:hAnsi="Times New Roman"/>
          <w:sz w:val="24"/>
          <w:szCs w:val="24"/>
        </w:rPr>
        <w:t xml:space="preserve"> </w:t>
      </w:r>
      <w:r w:rsidR="00B26937">
        <w:rPr>
          <w:rFonts w:ascii="Times New Roman" w:hAnsi="Times New Roman"/>
          <w:sz w:val="24"/>
          <w:szCs w:val="24"/>
        </w:rPr>
        <w:t xml:space="preserve">In addition to the caveat on bounds discussed above, another </w:t>
      </w:r>
      <w:r w:rsidR="00E201EB" w:rsidRPr="004D1397">
        <w:rPr>
          <w:rFonts w:ascii="Times New Roman" w:hAnsi="Times New Roman"/>
          <w:sz w:val="24"/>
          <w:szCs w:val="24"/>
        </w:rPr>
        <w:t xml:space="preserve">caveat to this finding is that </w:t>
      </w:r>
      <w:r w:rsidR="00E201EB" w:rsidRPr="004D1397">
        <w:rPr>
          <w:rFonts w:ascii="Times New Roman" w:eastAsia="Times New Roman" w:hAnsi="Times New Roman"/>
          <w:sz w:val="24"/>
          <w:szCs w:val="24"/>
          <w:shd w:val="clear" w:color="auto" w:fill="FFFFFF"/>
        </w:rPr>
        <w:t xml:space="preserve">impacts on total fertility </w:t>
      </w:r>
      <w:r w:rsidR="00285404" w:rsidRPr="004D1397">
        <w:rPr>
          <w:rFonts w:ascii="Times New Roman" w:eastAsia="Times New Roman" w:hAnsi="Times New Roman"/>
          <w:sz w:val="24"/>
          <w:szCs w:val="24"/>
          <w:shd w:val="clear" w:color="auto" w:fill="FFFFFF"/>
        </w:rPr>
        <w:t xml:space="preserve">may </w:t>
      </w:r>
      <w:r w:rsidR="00E201EB" w:rsidRPr="004D1397">
        <w:rPr>
          <w:rFonts w:ascii="Times New Roman" w:eastAsia="Times New Roman" w:hAnsi="Times New Roman"/>
          <w:sz w:val="24"/>
          <w:szCs w:val="24"/>
          <w:shd w:val="clear" w:color="auto" w:fill="FFFFFF"/>
        </w:rPr>
        <w:t xml:space="preserve">show up later in the potential childbearing years, so fertility gaps may </w:t>
      </w:r>
      <w:r w:rsidR="00285404" w:rsidRPr="004D1397">
        <w:rPr>
          <w:rFonts w:ascii="Times New Roman" w:eastAsia="Times New Roman" w:hAnsi="Times New Roman"/>
          <w:sz w:val="24"/>
          <w:szCs w:val="24"/>
          <w:shd w:val="clear" w:color="auto" w:fill="FFFFFF"/>
        </w:rPr>
        <w:t>appear later</w:t>
      </w:r>
      <w:r w:rsidR="00E201EB" w:rsidRPr="004D1397">
        <w:rPr>
          <w:rFonts w:ascii="Times New Roman" w:eastAsia="Times New Roman" w:hAnsi="Times New Roman"/>
          <w:sz w:val="24"/>
          <w:szCs w:val="24"/>
          <w:shd w:val="clear" w:color="auto" w:fill="FFFFFF"/>
        </w:rPr>
        <w:t xml:space="preserve">. </w:t>
      </w:r>
    </w:p>
    <w:p w14:paraId="60C89494" w14:textId="1C508075" w:rsidR="00AF08D2" w:rsidRPr="00166607" w:rsidRDefault="00370370" w:rsidP="00402892">
      <w:pPr>
        <w:pStyle w:val="ListParagraph"/>
        <w:numPr>
          <w:ilvl w:val="0"/>
          <w:numId w:val="3"/>
        </w:numPr>
        <w:spacing w:after="160" w:line="360" w:lineRule="auto"/>
        <w:ind w:left="720" w:hanging="720"/>
        <w:outlineLvl w:val="0"/>
        <w:rPr>
          <w:rFonts w:ascii="Times New Roman" w:hAnsi="Times New Roman"/>
          <w:b/>
          <w:sz w:val="28"/>
          <w:szCs w:val="28"/>
        </w:rPr>
      </w:pPr>
      <w:r w:rsidRPr="00166607">
        <w:rPr>
          <w:rFonts w:ascii="Times New Roman" w:hAnsi="Times New Roman"/>
          <w:b/>
          <w:sz w:val="28"/>
          <w:szCs w:val="28"/>
        </w:rPr>
        <w:lastRenderedPageBreak/>
        <w:t>Welfare Impacts</w:t>
      </w:r>
    </w:p>
    <w:p w14:paraId="3D0872FE" w14:textId="03B5392F" w:rsidR="00804DDA" w:rsidRPr="00166607" w:rsidRDefault="00804DDA" w:rsidP="00402892">
      <w:pPr>
        <w:pStyle w:val="CommentText"/>
        <w:spacing w:after="160" w:line="360" w:lineRule="auto"/>
        <w:ind w:firstLine="720"/>
        <w:jc w:val="both"/>
        <w:rPr>
          <w:rFonts w:ascii="Times New Roman" w:hAnsi="Times New Roman"/>
          <w:sz w:val="24"/>
          <w:szCs w:val="24"/>
        </w:rPr>
      </w:pPr>
      <w:r w:rsidRPr="00166607">
        <w:rPr>
          <w:rFonts w:ascii="Times New Roman" w:hAnsi="Times New Roman"/>
          <w:sz w:val="24"/>
          <w:szCs w:val="24"/>
        </w:rPr>
        <w:t>In this section we quantify</w:t>
      </w:r>
      <w:r w:rsidR="00370370" w:rsidRPr="00166607">
        <w:rPr>
          <w:rFonts w:ascii="Times New Roman" w:hAnsi="Times New Roman"/>
          <w:sz w:val="24"/>
          <w:szCs w:val="24"/>
        </w:rPr>
        <w:t xml:space="preserve"> the program’s welfare impacts.  Welfare impacts are the sum of: i) </w:t>
      </w:r>
      <w:r w:rsidRPr="00166607">
        <w:rPr>
          <w:rFonts w:ascii="Times New Roman" w:hAnsi="Times New Roman"/>
          <w:sz w:val="24"/>
          <w:szCs w:val="24"/>
        </w:rPr>
        <w:t>impact</w:t>
      </w:r>
      <w:r w:rsidR="00370370" w:rsidRPr="00166607">
        <w:rPr>
          <w:rFonts w:ascii="Times New Roman" w:hAnsi="Times New Roman"/>
          <w:sz w:val="24"/>
          <w:szCs w:val="24"/>
        </w:rPr>
        <w:t xml:space="preserve">s on taxpayers (subsection </w:t>
      </w:r>
      <w:r w:rsidR="004D4484" w:rsidRPr="00166607">
        <w:rPr>
          <w:rFonts w:ascii="Times New Roman" w:hAnsi="Times New Roman"/>
          <w:sz w:val="24"/>
          <w:szCs w:val="24"/>
        </w:rPr>
        <w:t>7</w:t>
      </w:r>
      <w:r w:rsidR="00370370" w:rsidRPr="00166607">
        <w:rPr>
          <w:rFonts w:ascii="Times New Roman" w:hAnsi="Times New Roman"/>
          <w:sz w:val="24"/>
          <w:szCs w:val="24"/>
        </w:rPr>
        <w:t>.1),</w:t>
      </w:r>
      <w:r w:rsidR="00370370" w:rsidRPr="00166607">
        <w:rPr>
          <w:rStyle w:val="FootnoteReference"/>
          <w:rFonts w:ascii="Times New Roman" w:hAnsi="Times New Roman"/>
          <w:sz w:val="24"/>
          <w:szCs w:val="24"/>
        </w:rPr>
        <w:footnoteReference w:id="25"/>
      </w:r>
      <w:r w:rsidR="00370370" w:rsidRPr="00166607">
        <w:rPr>
          <w:rFonts w:ascii="Times New Roman" w:hAnsi="Times New Roman"/>
          <w:sz w:val="24"/>
          <w:szCs w:val="24"/>
        </w:rPr>
        <w:t xml:space="preserve"> ii) impacts on scholarship recipients</w:t>
      </w:r>
      <w:r w:rsidR="00FA48CC" w:rsidRPr="00166607">
        <w:rPr>
          <w:rFonts w:ascii="Times New Roman" w:hAnsi="Times New Roman"/>
          <w:sz w:val="24"/>
          <w:szCs w:val="24"/>
        </w:rPr>
        <w:t xml:space="preserve"> (subsection </w:t>
      </w:r>
      <w:r w:rsidR="004D4484" w:rsidRPr="008233C3">
        <w:rPr>
          <w:rFonts w:ascii="Times New Roman" w:hAnsi="Times New Roman"/>
          <w:sz w:val="24"/>
          <w:szCs w:val="24"/>
        </w:rPr>
        <w:t>7</w:t>
      </w:r>
      <w:r w:rsidR="00FA48CC" w:rsidRPr="00166607">
        <w:rPr>
          <w:rFonts w:ascii="Times New Roman" w:hAnsi="Times New Roman"/>
          <w:sz w:val="24"/>
          <w:szCs w:val="24"/>
        </w:rPr>
        <w:t>.2)</w:t>
      </w:r>
      <w:r w:rsidR="00370370" w:rsidRPr="00166607">
        <w:rPr>
          <w:rFonts w:ascii="Times New Roman" w:hAnsi="Times New Roman"/>
          <w:sz w:val="24"/>
          <w:szCs w:val="24"/>
        </w:rPr>
        <w:t>, a</w:t>
      </w:r>
      <w:r w:rsidR="00FA48CC" w:rsidRPr="00166607">
        <w:rPr>
          <w:rFonts w:ascii="Times New Roman" w:hAnsi="Times New Roman"/>
          <w:sz w:val="24"/>
          <w:szCs w:val="24"/>
        </w:rPr>
        <w:t>nd iii) externality impacts on others.  We are not able to identify e</w:t>
      </w:r>
      <w:r w:rsidR="001D1D96" w:rsidRPr="00166607">
        <w:rPr>
          <w:rFonts w:ascii="Times New Roman" w:hAnsi="Times New Roman"/>
          <w:sz w:val="24"/>
          <w:szCs w:val="24"/>
        </w:rPr>
        <w:t>xternality impacts on others;</w:t>
      </w:r>
      <w:r w:rsidR="00FA48CC" w:rsidRPr="00166607">
        <w:rPr>
          <w:rFonts w:ascii="Times New Roman" w:hAnsi="Times New Roman"/>
          <w:sz w:val="24"/>
          <w:szCs w:val="24"/>
        </w:rPr>
        <w:t xml:space="preserve"> in subsection </w:t>
      </w:r>
      <w:r w:rsidR="00CA7300" w:rsidRPr="00166607">
        <w:rPr>
          <w:rFonts w:ascii="Times New Roman" w:hAnsi="Times New Roman"/>
          <w:sz w:val="24"/>
          <w:szCs w:val="24"/>
        </w:rPr>
        <w:t>7</w:t>
      </w:r>
      <w:r w:rsidR="00FA48CC" w:rsidRPr="00166607">
        <w:rPr>
          <w:rFonts w:ascii="Times New Roman" w:hAnsi="Times New Roman"/>
          <w:sz w:val="24"/>
          <w:szCs w:val="24"/>
        </w:rPr>
        <w:t>.3</w:t>
      </w:r>
      <w:r w:rsidR="001D1D96" w:rsidRPr="00166607">
        <w:rPr>
          <w:rFonts w:ascii="Times New Roman" w:hAnsi="Times New Roman"/>
          <w:sz w:val="24"/>
          <w:szCs w:val="24"/>
        </w:rPr>
        <w:t>, however, we estimate</w:t>
      </w:r>
      <w:r w:rsidR="00FA48CC" w:rsidRPr="00166607">
        <w:rPr>
          <w:rFonts w:ascii="Times New Roman" w:hAnsi="Times New Roman"/>
          <w:sz w:val="24"/>
          <w:szCs w:val="24"/>
        </w:rPr>
        <w:t xml:space="preserve"> how large </w:t>
      </w:r>
      <w:r w:rsidR="008E2C55" w:rsidRPr="00166607">
        <w:rPr>
          <w:rFonts w:ascii="Times New Roman" w:hAnsi="Times New Roman"/>
          <w:sz w:val="24"/>
          <w:szCs w:val="24"/>
        </w:rPr>
        <w:t xml:space="preserve">net negative </w:t>
      </w:r>
      <w:r w:rsidR="001D1D96" w:rsidRPr="00166607">
        <w:rPr>
          <w:rFonts w:ascii="Times New Roman" w:hAnsi="Times New Roman"/>
          <w:sz w:val="24"/>
          <w:szCs w:val="24"/>
        </w:rPr>
        <w:t xml:space="preserve">externalities </w:t>
      </w:r>
      <w:r w:rsidR="00FA48CC" w:rsidRPr="00166607">
        <w:rPr>
          <w:rFonts w:ascii="Times New Roman" w:hAnsi="Times New Roman"/>
          <w:sz w:val="24"/>
          <w:szCs w:val="24"/>
        </w:rPr>
        <w:t>would need to be to imply that the program is not welfare improving to society.</w:t>
      </w:r>
      <w:r w:rsidR="004349D1" w:rsidRPr="00166607">
        <w:rPr>
          <w:rStyle w:val="FootnoteReference"/>
          <w:rFonts w:ascii="Times New Roman" w:eastAsia="Times New Roman" w:hAnsi="Times New Roman"/>
          <w:color w:val="000000"/>
          <w:sz w:val="24"/>
          <w:szCs w:val="24"/>
        </w:rPr>
        <w:footnoteReference w:id="26"/>
      </w:r>
      <w:r w:rsidR="002C716E" w:rsidRPr="00166607">
        <w:rPr>
          <w:rFonts w:ascii="Times New Roman" w:hAnsi="Times New Roman"/>
          <w:sz w:val="24"/>
          <w:szCs w:val="24"/>
        </w:rPr>
        <w:t xml:space="preserve"> We quantify welfare impacts in the full sample of applicants and separately by </w:t>
      </w:r>
      <w:r w:rsidR="00246F1D">
        <w:rPr>
          <w:rFonts w:ascii="Times New Roman" w:hAnsi="Times New Roman"/>
          <w:sz w:val="24"/>
          <w:szCs w:val="24"/>
        </w:rPr>
        <w:t xml:space="preserve">applicants to </w:t>
      </w:r>
      <w:r w:rsidR="005E58DC" w:rsidRPr="008233C3">
        <w:rPr>
          <w:rFonts w:ascii="Times New Roman" w:hAnsi="Times New Roman"/>
          <w:sz w:val="24"/>
          <w:szCs w:val="24"/>
        </w:rPr>
        <w:t xml:space="preserve">academic and vocational </w:t>
      </w:r>
      <w:r w:rsidR="00116308" w:rsidRPr="008233C3">
        <w:rPr>
          <w:rFonts w:ascii="Times New Roman" w:hAnsi="Times New Roman"/>
          <w:sz w:val="24"/>
          <w:szCs w:val="24"/>
        </w:rPr>
        <w:t>school</w:t>
      </w:r>
      <w:r w:rsidR="00116308">
        <w:rPr>
          <w:rFonts w:ascii="Times New Roman" w:hAnsi="Times New Roman"/>
          <w:sz w:val="24"/>
          <w:szCs w:val="24"/>
        </w:rPr>
        <w:t>s</w:t>
      </w:r>
      <w:r w:rsidR="00116308" w:rsidRPr="00166607">
        <w:rPr>
          <w:rFonts w:ascii="Times New Roman" w:hAnsi="Times New Roman"/>
          <w:sz w:val="24"/>
          <w:szCs w:val="24"/>
        </w:rPr>
        <w:t xml:space="preserve"> </w:t>
      </w:r>
      <w:r w:rsidR="002C716E" w:rsidRPr="00166607">
        <w:rPr>
          <w:rFonts w:ascii="Times New Roman" w:hAnsi="Times New Roman"/>
          <w:sz w:val="24"/>
          <w:szCs w:val="24"/>
        </w:rPr>
        <w:t xml:space="preserve">and compute bootstrap confidence intervals for costs and benefits. </w:t>
      </w:r>
      <w:r w:rsidRPr="00166607">
        <w:rPr>
          <w:rFonts w:ascii="Times New Roman" w:hAnsi="Times New Roman"/>
          <w:sz w:val="24"/>
          <w:szCs w:val="24"/>
        </w:rPr>
        <w:t xml:space="preserve"> </w:t>
      </w:r>
    </w:p>
    <w:p w14:paraId="08305889" w14:textId="50D5AA65" w:rsidR="00804DDA" w:rsidRPr="00166607" w:rsidRDefault="00ED0F31" w:rsidP="00402892">
      <w:pPr>
        <w:pStyle w:val="CommentText"/>
        <w:keepNext/>
        <w:spacing w:after="160" w:line="360" w:lineRule="auto"/>
        <w:contextualSpacing/>
        <w:rPr>
          <w:rFonts w:ascii="Times New Roman" w:hAnsi="Times New Roman"/>
          <w:b/>
          <w:i/>
          <w:sz w:val="24"/>
          <w:szCs w:val="24"/>
        </w:rPr>
      </w:pPr>
      <w:r w:rsidRPr="00166607">
        <w:rPr>
          <w:rFonts w:ascii="Times New Roman" w:hAnsi="Times New Roman"/>
          <w:b/>
          <w:i/>
          <w:sz w:val="24"/>
          <w:szCs w:val="24"/>
        </w:rPr>
        <w:t>7</w:t>
      </w:r>
      <w:r w:rsidR="00804DDA" w:rsidRPr="00166607">
        <w:rPr>
          <w:rFonts w:ascii="Times New Roman" w:hAnsi="Times New Roman"/>
          <w:b/>
          <w:i/>
          <w:sz w:val="24"/>
          <w:szCs w:val="24"/>
        </w:rPr>
        <w:t>.1 Costs</w:t>
      </w:r>
      <w:r w:rsidR="001D1D96" w:rsidRPr="00166607">
        <w:rPr>
          <w:rFonts w:ascii="Times New Roman" w:hAnsi="Times New Roman"/>
          <w:b/>
          <w:i/>
          <w:sz w:val="24"/>
          <w:szCs w:val="24"/>
        </w:rPr>
        <w:t xml:space="preserve"> and benefits to taxpayers</w:t>
      </w:r>
    </w:p>
    <w:p w14:paraId="41C14694" w14:textId="6D0FA24B" w:rsidR="00804DDA" w:rsidRPr="008233C3" w:rsidRDefault="003D197D" w:rsidP="00402892">
      <w:pPr>
        <w:pStyle w:val="CommentText"/>
        <w:spacing w:after="160" w:line="360" w:lineRule="auto"/>
        <w:ind w:firstLine="720"/>
        <w:contextualSpacing/>
        <w:jc w:val="both"/>
        <w:rPr>
          <w:rFonts w:ascii="Times New Roman" w:hAnsi="Times New Roman"/>
          <w:sz w:val="24"/>
          <w:szCs w:val="24"/>
        </w:rPr>
      </w:pPr>
      <w:r w:rsidRPr="00166607">
        <w:rPr>
          <w:rFonts w:ascii="Times New Roman" w:hAnsi="Times New Roman"/>
          <w:sz w:val="24"/>
        </w:rPr>
        <w:t>We calculate</w:t>
      </w:r>
      <w:r w:rsidR="00804DDA" w:rsidRPr="00166607">
        <w:rPr>
          <w:rFonts w:ascii="Times New Roman" w:hAnsi="Times New Roman"/>
          <w:sz w:val="24"/>
        </w:rPr>
        <w:t xml:space="preserve"> f</w:t>
      </w:r>
      <w:r w:rsidR="00553C00" w:rsidRPr="00166607">
        <w:rPr>
          <w:rFonts w:ascii="Times New Roman" w:hAnsi="Times New Roman"/>
          <w:sz w:val="24"/>
        </w:rPr>
        <w:t>ive</w:t>
      </w:r>
      <w:r w:rsidR="00804DDA" w:rsidRPr="00166607">
        <w:rPr>
          <w:rFonts w:ascii="Times New Roman" w:hAnsi="Times New Roman"/>
          <w:sz w:val="24"/>
        </w:rPr>
        <w:t xml:space="preserve"> cost sources for the government: scholarship costs net of savings from reduced expenditure on public education, </w:t>
      </w:r>
      <w:r w:rsidR="00804DDA" w:rsidRPr="00166607">
        <w:rPr>
          <w:rFonts w:ascii="Times New Roman" w:hAnsi="Times New Roman"/>
          <w:sz w:val="24"/>
          <w:szCs w:val="24"/>
        </w:rPr>
        <w:t xml:space="preserve">cost-savings from reduced secondary school grade repetition, increased tertiary education costs, </w:t>
      </w:r>
      <w:r w:rsidRPr="00166607">
        <w:rPr>
          <w:rFonts w:ascii="Times New Roman" w:hAnsi="Times New Roman"/>
          <w:sz w:val="24"/>
          <w:szCs w:val="24"/>
        </w:rPr>
        <w:t>benefit</w:t>
      </w:r>
      <w:r w:rsidR="00A341F3" w:rsidRPr="00166607">
        <w:rPr>
          <w:rFonts w:ascii="Times New Roman" w:hAnsi="Times New Roman"/>
          <w:sz w:val="24"/>
          <w:szCs w:val="24"/>
        </w:rPr>
        <w:t xml:space="preserve"> costs, </w:t>
      </w:r>
      <w:r w:rsidR="00804DDA" w:rsidRPr="00166607">
        <w:rPr>
          <w:rFonts w:ascii="Times New Roman" w:hAnsi="Times New Roman"/>
          <w:sz w:val="24"/>
          <w:szCs w:val="24"/>
        </w:rPr>
        <w:t>and foregone tax revenues due to reduced work time among scholarship winners to the extent that they spend more time in school.</w:t>
      </w:r>
      <w:r w:rsidR="00804DDA" w:rsidRPr="00166607">
        <w:rPr>
          <w:rStyle w:val="FootnoteReference"/>
          <w:sz w:val="24"/>
          <w:szCs w:val="24"/>
        </w:rPr>
        <w:footnoteReference w:id="27"/>
      </w:r>
      <w:r w:rsidR="00804DDA" w:rsidRPr="00166607">
        <w:rPr>
          <w:rFonts w:ascii="Times New Roman" w:hAnsi="Times New Roman"/>
          <w:sz w:val="24"/>
          <w:szCs w:val="24"/>
        </w:rPr>
        <w:t xml:space="preserve"> </w:t>
      </w:r>
      <w:r w:rsidR="00804DDA" w:rsidRPr="00166607">
        <w:rPr>
          <w:rStyle w:val="FootnoteReference"/>
          <w:sz w:val="24"/>
          <w:szCs w:val="24"/>
        </w:rPr>
        <w:footnoteReference w:id="28"/>
      </w:r>
      <w:r w:rsidR="00804DDA" w:rsidRPr="00166607">
        <w:rPr>
          <w:rFonts w:ascii="Times New Roman" w:hAnsi="Times New Roman"/>
          <w:sz w:val="24"/>
          <w:szCs w:val="24"/>
        </w:rPr>
        <w:t xml:space="preserve">  </w:t>
      </w:r>
      <w:r w:rsidR="00804DDA" w:rsidRPr="00166607">
        <w:rPr>
          <w:rFonts w:ascii="Times New Roman" w:eastAsia="Times New Roman" w:hAnsi="Times New Roman"/>
          <w:color w:val="000000"/>
          <w:sz w:val="24"/>
          <w:szCs w:val="24"/>
        </w:rPr>
        <w:t xml:space="preserve"> </w:t>
      </w:r>
    </w:p>
    <w:p w14:paraId="3E4271C2" w14:textId="6906B1A7" w:rsidR="00E626F5" w:rsidRPr="00166607" w:rsidRDefault="006E4EAE" w:rsidP="00402892">
      <w:pPr>
        <w:pStyle w:val="CommentText"/>
        <w:spacing w:after="160" w:line="360" w:lineRule="auto"/>
        <w:rPr>
          <w:rFonts w:ascii="Times New Roman" w:hAnsi="Times New Roman"/>
          <w:b/>
          <w:sz w:val="24"/>
        </w:rPr>
      </w:pPr>
      <w:r w:rsidRPr="00166607">
        <w:rPr>
          <w:rFonts w:ascii="Times New Roman" w:hAnsi="Times New Roman"/>
          <w:b/>
          <w:sz w:val="24"/>
        </w:rPr>
        <w:lastRenderedPageBreak/>
        <w:t>7</w:t>
      </w:r>
      <w:r w:rsidR="00E626F5" w:rsidRPr="00166607">
        <w:rPr>
          <w:rFonts w:ascii="Times New Roman" w:hAnsi="Times New Roman"/>
          <w:b/>
          <w:sz w:val="24"/>
        </w:rPr>
        <w:t xml:space="preserve">.1.a. </w:t>
      </w:r>
      <w:r w:rsidR="00DB4993" w:rsidRPr="00166607">
        <w:rPr>
          <w:rFonts w:ascii="Times New Roman" w:hAnsi="Times New Roman"/>
          <w:b/>
          <w:sz w:val="24"/>
        </w:rPr>
        <w:t xml:space="preserve">Costs </w:t>
      </w:r>
      <w:r w:rsidR="009C2674" w:rsidRPr="00166607">
        <w:rPr>
          <w:rFonts w:ascii="Times New Roman" w:hAnsi="Times New Roman"/>
          <w:b/>
          <w:sz w:val="24"/>
        </w:rPr>
        <w:t>a</w:t>
      </w:r>
      <w:r w:rsidR="00DB4993" w:rsidRPr="00166607">
        <w:rPr>
          <w:rFonts w:ascii="Times New Roman" w:hAnsi="Times New Roman"/>
          <w:b/>
          <w:sz w:val="24"/>
        </w:rPr>
        <w:t xml:space="preserve">ssociated </w:t>
      </w:r>
      <w:r w:rsidR="009C2674" w:rsidRPr="00166607">
        <w:rPr>
          <w:rFonts w:ascii="Times New Roman" w:hAnsi="Times New Roman"/>
          <w:b/>
          <w:sz w:val="24"/>
        </w:rPr>
        <w:t>w</w:t>
      </w:r>
      <w:r w:rsidR="00DB4993" w:rsidRPr="00166607">
        <w:rPr>
          <w:rFonts w:ascii="Times New Roman" w:hAnsi="Times New Roman"/>
          <w:b/>
          <w:sz w:val="24"/>
        </w:rPr>
        <w:t xml:space="preserve">ith </w:t>
      </w:r>
      <w:r w:rsidR="009C2674" w:rsidRPr="00166607">
        <w:rPr>
          <w:rFonts w:ascii="Times New Roman" w:hAnsi="Times New Roman"/>
          <w:b/>
          <w:sz w:val="24"/>
        </w:rPr>
        <w:t>secondary s</w:t>
      </w:r>
      <w:r w:rsidR="00DB4993" w:rsidRPr="00166607">
        <w:rPr>
          <w:rFonts w:ascii="Times New Roman" w:hAnsi="Times New Roman"/>
          <w:b/>
          <w:sz w:val="24"/>
        </w:rPr>
        <w:t xml:space="preserve">chool of </w:t>
      </w:r>
      <w:r w:rsidR="009C2674" w:rsidRPr="00166607">
        <w:rPr>
          <w:rFonts w:ascii="Times New Roman" w:hAnsi="Times New Roman"/>
          <w:b/>
          <w:sz w:val="24"/>
        </w:rPr>
        <w:t>a</w:t>
      </w:r>
      <w:r w:rsidR="00DB4993" w:rsidRPr="00166607">
        <w:rPr>
          <w:rFonts w:ascii="Times New Roman" w:hAnsi="Times New Roman"/>
          <w:b/>
          <w:sz w:val="24"/>
        </w:rPr>
        <w:t>ttendance</w:t>
      </w:r>
    </w:p>
    <w:p w14:paraId="06D986C8" w14:textId="77777777" w:rsidR="00FD35A3" w:rsidRDefault="004A5473" w:rsidP="00402892">
      <w:pPr>
        <w:pStyle w:val="CommentText"/>
        <w:spacing w:after="160" w:line="360" w:lineRule="auto"/>
        <w:ind w:firstLine="720"/>
        <w:contextualSpacing/>
        <w:jc w:val="both"/>
        <w:rPr>
          <w:rFonts w:ascii="Times New Roman" w:hAnsi="Times New Roman"/>
          <w:sz w:val="24"/>
        </w:rPr>
      </w:pPr>
      <w:r w:rsidRPr="00166607">
        <w:rPr>
          <w:rFonts w:ascii="Times New Roman" w:hAnsi="Times New Roman"/>
          <w:sz w:val="24"/>
        </w:rPr>
        <w:t>There are two competing impacts of the scholarship on public expenditure</w:t>
      </w:r>
      <w:r w:rsidR="001E611D" w:rsidRPr="00166607">
        <w:rPr>
          <w:rFonts w:ascii="Times New Roman" w:hAnsi="Times New Roman"/>
          <w:sz w:val="24"/>
        </w:rPr>
        <w:t>s</w:t>
      </w:r>
      <w:r w:rsidRPr="00166607">
        <w:rPr>
          <w:rFonts w:ascii="Times New Roman" w:hAnsi="Times New Roman"/>
          <w:sz w:val="24"/>
        </w:rPr>
        <w:t xml:space="preserve">.  </w:t>
      </w:r>
      <w:r w:rsidR="002143C1" w:rsidRPr="00166607">
        <w:rPr>
          <w:rFonts w:ascii="Times New Roman" w:hAnsi="Times New Roman"/>
          <w:sz w:val="24"/>
        </w:rPr>
        <w:t>First, f</w:t>
      </w:r>
      <w:r w:rsidR="003D78EA" w:rsidRPr="00166607">
        <w:rPr>
          <w:rFonts w:ascii="Times New Roman" w:hAnsi="Times New Roman"/>
          <w:sz w:val="24"/>
        </w:rPr>
        <w:t xml:space="preserve">or students who would have attended private school in the absence of </w:t>
      </w:r>
      <w:r w:rsidR="001E611D" w:rsidRPr="00166607">
        <w:rPr>
          <w:rFonts w:ascii="Times New Roman" w:hAnsi="Times New Roman"/>
          <w:sz w:val="24"/>
        </w:rPr>
        <w:t xml:space="preserve">the </w:t>
      </w:r>
      <w:r w:rsidR="003D78EA" w:rsidRPr="00166607">
        <w:rPr>
          <w:rFonts w:ascii="Times New Roman" w:hAnsi="Times New Roman"/>
          <w:sz w:val="24"/>
        </w:rPr>
        <w:t xml:space="preserve">program, the scholarship increases public expenditure. </w:t>
      </w:r>
      <w:r w:rsidR="0015697C" w:rsidRPr="00166607">
        <w:rPr>
          <w:rFonts w:ascii="Times New Roman" w:hAnsi="Times New Roman"/>
          <w:sz w:val="24"/>
        </w:rPr>
        <w:t xml:space="preserve"> For example, a substantial proportion (87.7</w:t>
      </w:r>
      <w:r w:rsidR="001E611D" w:rsidRPr="00166607">
        <w:rPr>
          <w:rFonts w:ascii="Times New Roman" w:hAnsi="Times New Roman"/>
          <w:sz w:val="24"/>
        </w:rPr>
        <w:t xml:space="preserve"> percent</w:t>
      </w:r>
      <w:r w:rsidR="0015697C" w:rsidRPr="00166607">
        <w:rPr>
          <w:rFonts w:ascii="Times New Roman" w:hAnsi="Times New Roman"/>
          <w:sz w:val="24"/>
        </w:rPr>
        <w:t xml:space="preserve">) of lottery losers attended private school in sixth grade.  </w:t>
      </w:r>
      <w:r w:rsidR="001E611D" w:rsidRPr="00166607">
        <w:rPr>
          <w:rFonts w:ascii="Times New Roman" w:hAnsi="Times New Roman"/>
          <w:sz w:val="24"/>
        </w:rPr>
        <w:t>While t</w:t>
      </w:r>
      <w:r w:rsidR="002143C1" w:rsidRPr="00166607">
        <w:rPr>
          <w:rFonts w:ascii="Times New Roman" w:hAnsi="Times New Roman"/>
          <w:sz w:val="24"/>
        </w:rPr>
        <w:t xml:space="preserve">he government did not have to pay </w:t>
      </w:r>
      <w:r w:rsidR="001E611D" w:rsidRPr="00166607">
        <w:rPr>
          <w:rFonts w:ascii="Times New Roman" w:hAnsi="Times New Roman"/>
          <w:sz w:val="24"/>
        </w:rPr>
        <w:t xml:space="preserve">for </w:t>
      </w:r>
      <w:r w:rsidR="002143C1" w:rsidRPr="00166607">
        <w:rPr>
          <w:rFonts w:ascii="Times New Roman" w:hAnsi="Times New Roman"/>
          <w:sz w:val="24"/>
        </w:rPr>
        <w:t>the fees of the lottery losers</w:t>
      </w:r>
      <w:r w:rsidR="001E611D" w:rsidRPr="00166607">
        <w:rPr>
          <w:rFonts w:ascii="Times New Roman" w:hAnsi="Times New Roman"/>
          <w:sz w:val="24"/>
        </w:rPr>
        <w:t xml:space="preserve">, it did </w:t>
      </w:r>
      <w:r w:rsidR="002143C1" w:rsidRPr="00166607">
        <w:rPr>
          <w:rFonts w:ascii="Times New Roman" w:hAnsi="Times New Roman"/>
          <w:sz w:val="24"/>
        </w:rPr>
        <w:t xml:space="preserve">have </w:t>
      </w:r>
      <w:r w:rsidR="00F95606" w:rsidRPr="00166607">
        <w:rPr>
          <w:rFonts w:ascii="Times New Roman" w:hAnsi="Times New Roman"/>
          <w:sz w:val="24"/>
        </w:rPr>
        <w:t xml:space="preserve">to </w:t>
      </w:r>
      <w:r w:rsidR="002143C1" w:rsidRPr="00166607">
        <w:rPr>
          <w:rFonts w:ascii="Times New Roman" w:hAnsi="Times New Roman"/>
          <w:sz w:val="24"/>
        </w:rPr>
        <w:t xml:space="preserve">pay </w:t>
      </w:r>
      <w:r w:rsidR="001E611D" w:rsidRPr="00166607">
        <w:rPr>
          <w:rFonts w:ascii="Times New Roman" w:hAnsi="Times New Roman"/>
          <w:sz w:val="24"/>
        </w:rPr>
        <w:t xml:space="preserve">for </w:t>
      </w:r>
      <w:r w:rsidR="002143C1" w:rsidRPr="00166607">
        <w:rPr>
          <w:rFonts w:ascii="Times New Roman" w:hAnsi="Times New Roman"/>
          <w:sz w:val="24"/>
        </w:rPr>
        <w:t xml:space="preserve">the scholarship value </w:t>
      </w:r>
      <w:r w:rsidR="001E611D" w:rsidRPr="00166607">
        <w:rPr>
          <w:rFonts w:ascii="Times New Roman" w:hAnsi="Times New Roman"/>
          <w:sz w:val="24"/>
        </w:rPr>
        <w:t>for</w:t>
      </w:r>
      <w:r w:rsidR="002143C1" w:rsidRPr="00166607">
        <w:rPr>
          <w:rFonts w:ascii="Times New Roman" w:hAnsi="Times New Roman"/>
          <w:sz w:val="24"/>
        </w:rPr>
        <w:t xml:space="preserve"> students who won the lottery.  </w:t>
      </w:r>
      <w:r w:rsidR="0015697C" w:rsidRPr="00166607">
        <w:rPr>
          <w:rFonts w:ascii="Times New Roman" w:hAnsi="Times New Roman"/>
          <w:sz w:val="24"/>
        </w:rPr>
        <w:t xml:space="preserve">Among these </w:t>
      </w:r>
      <w:r w:rsidR="002143C1" w:rsidRPr="00166607">
        <w:rPr>
          <w:rFonts w:ascii="Times New Roman" w:hAnsi="Times New Roman"/>
          <w:sz w:val="24"/>
        </w:rPr>
        <w:t xml:space="preserve">students, </w:t>
      </w:r>
      <w:r w:rsidR="0015697C" w:rsidRPr="00166607">
        <w:rPr>
          <w:rFonts w:ascii="Times New Roman" w:hAnsi="Times New Roman"/>
          <w:sz w:val="24"/>
        </w:rPr>
        <w:t xml:space="preserve">the average expenditure increase was $214 ($214 = scholarship value * percentage of </w:t>
      </w:r>
      <w:r w:rsidR="002143C1" w:rsidRPr="00166607">
        <w:rPr>
          <w:rFonts w:ascii="Times New Roman" w:hAnsi="Times New Roman"/>
          <w:sz w:val="24"/>
        </w:rPr>
        <w:t>lottery losers attending private school</w:t>
      </w:r>
      <w:r w:rsidR="0015697C" w:rsidRPr="00166607">
        <w:rPr>
          <w:rFonts w:ascii="Times New Roman" w:hAnsi="Times New Roman"/>
          <w:sz w:val="24"/>
        </w:rPr>
        <w:t xml:space="preserve"> = $244 * .877).</w:t>
      </w:r>
      <w:r w:rsidR="002143C1" w:rsidRPr="00166607">
        <w:rPr>
          <w:rFonts w:ascii="Times New Roman" w:hAnsi="Times New Roman"/>
          <w:sz w:val="24"/>
        </w:rPr>
        <w:t xml:space="preserve">  </w:t>
      </w:r>
      <w:r w:rsidR="00943BAD" w:rsidRPr="00166607">
        <w:rPr>
          <w:rFonts w:ascii="Times New Roman" w:hAnsi="Times New Roman"/>
          <w:sz w:val="24"/>
        </w:rPr>
        <w:t xml:space="preserve">Note that </w:t>
      </w:r>
      <w:r w:rsidR="002143C1" w:rsidRPr="00166607">
        <w:rPr>
          <w:rFonts w:ascii="Times New Roman" w:hAnsi="Times New Roman"/>
          <w:sz w:val="24"/>
        </w:rPr>
        <w:t xml:space="preserve">the proportion </w:t>
      </w:r>
      <w:r w:rsidR="001E611D" w:rsidRPr="00166607">
        <w:rPr>
          <w:rFonts w:ascii="Times New Roman" w:hAnsi="Times New Roman"/>
          <w:sz w:val="24"/>
        </w:rPr>
        <w:t xml:space="preserve">of applicants </w:t>
      </w:r>
      <w:r w:rsidR="002143C1" w:rsidRPr="00166607">
        <w:rPr>
          <w:rFonts w:ascii="Times New Roman" w:hAnsi="Times New Roman"/>
          <w:sz w:val="24"/>
        </w:rPr>
        <w:t>who attended private school among lottery losers quickly deteriorated (53.9</w:t>
      </w:r>
      <w:r w:rsidR="001E611D" w:rsidRPr="00166607">
        <w:rPr>
          <w:rFonts w:ascii="Times New Roman" w:hAnsi="Times New Roman"/>
          <w:sz w:val="24"/>
        </w:rPr>
        <w:t xml:space="preserve"> percent</w:t>
      </w:r>
      <w:r w:rsidR="002143C1" w:rsidRPr="00166607">
        <w:rPr>
          <w:rFonts w:ascii="Times New Roman" w:hAnsi="Times New Roman"/>
          <w:sz w:val="24"/>
        </w:rPr>
        <w:t xml:space="preserve"> by 8</w:t>
      </w:r>
      <w:r w:rsidR="002143C1" w:rsidRPr="00166607">
        <w:rPr>
          <w:rFonts w:ascii="Times New Roman" w:hAnsi="Times New Roman"/>
          <w:sz w:val="24"/>
          <w:vertAlign w:val="superscript"/>
        </w:rPr>
        <w:t>th</w:t>
      </w:r>
      <w:r w:rsidR="002143C1" w:rsidRPr="00166607">
        <w:rPr>
          <w:rFonts w:ascii="Times New Roman" w:hAnsi="Times New Roman"/>
          <w:sz w:val="24"/>
        </w:rPr>
        <w:t xml:space="preserve"> grade)</w:t>
      </w:r>
      <w:r w:rsidR="009568ED" w:rsidRPr="00166607">
        <w:rPr>
          <w:rFonts w:ascii="Times New Roman" w:hAnsi="Times New Roman"/>
          <w:sz w:val="24"/>
        </w:rPr>
        <w:t>.</w:t>
      </w:r>
    </w:p>
    <w:p w14:paraId="1E1A2DD7" w14:textId="31F892FD" w:rsidR="002143C1" w:rsidRPr="00166607" w:rsidRDefault="008E6A66" w:rsidP="00402892">
      <w:pPr>
        <w:pStyle w:val="CommentText"/>
        <w:spacing w:after="160" w:line="360" w:lineRule="auto"/>
        <w:ind w:firstLine="720"/>
        <w:contextualSpacing/>
        <w:jc w:val="both"/>
        <w:rPr>
          <w:rFonts w:ascii="Times New Roman" w:hAnsi="Times New Roman"/>
          <w:sz w:val="24"/>
        </w:rPr>
      </w:pPr>
      <w:r w:rsidRPr="00166607">
        <w:rPr>
          <w:rFonts w:ascii="Times New Roman" w:hAnsi="Times New Roman"/>
          <w:sz w:val="24"/>
        </w:rPr>
        <w:t>We make two other adjustments to these estimates.</w:t>
      </w:r>
      <w:r w:rsidR="002143C1" w:rsidRPr="00166607">
        <w:rPr>
          <w:rFonts w:ascii="Times New Roman" w:hAnsi="Times New Roman"/>
          <w:sz w:val="24"/>
        </w:rPr>
        <w:t xml:space="preserve">  Among lottery winners, not all private school attendees continued to use the scholarship.  Even in the first year, </w:t>
      </w:r>
      <w:r w:rsidRPr="00166607">
        <w:rPr>
          <w:rFonts w:ascii="Times New Roman" w:hAnsi="Times New Roman"/>
          <w:sz w:val="24"/>
        </w:rPr>
        <w:t>6</w:t>
      </w:r>
      <w:r w:rsidR="001E611D" w:rsidRPr="00166607">
        <w:rPr>
          <w:rFonts w:ascii="Times New Roman" w:hAnsi="Times New Roman"/>
          <w:sz w:val="24"/>
        </w:rPr>
        <w:t xml:space="preserve"> percent</w:t>
      </w:r>
      <w:r w:rsidRPr="00166607">
        <w:rPr>
          <w:rFonts w:ascii="Times New Roman" w:hAnsi="Times New Roman"/>
          <w:sz w:val="24"/>
        </w:rPr>
        <w:t xml:space="preserve"> </w:t>
      </w:r>
      <w:r w:rsidR="002143C1" w:rsidRPr="00166607">
        <w:rPr>
          <w:rFonts w:ascii="Times New Roman" w:hAnsi="Times New Roman"/>
          <w:sz w:val="24"/>
        </w:rPr>
        <w:t xml:space="preserve">of private school attendees who had been offered the scholarship </w:t>
      </w:r>
      <w:r w:rsidRPr="00166607">
        <w:rPr>
          <w:rFonts w:ascii="Times New Roman" w:hAnsi="Times New Roman"/>
          <w:sz w:val="24"/>
        </w:rPr>
        <w:t>had discontinued using it.  By 8</w:t>
      </w:r>
      <w:r w:rsidRPr="00166607">
        <w:rPr>
          <w:rFonts w:ascii="Times New Roman" w:hAnsi="Times New Roman"/>
          <w:sz w:val="24"/>
          <w:vertAlign w:val="superscript"/>
        </w:rPr>
        <w:t>th</w:t>
      </w:r>
      <w:r w:rsidRPr="00166607">
        <w:rPr>
          <w:rFonts w:ascii="Times New Roman" w:hAnsi="Times New Roman"/>
          <w:sz w:val="24"/>
        </w:rPr>
        <w:t xml:space="preserve"> grade, 33</w:t>
      </w:r>
      <w:r w:rsidR="001E611D" w:rsidRPr="00166607">
        <w:rPr>
          <w:rFonts w:ascii="Times New Roman" w:hAnsi="Times New Roman"/>
          <w:sz w:val="24"/>
        </w:rPr>
        <w:t xml:space="preserve"> percent</w:t>
      </w:r>
      <w:r w:rsidRPr="00166607">
        <w:rPr>
          <w:rFonts w:ascii="Times New Roman" w:hAnsi="Times New Roman"/>
          <w:sz w:val="24"/>
        </w:rPr>
        <w:t xml:space="preserve"> of lottery winners who were attending private school were not using the scholarship.</w:t>
      </w:r>
      <w:r w:rsidRPr="00166607">
        <w:rPr>
          <w:rStyle w:val="FootnoteReference"/>
          <w:rFonts w:ascii="Times New Roman" w:hAnsi="Times New Roman"/>
          <w:sz w:val="24"/>
        </w:rPr>
        <w:footnoteReference w:id="29"/>
      </w:r>
      <w:r w:rsidRPr="00166607">
        <w:rPr>
          <w:rFonts w:ascii="Times New Roman" w:hAnsi="Times New Roman"/>
          <w:sz w:val="24"/>
        </w:rPr>
        <w:t xml:space="preserve">  The second adjustment involves our assumptions </w:t>
      </w:r>
      <w:r w:rsidR="001E611D" w:rsidRPr="00166607">
        <w:rPr>
          <w:rFonts w:ascii="Times New Roman" w:hAnsi="Times New Roman"/>
          <w:sz w:val="24"/>
        </w:rPr>
        <w:t xml:space="preserve">about scholarship usage </w:t>
      </w:r>
      <w:r w:rsidRPr="008233C3">
        <w:rPr>
          <w:rFonts w:ascii="Times New Roman" w:hAnsi="Times New Roman"/>
          <w:sz w:val="24"/>
        </w:rPr>
        <w:t>between 8</w:t>
      </w:r>
      <w:r w:rsidRPr="00166607">
        <w:rPr>
          <w:rFonts w:ascii="Times New Roman" w:hAnsi="Times New Roman"/>
          <w:sz w:val="24"/>
          <w:vertAlign w:val="superscript"/>
        </w:rPr>
        <w:t>th</w:t>
      </w:r>
      <w:r w:rsidRPr="00166607">
        <w:rPr>
          <w:rFonts w:ascii="Times New Roman" w:hAnsi="Times New Roman"/>
          <w:sz w:val="24"/>
        </w:rPr>
        <w:t xml:space="preserve"> and 11</w:t>
      </w:r>
      <w:r w:rsidRPr="00166607">
        <w:rPr>
          <w:rFonts w:ascii="Times New Roman" w:hAnsi="Times New Roman"/>
          <w:sz w:val="24"/>
          <w:vertAlign w:val="superscript"/>
        </w:rPr>
        <w:t>th</w:t>
      </w:r>
      <w:r w:rsidRPr="00166607">
        <w:rPr>
          <w:rFonts w:ascii="Times New Roman" w:hAnsi="Times New Roman"/>
          <w:sz w:val="24"/>
        </w:rPr>
        <w:t xml:space="preserve"> grade.  </w:t>
      </w:r>
      <w:r w:rsidR="00784990" w:rsidRPr="00166607">
        <w:rPr>
          <w:rFonts w:ascii="Times New Roman" w:hAnsi="Times New Roman"/>
          <w:sz w:val="24"/>
        </w:rPr>
        <w:t>After 8</w:t>
      </w:r>
      <w:r w:rsidR="00784990" w:rsidRPr="00166607">
        <w:rPr>
          <w:rFonts w:ascii="Times New Roman" w:hAnsi="Times New Roman"/>
          <w:sz w:val="24"/>
          <w:vertAlign w:val="superscript"/>
        </w:rPr>
        <w:t>th</w:t>
      </w:r>
      <w:r w:rsidR="00784990" w:rsidRPr="00166607">
        <w:rPr>
          <w:rFonts w:ascii="Times New Roman" w:hAnsi="Times New Roman"/>
          <w:sz w:val="24"/>
        </w:rPr>
        <w:t xml:space="preserve"> grade, we have no data on scholarship usage</w:t>
      </w:r>
      <w:r w:rsidR="008606CE" w:rsidRPr="00166607">
        <w:rPr>
          <w:rFonts w:ascii="Times New Roman" w:hAnsi="Times New Roman"/>
          <w:sz w:val="24"/>
        </w:rPr>
        <w:t xml:space="preserve">.  </w:t>
      </w:r>
      <w:r w:rsidR="005C78FF" w:rsidRPr="00166607">
        <w:rPr>
          <w:rFonts w:ascii="Times New Roman" w:hAnsi="Times New Roman"/>
          <w:sz w:val="24"/>
        </w:rPr>
        <w:t>From prior data, we know that 54 percent of lottery losers were attending private school in 8</w:t>
      </w:r>
      <w:r w:rsidR="005C78FF" w:rsidRPr="00166607">
        <w:rPr>
          <w:rFonts w:ascii="Times New Roman" w:hAnsi="Times New Roman"/>
          <w:sz w:val="24"/>
          <w:vertAlign w:val="superscript"/>
        </w:rPr>
        <w:t>th</w:t>
      </w:r>
      <w:r w:rsidR="005C78FF" w:rsidRPr="00166607">
        <w:rPr>
          <w:rFonts w:ascii="Times New Roman" w:hAnsi="Times New Roman"/>
          <w:sz w:val="24"/>
        </w:rPr>
        <w:t xml:space="preserve"> grade and </w:t>
      </w:r>
      <w:r w:rsidR="008606CE" w:rsidRPr="00166607">
        <w:rPr>
          <w:rFonts w:ascii="Times New Roman" w:hAnsi="Times New Roman"/>
          <w:sz w:val="24"/>
        </w:rPr>
        <w:t>that 32</w:t>
      </w:r>
      <w:r w:rsidR="001E611D" w:rsidRPr="00166607">
        <w:rPr>
          <w:rFonts w:ascii="Times New Roman" w:hAnsi="Times New Roman"/>
          <w:sz w:val="24"/>
        </w:rPr>
        <w:t xml:space="preserve"> percent</w:t>
      </w:r>
      <w:r w:rsidR="008606CE" w:rsidRPr="00166607">
        <w:rPr>
          <w:rFonts w:ascii="Times New Roman" w:hAnsi="Times New Roman"/>
          <w:sz w:val="24"/>
        </w:rPr>
        <w:t xml:space="preserve"> of </w:t>
      </w:r>
      <w:r w:rsidR="005C78FF" w:rsidRPr="00166607">
        <w:rPr>
          <w:rFonts w:ascii="Times New Roman" w:hAnsi="Times New Roman"/>
          <w:sz w:val="24"/>
        </w:rPr>
        <w:t>them</w:t>
      </w:r>
      <w:r w:rsidR="008606CE" w:rsidRPr="00166607">
        <w:rPr>
          <w:rFonts w:ascii="Times New Roman" w:hAnsi="Times New Roman"/>
          <w:sz w:val="24"/>
        </w:rPr>
        <w:t xml:space="preserve"> finished 11</w:t>
      </w:r>
      <w:r w:rsidR="008606CE" w:rsidRPr="00166607">
        <w:rPr>
          <w:rFonts w:ascii="Times New Roman" w:hAnsi="Times New Roman"/>
          <w:sz w:val="24"/>
          <w:vertAlign w:val="superscript"/>
        </w:rPr>
        <w:t>th</w:t>
      </w:r>
      <w:r w:rsidR="008606CE" w:rsidRPr="00166607">
        <w:rPr>
          <w:rFonts w:ascii="Times New Roman" w:hAnsi="Times New Roman"/>
          <w:sz w:val="24"/>
        </w:rPr>
        <w:t xml:space="preserve"> grade in private school.  We assume a constant deterioration from 8</w:t>
      </w:r>
      <w:r w:rsidR="008606CE" w:rsidRPr="00166607">
        <w:rPr>
          <w:rFonts w:ascii="Times New Roman" w:hAnsi="Times New Roman"/>
          <w:sz w:val="24"/>
          <w:vertAlign w:val="superscript"/>
        </w:rPr>
        <w:t>th</w:t>
      </w:r>
      <w:r w:rsidR="008606CE" w:rsidRPr="00166607">
        <w:rPr>
          <w:rFonts w:ascii="Times New Roman" w:hAnsi="Times New Roman"/>
          <w:sz w:val="24"/>
        </w:rPr>
        <w:t xml:space="preserve"> grade to 11</w:t>
      </w:r>
      <w:r w:rsidR="008606CE" w:rsidRPr="00166607">
        <w:rPr>
          <w:rFonts w:ascii="Times New Roman" w:hAnsi="Times New Roman"/>
          <w:sz w:val="24"/>
          <w:vertAlign w:val="superscript"/>
        </w:rPr>
        <w:t>th</w:t>
      </w:r>
      <w:r w:rsidR="008606CE" w:rsidRPr="00166607">
        <w:rPr>
          <w:rFonts w:ascii="Times New Roman" w:hAnsi="Times New Roman"/>
          <w:sz w:val="24"/>
        </w:rPr>
        <w:t xml:space="preserve"> grade in the fraction of losers attending private school.  This </w:t>
      </w:r>
      <w:r w:rsidR="001E611D" w:rsidRPr="00166607">
        <w:rPr>
          <w:rFonts w:ascii="Times New Roman" w:hAnsi="Times New Roman"/>
          <w:sz w:val="24"/>
        </w:rPr>
        <w:t>implies a 40 percent</w:t>
      </w:r>
      <w:r w:rsidR="005C78FF" w:rsidRPr="00166607">
        <w:rPr>
          <w:rFonts w:ascii="Times New Roman" w:hAnsi="Times New Roman"/>
          <w:sz w:val="24"/>
        </w:rPr>
        <w:t xml:space="preserve"> relative</w:t>
      </w:r>
      <w:r w:rsidR="008606CE" w:rsidRPr="00166607">
        <w:rPr>
          <w:rFonts w:ascii="Times New Roman" w:hAnsi="Times New Roman"/>
          <w:sz w:val="24"/>
        </w:rPr>
        <w:t xml:space="preserve"> reduction in the fraction attending private school, and we assume that deterioration in scholarship usage among winners follows a similar 40</w:t>
      </w:r>
      <w:r w:rsidR="001E611D" w:rsidRPr="00166607">
        <w:rPr>
          <w:rFonts w:ascii="Times New Roman" w:hAnsi="Times New Roman"/>
          <w:sz w:val="24"/>
        </w:rPr>
        <w:t xml:space="preserve"> percent</w:t>
      </w:r>
      <w:r w:rsidR="008606CE" w:rsidRPr="00166607">
        <w:rPr>
          <w:rFonts w:ascii="Times New Roman" w:hAnsi="Times New Roman"/>
          <w:sz w:val="24"/>
        </w:rPr>
        <w:t xml:space="preserve"> decline from the 8</w:t>
      </w:r>
      <w:r w:rsidR="008606CE" w:rsidRPr="00166607">
        <w:rPr>
          <w:rFonts w:ascii="Times New Roman" w:hAnsi="Times New Roman"/>
          <w:sz w:val="24"/>
          <w:vertAlign w:val="superscript"/>
        </w:rPr>
        <w:t>th</w:t>
      </w:r>
      <w:r w:rsidR="008606CE" w:rsidRPr="00166607">
        <w:rPr>
          <w:rFonts w:ascii="Times New Roman" w:hAnsi="Times New Roman"/>
          <w:sz w:val="24"/>
        </w:rPr>
        <w:t xml:space="preserve"> grade level.  As before, we assume constant deterioration over time.</w:t>
      </w:r>
    </w:p>
    <w:p w14:paraId="36B127F8" w14:textId="77777777" w:rsidR="002132E7" w:rsidRDefault="005C78FF" w:rsidP="00402892">
      <w:pPr>
        <w:pStyle w:val="CommentText"/>
        <w:spacing w:after="160" w:line="360" w:lineRule="auto"/>
        <w:ind w:firstLine="720"/>
        <w:contextualSpacing/>
        <w:jc w:val="both"/>
        <w:rPr>
          <w:rFonts w:ascii="Times New Roman" w:hAnsi="Times New Roman"/>
          <w:sz w:val="24"/>
        </w:rPr>
      </w:pPr>
      <w:r w:rsidRPr="00166607">
        <w:rPr>
          <w:rFonts w:ascii="Times New Roman" w:hAnsi="Times New Roman"/>
          <w:sz w:val="24"/>
        </w:rPr>
        <w:t>We can compute the six-year increase in expenditure by taking the annual value of the PACES scholarships ($244) and multiplying it by the proportion of students in grades 6 to 11 who would have used the scholarship in the absence of the program</w:t>
      </w:r>
      <w:r w:rsidR="0077018F" w:rsidRPr="00166607">
        <w:rPr>
          <w:rFonts w:ascii="Times New Roman" w:hAnsi="Times New Roman"/>
          <w:sz w:val="24"/>
        </w:rPr>
        <w:t xml:space="preserve"> (with these proportions computed in the aforementioned way).  When we integrate over the usage patterns</w:t>
      </w:r>
      <w:r w:rsidR="008606CE" w:rsidRPr="00166607">
        <w:rPr>
          <w:rFonts w:ascii="Times New Roman" w:hAnsi="Times New Roman"/>
          <w:sz w:val="24"/>
        </w:rPr>
        <w:t xml:space="preserve">, we estimate that public expenditure increased by </w:t>
      </w:r>
      <w:r w:rsidR="004B5440" w:rsidRPr="00166607">
        <w:rPr>
          <w:rFonts w:ascii="Times New Roman" w:hAnsi="Times New Roman"/>
          <w:sz w:val="24"/>
        </w:rPr>
        <w:t>$473 among all applicants (</w:t>
      </w:r>
      <w:r w:rsidR="00DB4993" w:rsidRPr="00166607">
        <w:rPr>
          <w:rFonts w:ascii="Times New Roman" w:hAnsi="Times New Roman"/>
          <w:sz w:val="24"/>
        </w:rPr>
        <w:t>$</w:t>
      </w:r>
      <w:r w:rsidR="00E135CD" w:rsidRPr="00166607">
        <w:rPr>
          <w:rFonts w:ascii="Times New Roman" w:hAnsi="Times New Roman"/>
          <w:sz w:val="24"/>
        </w:rPr>
        <w:t>4</w:t>
      </w:r>
      <w:r w:rsidR="008623FD" w:rsidRPr="00166607">
        <w:rPr>
          <w:rFonts w:ascii="Times New Roman" w:hAnsi="Times New Roman"/>
          <w:sz w:val="24"/>
        </w:rPr>
        <w:t>72 for academic school applicants</w:t>
      </w:r>
      <w:r w:rsidR="00E135CD" w:rsidRPr="00166607">
        <w:rPr>
          <w:rFonts w:ascii="Times New Roman" w:hAnsi="Times New Roman"/>
          <w:sz w:val="24"/>
        </w:rPr>
        <w:t xml:space="preserve"> and $</w:t>
      </w:r>
      <w:r w:rsidR="001E611D" w:rsidRPr="00166607">
        <w:rPr>
          <w:rFonts w:ascii="Times New Roman" w:hAnsi="Times New Roman"/>
          <w:sz w:val="24"/>
        </w:rPr>
        <w:t>4</w:t>
      </w:r>
      <w:r w:rsidR="008623FD" w:rsidRPr="00166607">
        <w:rPr>
          <w:rFonts w:ascii="Times New Roman" w:hAnsi="Times New Roman"/>
          <w:sz w:val="24"/>
        </w:rPr>
        <w:t>74</w:t>
      </w:r>
      <w:r w:rsidR="004B5440" w:rsidRPr="00166607">
        <w:rPr>
          <w:rFonts w:ascii="Times New Roman" w:hAnsi="Times New Roman"/>
          <w:sz w:val="24"/>
        </w:rPr>
        <w:t xml:space="preserve"> for </w:t>
      </w:r>
      <w:r w:rsidR="008623FD" w:rsidRPr="00166607">
        <w:rPr>
          <w:rFonts w:ascii="Times New Roman" w:hAnsi="Times New Roman"/>
          <w:sz w:val="24"/>
        </w:rPr>
        <w:t>vocational school applicants</w:t>
      </w:r>
      <w:r w:rsidR="004B5440" w:rsidRPr="00166607">
        <w:rPr>
          <w:rFonts w:ascii="Times New Roman" w:hAnsi="Times New Roman"/>
          <w:sz w:val="24"/>
        </w:rPr>
        <w:t>)</w:t>
      </w:r>
      <w:r w:rsidR="008606CE" w:rsidRPr="00166607">
        <w:rPr>
          <w:rFonts w:ascii="Times New Roman" w:hAnsi="Times New Roman"/>
          <w:sz w:val="24"/>
        </w:rPr>
        <w:t xml:space="preserve"> as a result of the awarding of </w:t>
      </w:r>
      <w:r w:rsidR="008606CE" w:rsidRPr="00166607">
        <w:rPr>
          <w:rFonts w:ascii="Times New Roman" w:hAnsi="Times New Roman"/>
          <w:sz w:val="24"/>
        </w:rPr>
        <w:lastRenderedPageBreak/>
        <w:t>private school scholarships to students who intended to attend private schools regardless of the scholarship program</w:t>
      </w:r>
      <w:r w:rsidR="00BB6811" w:rsidRPr="00166607">
        <w:rPr>
          <w:rFonts w:ascii="Times New Roman" w:hAnsi="Times New Roman"/>
          <w:sz w:val="24"/>
        </w:rPr>
        <w:t xml:space="preserve"> (Row 3 of Table </w:t>
      </w:r>
      <w:r w:rsidR="008B18C1" w:rsidRPr="00166607">
        <w:rPr>
          <w:rFonts w:ascii="Times New Roman" w:hAnsi="Times New Roman"/>
          <w:sz w:val="24"/>
        </w:rPr>
        <w:t>8</w:t>
      </w:r>
      <w:r w:rsidR="00BB6811" w:rsidRPr="00166607">
        <w:rPr>
          <w:rFonts w:ascii="Times New Roman" w:hAnsi="Times New Roman"/>
          <w:sz w:val="24"/>
        </w:rPr>
        <w:t>)</w:t>
      </w:r>
      <w:r w:rsidR="008606CE" w:rsidRPr="00166607">
        <w:rPr>
          <w:rFonts w:ascii="Times New Roman" w:hAnsi="Times New Roman"/>
          <w:sz w:val="24"/>
        </w:rPr>
        <w:t>.</w:t>
      </w:r>
    </w:p>
    <w:p w14:paraId="34E78F1B" w14:textId="3105CD01" w:rsidR="00E135CD" w:rsidRPr="00166607" w:rsidRDefault="008606CE" w:rsidP="00402892">
      <w:pPr>
        <w:pStyle w:val="CommentText"/>
        <w:spacing w:after="160" w:line="360" w:lineRule="auto"/>
        <w:ind w:firstLine="720"/>
        <w:contextualSpacing/>
        <w:jc w:val="both"/>
        <w:rPr>
          <w:rFonts w:ascii="Times New Roman" w:hAnsi="Times New Roman"/>
          <w:sz w:val="24"/>
        </w:rPr>
      </w:pPr>
      <w:r w:rsidRPr="00166607">
        <w:rPr>
          <w:rFonts w:ascii="Times New Roman" w:hAnsi="Times New Roman"/>
          <w:sz w:val="24"/>
        </w:rPr>
        <w:t xml:space="preserve">The scholarship, however, induced some public school attendees to attend private school.  </w:t>
      </w:r>
      <w:r w:rsidR="00E626F5" w:rsidRPr="00166607">
        <w:rPr>
          <w:rFonts w:ascii="Times New Roman" w:hAnsi="Times New Roman"/>
          <w:sz w:val="24"/>
        </w:rPr>
        <w:t>The scholarship’s value ($244) was considerably lower than the annual cost of public school ($449)</w:t>
      </w:r>
      <w:r w:rsidR="00FB47B7" w:rsidRPr="00166607">
        <w:rPr>
          <w:rFonts w:ascii="Times New Roman" w:hAnsi="Times New Roman"/>
          <w:sz w:val="24"/>
        </w:rPr>
        <w:t>.</w:t>
      </w:r>
      <w:r w:rsidR="00E626F5" w:rsidRPr="00166607">
        <w:rPr>
          <w:rFonts w:ascii="Times New Roman" w:hAnsi="Times New Roman"/>
          <w:sz w:val="24"/>
        </w:rPr>
        <w:t xml:space="preserve"> </w:t>
      </w:r>
      <w:r w:rsidR="00FB47B7" w:rsidRPr="00166607">
        <w:rPr>
          <w:rFonts w:ascii="Times New Roman" w:hAnsi="Times New Roman"/>
          <w:sz w:val="24"/>
        </w:rPr>
        <w:t>We assume that the marginal cost of public education equals the average cost</w:t>
      </w:r>
      <w:r w:rsidR="00D4677F" w:rsidRPr="00166607">
        <w:rPr>
          <w:rFonts w:ascii="Times New Roman" w:hAnsi="Times New Roman"/>
          <w:sz w:val="24"/>
        </w:rPr>
        <w:t xml:space="preserve"> (since this was a period of expanding school enrollment), </w:t>
      </w:r>
      <w:r w:rsidR="00E626F5" w:rsidRPr="00166607">
        <w:rPr>
          <w:rFonts w:ascii="Times New Roman" w:hAnsi="Times New Roman"/>
          <w:sz w:val="24"/>
        </w:rPr>
        <w:t xml:space="preserve">and </w:t>
      </w:r>
      <w:r w:rsidR="00D4677F" w:rsidRPr="00166607">
        <w:rPr>
          <w:rFonts w:ascii="Times New Roman" w:hAnsi="Times New Roman"/>
          <w:sz w:val="24"/>
        </w:rPr>
        <w:t xml:space="preserve">thus, </w:t>
      </w:r>
      <w:r w:rsidR="00E626F5" w:rsidRPr="00166607">
        <w:rPr>
          <w:rFonts w:ascii="Times New Roman" w:hAnsi="Times New Roman"/>
          <w:sz w:val="24"/>
        </w:rPr>
        <w:t>for each student who moved from public to private school, the government saved $205</w:t>
      </w:r>
      <w:r w:rsidR="00220BD3" w:rsidRPr="00166607">
        <w:rPr>
          <w:rFonts w:ascii="Times New Roman" w:hAnsi="Times New Roman"/>
          <w:sz w:val="24"/>
        </w:rPr>
        <w:t xml:space="preserve"> per year</w:t>
      </w:r>
      <w:r w:rsidR="00E626F5" w:rsidRPr="00166607">
        <w:rPr>
          <w:rFonts w:ascii="Times New Roman" w:hAnsi="Times New Roman"/>
          <w:sz w:val="24"/>
        </w:rPr>
        <w:t>.</w:t>
      </w:r>
      <w:r w:rsidR="00E626F5" w:rsidRPr="00166607">
        <w:rPr>
          <w:rStyle w:val="FootnoteReference"/>
          <w:rFonts w:ascii="Times New Roman" w:hAnsi="Times New Roman"/>
          <w:sz w:val="24"/>
          <w:szCs w:val="24"/>
        </w:rPr>
        <w:footnoteReference w:id="30"/>
      </w:r>
      <w:r w:rsidR="00E626F5" w:rsidRPr="00166607">
        <w:rPr>
          <w:rFonts w:ascii="Times New Roman" w:hAnsi="Times New Roman"/>
          <w:sz w:val="24"/>
        </w:rPr>
        <w:t xml:space="preserve">  To figure out the net impact on overall costs, we multiply this cost savings by the proportion of students who </w:t>
      </w:r>
      <w:r w:rsidR="00220BD3" w:rsidRPr="00166607">
        <w:rPr>
          <w:rFonts w:ascii="Times New Roman" w:hAnsi="Times New Roman"/>
          <w:sz w:val="24"/>
        </w:rPr>
        <w:t>attended p</w:t>
      </w:r>
      <w:r w:rsidR="00220BD3" w:rsidRPr="008233C3">
        <w:rPr>
          <w:rFonts w:ascii="Times New Roman" w:hAnsi="Times New Roman"/>
          <w:sz w:val="24"/>
        </w:rPr>
        <w:t xml:space="preserve">rivate </w:t>
      </w:r>
      <w:r w:rsidR="00E626F5" w:rsidRPr="00166607">
        <w:rPr>
          <w:rFonts w:ascii="Times New Roman" w:hAnsi="Times New Roman"/>
          <w:sz w:val="24"/>
        </w:rPr>
        <w:t>schools as a result of the scholarship</w:t>
      </w:r>
      <w:r w:rsidR="007365BC" w:rsidRPr="00166607">
        <w:rPr>
          <w:rFonts w:ascii="Times New Roman" w:hAnsi="Times New Roman"/>
          <w:sz w:val="24"/>
        </w:rPr>
        <w:t>.</w:t>
      </w:r>
      <w:r w:rsidR="007365BC" w:rsidRPr="00166607">
        <w:rPr>
          <w:rStyle w:val="FootnoteReference"/>
          <w:rFonts w:ascii="Times New Roman" w:hAnsi="Times New Roman"/>
          <w:sz w:val="24"/>
        </w:rPr>
        <w:footnoteReference w:id="31"/>
      </w:r>
      <w:r w:rsidR="00E626F5" w:rsidRPr="00166607">
        <w:rPr>
          <w:rFonts w:ascii="Times New Roman" w:hAnsi="Times New Roman"/>
          <w:sz w:val="24"/>
        </w:rPr>
        <w:t xml:space="preserve"> </w:t>
      </w:r>
      <w:r w:rsidR="0077018F" w:rsidRPr="00166607">
        <w:rPr>
          <w:rFonts w:ascii="Times New Roman" w:hAnsi="Times New Roman"/>
          <w:sz w:val="24"/>
        </w:rPr>
        <w:t>When aggregated across the six years after the scholarship, w</w:t>
      </w:r>
      <w:r w:rsidR="00DB4993" w:rsidRPr="008233C3">
        <w:rPr>
          <w:rFonts w:ascii="Times New Roman" w:hAnsi="Times New Roman"/>
          <w:sz w:val="24"/>
        </w:rPr>
        <w:t>e compute that the scholarships reduced public expenditure by</w:t>
      </w:r>
      <w:r w:rsidR="004B5440" w:rsidRPr="00166607">
        <w:rPr>
          <w:rFonts w:ascii="Times New Roman" w:hAnsi="Times New Roman"/>
          <w:sz w:val="24"/>
        </w:rPr>
        <w:t xml:space="preserve"> $175 among all applicants</w:t>
      </w:r>
      <w:r w:rsidR="00BB6811" w:rsidRPr="00166607">
        <w:rPr>
          <w:rFonts w:ascii="Times New Roman" w:hAnsi="Times New Roman"/>
          <w:sz w:val="24"/>
        </w:rPr>
        <w:t xml:space="preserve"> </w:t>
      </w:r>
      <w:r w:rsidR="00DB4993" w:rsidRPr="00166607">
        <w:rPr>
          <w:rFonts w:ascii="Times New Roman" w:hAnsi="Times New Roman"/>
          <w:sz w:val="24"/>
        </w:rPr>
        <w:t>as a result of the shift of students from public to private schools</w:t>
      </w:r>
      <w:r w:rsidR="00BB6811" w:rsidRPr="00166607">
        <w:rPr>
          <w:rFonts w:ascii="Times New Roman" w:hAnsi="Times New Roman"/>
          <w:sz w:val="24"/>
        </w:rPr>
        <w:t xml:space="preserve"> (Row 4)</w:t>
      </w:r>
      <w:r w:rsidR="00DB4993" w:rsidRPr="00166607">
        <w:rPr>
          <w:rFonts w:ascii="Times New Roman" w:hAnsi="Times New Roman"/>
          <w:sz w:val="24"/>
        </w:rPr>
        <w:t>.</w:t>
      </w:r>
    </w:p>
    <w:p w14:paraId="4ECC84F5" w14:textId="7C9B7B8F" w:rsidR="00DB4993" w:rsidRPr="00166607" w:rsidRDefault="006E4EAE" w:rsidP="00402892">
      <w:pPr>
        <w:pStyle w:val="CommentText"/>
        <w:spacing w:after="160" w:line="360" w:lineRule="auto"/>
        <w:rPr>
          <w:rFonts w:ascii="Times New Roman" w:hAnsi="Times New Roman"/>
          <w:b/>
          <w:sz w:val="24"/>
        </w:rPr>
      </w:pPr>
      <w:r w:rsidRPr="00166607">
        <w:rPr>
          <w:rFonts w:ascii="Times New Roman" w:hAnsi="Times New Roman"/>
          <w:b/>
          <w:sz w:val="24"/>
        </w:rPr>
        <w:t>7</w:t>
      </w:r>
      <w:r w:rsidR="00DB4993" w:rsidRPr="00166607">
        <w:rPr>
          <w:rFonts w:ascii="Times New Roman" w:hAnsi="Times New Roman"/>
          <w:b/>
          <w:sz w:val="24"/>
        </w:rPr>
        <w:t xml:space="preserve">.1.b. </w:t>
      </w:r>
      <w:r w:rsidR="007044E0" w:rsidRPr="00166607">
        <w:rPr>
          <w:rFonts w:ascii="Times New Roman" w:hAnsi="Times New Roman"/>
          <w:b/>
          <w:sz w:val="24"/>
        </w:rPr>
        <w:t xml:space="preserve">Other </w:t>
      </w:r>
      <w:r w:rsidR="001D1D96" w:rsidRPr="00166607">
        <w:rPr>
          <w:rFonts w:ascii="Times New Roman" w:hAnsi="Times New Roman"/>
          <w:b/>
          <w:sz w:val="24"/>
        </w:rPr>
        <w:t xml:space="preserve">government </w:t>
      </w:r>
      <w:r w:rsidR="00BB6811" w:rsidRPr="00166607">
        <w:rPr>
          <w:rFonts w:ascii="Times New Roman" w:hAnsi="Times New Roman"/>
          <w:b/>
          <w:sz w:val="24"/>
        </w:rPr>
        <w:t>c</w:t>
      </w:r>
      <w:r w:rsidR="007044E0" w:rsidRPr="00166607">
        <w:rPr>
          <w:rFonts w:ascii="Times New Roman" w:hAnsi="Times New Roman"/>
          <w:b/>
          <w:sz w:val="24"/>
        </w:rPr>
        <w:t>osts</w:t>
      </w:r>
    </w:p>
    <w:p w14:paraId="1C8EEA4E" w14:textId="170BCD31" w:rsidR="00737F40" w:rsidRPr="00166607" w:rsidRDefault="00E135CD" w:rsidP="00402892">
      <w:pPr>
        <w:pStyle w:val="CommentText"/>
        <w:spacing w:after="160" w:line="360" w:lineRule="auto"/>
        <w:ind w:firstLine="720"/>
        <w:jc w:val="both"/>
        <w:rPr>
          <w:rFonts w:ascii="Times New Roman" w:hAnsi="Times New Roman"/>
          <w:sz w:val="24"/>
        </w:rPr>
      </w:pPr>
      <w:r w:rsidRPr="00166607">
        <w:rPr>
          <w:rFonts w:ascii="Times New Roman" w:hAnsi="Times New Roman"/>
          <w:sz w:val="24"/>
        </w:rPr>
        <w:t>We</w:t>
      </w:r>
      <w:r w:rsidR="00737F40" w:rsidRPr="00166607">
        <w:rPr>
          <w:rFonts w:ascii="Times New Roman" w:hAnsi="Times New Roman"/>
          <w:sz w:val="24"/>
        </w:rPr>
        <w:t xml:space="preserve"> compute four other costs to the government.  These include reduced expenditure as a result of fewer grade repetitions, increased tertiary education costs as a result of increased attendance, changes in welfare program expenditures, and </w:t>
      </w:r>
      <w:r w:rsidR="00737B32" w:rsidRPr="00166607">
        <w:rPr>
          <w:rFonts w:ascii="Times New Roman" w:hAnsi="Times New Roman"/>
          <w:sz w:val="24"/>
        </w:rPr>
        <w:t>foregone tax revenue for students who remain</w:t>
      </w:r>
      <w:r w:rsidR="00743B35" w:rsidRPr="00166607">
        <w:rPr>
          <w:rFonts w:ascii="Times New Roman" w:hAnsi="Times New Roman"/>
          <w:sz w:val="24"/>
        </w:rPr>
        <w:t xml:space="preserve"> longer</w:t>
      </w:r>
      <w:r w:rsidR="00737B32" w:rsidRPr="00166607">
        <w:rPr>
          <w:rFonts w:ascii="Times New Roman" w:hAnsi="Times New Roman"/>
          <w:sz w:val="24"/>
        </w:rPr>
        <w:t xml:space="preserve"> in </w:t>
      </w:r>
      <w:r w:rsidR="00743B35" w:rsidRPr="00166607">
        <w:rPr>
          <w:rFonts w:ascii="Times New Roman" w:hAnsi="Times New Roman"/>
          <w:sz w:val="24"/>
        </w:rPr>
        <w:t>school</w:t>
      </w:r>
      <w:r w:rsidR="00737B32" w:rsidRPr="00166607">
        <w:rPr>
          <w:rFonts w:ascii="Times New Roman" w:hAnsi="Times New Roman"/>
          <w:sz w:val="24"/>
        </w:rPr>
        <w:t>.</w:t>
      </w:r>
    </w:p>
    <w:p w14:paraId="33530422" w14:textId="0437CF79" w:rsidR="00804DDA" w:rsidRPr="00166607" w:rsidRDefault="00737B32" w:rsidP="00402892">
      <w:pPr>
        <w:pStyle w:val="CommentText"/>
        <w:spacing w:after="160" w:line="360" w:lineRule="auto"/>
        <w:ind w:firstLine="720"/>
        <w:jc w:val="both"/>
        <w:rPr>
          <w:rFonts w:ascii="Times New Roman" w:hAnsi="Times New Roman"/>
          <w:sz w:val="24"/>
        </w:rPr>
      </w:pPr>
      <w:r w:rsidRPr="00166607">
        <w:rPr>
          <w:rFonts w:ascii="Times New Roman" w:hAnsi="Times New Roman"/>
          <w:sz w:val="24"/>
        </w:rPr>
        <w:t>We</w:t>
      </w:r>
      <w:r w:rsidR="00E135CD" w:rsidRPr="00166607">
        <w:rPr>
          <w:rFonts w:ascii="Times New Roman" w:hAnsi="Times New Roman"/>
          <w:sz w:val="24"/>
        </w:rPr>
        <w:t xml:space="preserve"> defer </w:t>
      </w:r>
      <w:r w:rsidRPr="00166607">
        <w:rPr>
          <w:rFonts w:ascii="Times New Roman" w:hAnsi="Times New Roman"/>
          <w:sz w:val="24"/>
        </w:rPr>
        <w:t xml:space="preserve">a detailed </w:t>
      </w:r>
      <w:r w:rsidR="00E135CD" w:rsidRPr="00166607">
        <w:rPr>
          <w:rFonts w:ascii="Times New Roman" w:hAnsi="Times New Roman"/>
          <w:sz w:val="24"/>
        </w:rPr>
        <w:t>explanation of t</w:t>
      </w:r>
      <w:r w:rsidR="00804DDA" w:rsidRPr="00166607">
        <w:rPr>
          <w:rFonts w:ascii="Times New Roman" w:hAnsi="Times New Roman"/>
          <w:sz w:val="24"/>
        </w:rPr>
        <w:t xml:space="preserve">he cost </w:t>
      </w:r>
      <w:r w:rsidR="00804DDA" w:rsidRPr="00166607">
        <w:rPr>
          <w:rFonts w:ascii="Times New Roman" w:hAnsi="Times New Roman"/>
          <w:sz w:val="24"/>
          <w:szCs w:val="24"/>
        </w:rPr>
        <w:t xml:space="preserve">savings from reduced grade repetition among scholarship winners </w:t>
      </w:r>
      <w:r w:rsidR="00E135CD" w:rsidRPr="00166607">
        <w:rPr>
          <w:rFonts w:ascii="Times New Roman" w:hAnsi="Times New Roman"/>
          <w:sz w:val="24"/>
          <w:szCs w:val="24"/>
        </w:rPr>
        <w:t>to</w:t>
      </w:r>
      <w:r w:rsidR="00804DDA" w:rsidRPr="00166607">
        <w:rPr>
          <w:rFonts w:ascii="Times New Roman" w:hAnsi="Times New Roman"/>
          <w:sz w:val="24"/>
          <w:szCs w:val="24"/>
        </w:rPr>
        <w:t xml:space="preserve"> Appendix </w:t>
      </w:r>
      <w:r w:rsidR="0075437E" w:rsidRPr="00166607">
        <w:rPr>
          <w:rFonts w:ascii="Times New Roman" w:hAnsi="Times New Roman"/>
          <w:sz w:val="24"/>
          <w:szCs w:val="24"/>
        </w:rPr>
        <w:t>C</w:t>
      </w:r>
      <w:r w:rsidR="00804DDA" w:rsidRPr="00166607">
        <w:rPr>
          <w:rFonts w:ascii="Times New Roman" w:hAnsi="Times New Roman"/>
          <w:sz w:val="24"/>
          <w:szCs w:val="24"/>
        </w:rPr>
        <w:t xml:space="preserve">. </w:t>
      </w:r>
      <w:r w:rsidR="00E135CD" w:rsidRPr="00166607">
        <w:rPr>
          <w:rFonts w:ascii="Times New Roman" w:hAnsi="Times New Roman"/>
          <w:sz w:val="24"/>
          <w:szCs w:val="24"/>
        </w:rPr>
        <w:t xml:space="preserve">In short, we assume that </w:t>
      </w:r>
      <w:r w:rsidR="00E135CD" w:rsidRPr="008233C3">
        <w:rPr>
          <w:rFonts w:ascii="Times New Roman" w:hAnsi="Times New Roman"/>
          <w:sz w:val="24"/>
          <w:szCs w:val="24"/>
        </w:rPr>
        <w:t>i) only publi</w:t>
      </w:r>
      <w:r w:rsidR="00E135CD" w:rsidRPr="00166607">
        <w:rPr>
          <w:rFonts w:ascii="Times New Roman" w:hAnsi="Times New Roman"/>
          <w:sz w:val="24"/>
          <w:szCs w:val="24"/>
        </w:rPr>
        <w:t>c school repetitions cost the government money, ii) among applicants who finish on-schedule, there is no repetition; ii</w:t>
      </w:r>
      <w:r w:rsidR="00743B35" w:rsidRPr="00166607">
        <w:rPr>
          <w:rFonts w:ascii="Times New Roman" w:hAnsi="Times New Roman"/>
          <w:sz w:val="24"/>
          <w:szCs w:val="24"/>
        </w:rPr>
        <w:t>i</w:t>
      </w:r>
      <w:r w:rsidR="00E135CD" w:rsidRPr="00166607">
        <w:rPr>
          <w:rFonts w:ascii="Times New Roman" w:hAnsi="Times New Roman"/>
          <w:sz w:val="24"/>
          <w:szCs w:val="24"/>
        </w:rPr>
        <w:t>) among applicants who finish with delays, the delays are all a consequence of grade repetition and i</w:t>
      </w:r>
      <w:r w:rsidR="00743B35" w:rsidRPr="00166607">
        <w:rPr>
          <w:rFonts w:ascii="Times New Roman" w:hAnsi="Times New Roman"/>
          <w:sz w:val="24"/>
          <w:szCs w:val="24"/>
        </w:rPr>
        <w:t>v</w:t>
      </w:r>
      <w:r w:rsidR="00E135CD" w:rsidRPr="00166607">
        <w:rPr>
          <w:rFonts w:ascii="Times New Roman" w:hAnsi="Times New Roman"/>
          <w:sz w:val="24"/>
          <w:szCs w:val="24"/>
        </w:rPr>
        <w:t>) among those who never finish secondary school</w:t>
      </w:r>
      <w:r w:rsidR="00FE23A9" w:rsidRPr="00166607">
        <w:rPr>
          <w:rFonts w:ascii="Times New Roman" w:hAnsi="Times New Roman"/>
          <w:sz w:val="24"/>
          <w:szCs w:val="24"/>
        </w:rPr>
        <w:t>, all dropouts happened in 9</w:t>
      </w:r>
      <w:r w:rsidR="00FE23A9" w:rsidRPr="00166607">
        <w:rPr>
          <w:rFonts w:ascii="Times New Roman" w:hAnsi="Times New Roman"/>
          <w:sz w:val="24"/>
          <w:szCs w:val="24"/>
          <w:vertAlign w:val="superscript"/>
        </w:rPr>
        <w:t>th</w:t>
      </w:r>
      <w:r w:rsidR="00FE23A9" w:rsidRPr="00166607">
        <w:rPr>
          <w:rFonts w:ascii="Times New Roman" w:hAnsi="Times New Roman"/>
          <w:sz w:val="24"/>
          <w:szCs w:val="24"/>
        </w:rPr>
        <w:t xml:space="preserve"> grade</w:t>
      </w:r>
      <w:r w:rsidR="00E135CD" w:rsidRPr="00166607">
        <w:rPr>
          <w:rFonts w:ascii="Times New Roman" w:hAnsi="Times New Roman"/>
          <w:sz w:val="24"/>
          <w:szCs w:val="24"/>
        </w:rPr>
        <w:t xml:space="preserve">, so that total repetitions for this group are </w:t>
      </w:r>
      <w:r w:rsidR="00737F40" w:rsidRPr="00166607">
        <w:rPr>
          <w:rFonts w:ascii="Times New Roman" w:hAnsi="Times New Roman"/>
          <w:sz w:val="24"/>
          <w:szCs w:val="24"/>
        </w:rPr>
        <w:t>as</w:t>
      </w:r>
      <w:r w:rsidR="00E135CD" w:rsidRPr="00166607">
        <w:rPr>
          <w:rFonts w:ascii="Times New Roman" w:hAnsi="Times New Roman"/>
          <w:sz w:val="24"/>
          <w:szCs w:val="24"/>
        </w:rPr>
        <w:t xml:space="preserve"> reported Angrist et al. (2002).</w:t>
      </w:r>
      <w:r w:rsidR="00E135CD" w:rsidRPr="00166607">
        <w:rPr>
          <w:rFonts w:ascii="Times New Roman" w:hAnsi="Times New Roman"/>
        </w:rPr>
        <w:t xml:space="preserve">  </w:t>
      </w:r>
      <w:r w:rsidR="00E135CD" w:rsidRPr="00166607">
        <w:rPr>
          <w:rFonts w:ascii="Times New Roman" w:hAnsi="Times New Roman"/>
          <w:sz w:val="24"/>
        </w:rPr>
        <w:t>Under these assumptions, the c</w:t>
      </w:r>
      <w:r w:rsidR="00804DDA" w:rsidRPr="00166607">
        <w:rPr>
          <w:rFonts w:ascii="Times New Roman" w:hAnsi="Times New Roman"/>
          <w:sz w:val="24"/>
        </w:rPr>
        <w:t>ost savings from reduced grade repetition are</w:t>
      </w:r>
      <w:r w:rsidR="002C716E" w:rsidRPr="00166607">
        <w:rPr>
          <w:rFonts w:ascii="Times New Roman" w:hAnsi="Times New Roman"/>
          <w:sz w:val="24"/>
        </w:rPr>
        <w:t xml:space="preserve"> $4</w:t>
      </w:r>
      <w:r w:rsidR="00CE4649" w:rsidRPr="00166607">
        <w:rPr>
          <w:rFonts w:ascii="Times New Roman" w:hAnsi="Times New Roman"/>
          <w:sz w:val="24"/>
        </w:rPr>
        <w:t xml:space="preserve"> </w:t>
      </w:r>
      <w:r w:rsidR="00FD1BC8" w:rsidRPr="00166607">
        <w:rPr>
          <w:rFonts w:ascii="Times New Roman" w:hAnsi="Times New Roman"/>
          <w:sz w:val="24"/>
        </w:rPr>
        <w:t>(Row 5)</w:t>
      </w:r>
      <w:r w:rsidR="00804DDA" w:rsidRPr="00166607">
        <w:rPr>
          <w:rFonts w:ascii="Times New Roman" w:hAnsi="Times New Roman"/>
          <w:sz w:val="24"/>
        </w:rPr>
        <w:t>.</w:t>
      </w:r>
      <w:r w:rsidR="00746B85" w:rsidRPr="00166607">
        <w:rPr>
          <w:rStyle w:val="FootnoteReference"/>
          <w:rFonts w:ascii="Times New Roman" w:hAnsi="Times New Roman"/>
          <w:sz w:val="24"/>
        </w:rPr>
        <w:footnoteReference w:id="32"/>
      </w:r>
      <w:r w:rsidR="00804DDA" w:rsidRPr="00166607">
        <w:rPr>
          <w:rFonts w:ascii="Times New Roman" w:hAnsi="Times New Roman"/>
          <w:sz w:val="24"/>
        </w:rPr>
        <w:t xml:space="preserve">  </w:t>
      </w:r>
      <w:r w:rsidR="00FE23A9" w:rsidRPr="00166607">
        <w:rPr>
          <w:rFonts w:ascii="Times New Roman" w:hAnsi="Times New Roman"/>
          <w:sz w:val="24"/>
        </w:rPr>
        <w:t>The other three costs that we esti</w:t>
      </w:r>
      <w:r w:rsidR="00FE23A9" w:rsidRPr="008233C3">
        <w:rPr>
          <w:rFonts w:ascii="Times New Roman" w:hAnsi="Times New Roman"/>
          <w:sz w:val="24"/>
        </w:rPr>
        <w:t xml:space="preserve">mate take place after secondary school.  Hence, we can </w:t>
      </w:r>
      <w:r w:rsidR="00FE23A9" w:rsidRPr="008233C3">
        <w:rPr>
          <w:rFonts w:ascii="Times New Roman" w:hAnsi="Times New Roman"/>
          <w:sz w:val="24"/>
        </w:rPr>
        <w:lastRenderedPageBreak/>
        <w:t xml:space="preserve">combine the cost savings associated with repetition to our prior estimates to get the total secondary education costs.  This total expenditure over the six-years of remaining school includes the </w:t>
      </w:r>
      <w:r w:rsidR="00804DDA" w:rsidRPr="008233C3">
        <w:rPr>
          <w:rFonts w:ascii="Times New Roman" w:hAnsi="Times New Roman"/>
          <w:sz w:val="24"/>
        </w:rPr>
        <w:t xml:space="preserve">costs </w:t>
      </w:r>
      <w:r w:rsidR="00737F40" w:rsidRPr="00166607">
        <w:rPr>
          <w:rFonts w:ascii="Times New Roman" w:hAnsi="Times New Roman"/>
          <w:sz w:val="24"/>
        </w:rPr>
        <w:t>for students who would have attended private schools in the absence of the program</w:t>
      </w:r>
      <w:r w:rsidR="002B3A44" w:rsidRPr="00166607">
        <w:rPr>
          <w:rFonts w:ascii="Times New Roman" w:hAnsi="Times New Roman"/>
          <w:sz w:val="24"/>
        </w:rPr>
        <w:t xml:space="preserve"> (</w:t>
      </w:r>
      <w:r w:rsidR="00DF615C" w:rsidRPr="00166607">
        <w:rPr>
          <w:rFonts w:ascii="Times New Roman" w:hAnsi="Times New Roman"/>
          <w:sz w:val="24"/>
        </w:rPr>
        <w:t xml:space="preserve">Row </w:t>
      </w:r>
      <w:r w:rsidR="002B3A44" w:rsidRPr="00166607">
        <w:rPr>
          <w:rFonts w:ascii="Times New Roman" w:hAnsi="Times New Roman"/>
          <w:sz w:val="24"/>
        </w:rPr>
        <w:t>3)</w:t>
      </w:r>
      <w:r w:rsidR="00FE23A9" w:rsidRPr="00166607">
        <w:rPr>
          <w:rFonts w:ascii="Times New Roman" w:hAnsi="Times New Roman"/>
          <w:sz w:val="24"/>
        </w:rPr>
        <w:t>, the</w:t>
      </w:r>
      <w:r w:rsidR="002B3A44" w:rsidRPr="00166607">
        <w:rPr>
          <w:rFonts w:ascii="Times New Roman" w:hAnsi="Times New Roman"/>
          <w:sz w:val="24"/>
        </w:rPr>
        <w:t xml:space="preserve"> net of</w:t>
      </w:r>
      <w:r w:rsidR="00737F40" w:rsidRPr="00166607">
        <w:rPr>
          <w:rFonts w:ascii="Times New Roman" w:hAnsi="Times New Roman"/>
          <w:sz w:val="24"/>
        </w:rPr>
        <w:t xml:space="preserve"> </w:t>
      </w:r>
      <w:r w:rsidR="00804DDA" w:rsidRPr="00166607">
        <w:rPr>
          <w:rFonts w:ascii="Times New Roman" w:hAnsi="Times New Roman"/>
          <w:sz w:val="24"/>
        </w:rPr>
        <w:t>savings from reduced expenditure on public education</w:t>
      </w:r>
      <w:r w:rsidR="00737F40" w:rsidRPr="00166607">
        <w:rPr>
          <w:rFonts w:ascii="Times New Roman" w:hAnsi="Times New Roman"/>
          <w:sz w:val="24"/>
        </w:rPr>
        <w:t xml:space="preserve"> for students induced to transfer from public to private schools</w:t>
      </w:r>
      <w:r w:rsidR="002B3A44" w:rsidRPr="00166607">
        <w:rPr>
          <w:rFonts w:ascii="Times New Roman" w:hAnsi="Times New Roman"/>
          <w:sz w:val="24"/>
        </w:rPr>
        <w:t xml:space="preserve"> (</w:t>
      </w:r>
      <w:r w:rsidR="00DF615C" w:rsidRPr="00166607">
        <w:rPr>
          <w:rFonts w:ascii="Times New Roman" w:hAnsi="Times New Roman"/>
          <w:sz w:val="24"/>
        </w:rPr>
        <w:t xml:space="preserve">Row </w:t>
      </w:r>
      <w:r w:rsidR="002B3A44" w:rsidRPr="00166607">
        <w:rPr>
          <w:rFonts w:ascii="Times New Roman" w:hAnsi="Times New Roman"/>
          <w:sz w:val="24"/>
        </w:rPr>
        <w:t>4)</w:t>
      </w:r>
      <w:r w:rsidR="00737F40" w:rsidRPr="00166607">
        <w:rPr>
          <w:rFonts w:ascii="Times New Roman" w:hAnsi="Times New Roman"/>
          <w:sz w:val="24"/>
        </w:rPr>
        <w:t>,</w:t>
      </w:r>
      <w:r w:rsidR="00804DDA" w:rsidRPr="00166607">
        <w:rPr>
          <w:rFonts w:ascii="Times New Roman" w:hAnsi="Times New Roman"/>
          <w:sz w:val="24"/>
        </w:rPr>
        <w:t xml:space="preserve"> </w:t>
      </w:r>
      <w:r w:rsidR="00737F40" w:rsidRPr="00166607">
        <w:rPr>
          <w:rFonts w:ascii="Times New Roman" w:hAnsi="Times New Roman"/>
          <w:sz w:val="24"/>
        </w:rPr>
        <w:t xml:space="preserve">and </w:t>
      </w:r>
      <w:r w:rsidR="00804DDA" w:rsidRPr="00166607">
        <w:rPr>
          <w:rFonts w:ascii="Times New Roman" w:hAnsi="Times New Roman"/>
          <w:sz w:val="24"/>
        </w:rPr>
        <w:t>cost savings from reduced grade repetition (</w:t>
      </w:r>
      <w:r w:rsidR="00DF615C" w:rsidRPr="00166607">
        <w:rPr>
          <w:rFonts w:ascii="Times New Roman" w:hAnsi="Times New Roman"/>
          <w:sz w:val="24"/>
        </w:rPr>
        <w:t xml:space="preserve">Row </w:t>
      </w:r>
      <w:r w:rsidR="005D6FA7" w:rsidRPr="00166607">
        <w:rPr>
          <w:rFonts w:ascii="Times New Roman" w:hAnsi="Times New Roman"/>
          <w:sz w:val="24"/>
        </w:rPr>
        <w:t>5</w:t>
      </w:r>
      <w:r w:rsidR="00804DDA" w:rsidRPr="00166607">
        <w:rPr>
          <w:rFonts w:ascii="Times New Roman" w:hAnsi="Times New Roman"/>
          <w:sz w:val="24"/>
        </w:rPr>
        <w:t>)</w:t>
      </w:r>
      <w:r w:rsidR="00FE23A9" w:rsidRPr="00166607">
        <w:rPr>
          <w:rFonts w:ascii="Times New Roman" w:hAnsi="Times New Roman"/>
          <w:sz w:val="24"/>
        </w:rPr>
        <w:t xml:space="preserve">.  The overall total increase in secondary school costs per student is thus </w:t>
      </w:r>
      <w:r w:rsidR="006613E3" w:rsidRPr="00166607">
        <w:rPr>
          <w:rFonts w:ascii="Times New Roman" w:hAnsi="Times New Roman"/>
          <w:sz w:val="24"/>
        </w:rPr>
        <w:t>$293</w:t>
      </w:r>
      <w:r w:rsidR="00CE4649" w:rsidRPr="00166607">
        <w:rPr>
          <w:rFonts w:ascii="Times New Roman" w:hAnsi="Times New Roman"/>
          <w:sz w:val="24"/>
        </w:rPr>
        <w:t xml:space="preserve"> (</w:t>
      </w:r>
      <w:r w:rsidR="00804DDA" w:rsidRPr="00166607">
        <w:rPr>
          <w:rFonts w:ascii="Times New Roman" w:hAnsi="Times New Roman"/>
          <w:sz w:val="24"/>
        </w:rPr>
        <w:t xml:space="preserve">Row </w:t>
      </w:r>
      <w:r w:rsidR="002B3A44" w:rsidRPr="00166607">
        <w:rPr>
          <w:rFonts w:ascii="Times New Roman" w:hAnsi="Times New Roman"/>
          <w:sz w:val="24"/>
        </w:rPr>
        <w:t>6</w:t>
      </w:r>
      <w:r w:rsidR="00804DDA" w:rsidRPr="00166607">
        <w:rPr>
          <w:rFonts w:ascii="Times New Roman" w:hAnsi="Times New Roman"/>
          <w:sz w:val="24"/>
        </w:rPr>
        <w:t xml:space="preserve">).  </w:t>
      </w:r>
    </w:p>
    <w:p w14:paraId="4D0A8036" w14:textId="5A30910F" w:rsidR="00916B3C" w:rsidRPr="00166607" w:rsidRDefault="00804DDA" w:rsidP="00402892">
      <w:pPr>
        <w:pStyle w:val="CommentText"/>
        <w:spacing w:after="160" w:line="360" w:lineRule="auto"/>
        <w:ind w:firstLine="720"/>
        <w:jc w:val="both"/>
        <w:rPr>
          <w:rFonts w:ascii="Times New Roman" w:eastAsia="Times New Roman" w:hAnsi="Times New Roman"/>
          <w:color w:val="000000"/>
          <w:sz w:val="24"/>
          <w:szCs w:val="24"/>
        </w:rPr>
      </w:pPr>
      <w:r w:rsidRPr="00166607">
        <w:rPr>
          <w:rFonts w:ascii="Times New Roman" w:eastAsia="Times New Roman" w:hAnsi="Times New Roman"/>
          <w:color w:val="000000"/>
          <w:sz w:val="24"/>
        </w:rPr>
        <w:t xml:space="preserve">There are two sources of tertiary education costs to the government: </w:t>
      </w:r>
      <w:r w:rsidR="006854D2" w:rsidRPr="00166607">
        <w:rPr>
          <w:rFonts w:ascii="Times New Roman" w:eastAsia="Times New Roman" w:hAnsi="Times New Roman"/>
          <w:color w:val="000000"/>
          <w:sz w:val="24"/>
        </w:rPr>
        <w:t xml:space="preserve">additional </w:t>
      </w:r>
      <w:r w:rsidRPr="00166607">
        <w:rPr>
          <w:rFonts w:ascii="Times New Roman" w:eastAsia="Times New Roman" w:hAnsi="Times New Roman"/>
          <w:color w:val="000000"/>
          <w:sz w:val="24"/>
        </w:rPr>
        <w:t>public tertiary education costs and tertiary education</w:t>
      </w:r>
      <w:r w:rsidR="0056036D" w:rsidRPr="00166607">
        <w:rPr>
          <w:rFonts w:ascii="Times New Roman" w:eastAsia="Times New Roman" w:hAnsi="Times New Roman"/>
          <w:color w:val="000000"/>
          <w:sz w:val="24"/>
        </w:rPr>
        <w:t xml:space="preserve"> loan</w:t>
      </w:r>
      <w:r w:rsidRPr="00166607">
        <w:rPr>
          <w:rFonts w:ascii="Times New Roman" w:eastAsia="Times New Roman" w:hAnsi="Times New Roman"/>
          <w:color w:val="000000"/>
          <w:sz w:val="24"/>
        </w:rPr>
        <w:t xml:space="preserve"> subsidies.</w:t>
      </w:r>
      <w:r w:rsidR="00AF54C3" w:rsidRPr="00166607">
        <w:rPr>
          <w:rStyle w:val="FootnoteReference"/>
          <w:rFonts w:ascii="Times New Roman" w:eastAsia="Times New Roman" w:hAnsi="Times New Roman"/>
          <w:color w:val="000000"/>
          <w:sz w:val="24"/>
        </w:rPr>
        <w:footnoteReference w:id="33"/>
      </w:r>
      <w:r w:rsidRPr="00166607">
        <w:rPr>
          <w:rFonts w:ascii="Times New Roman" w:eastAsia="Times New Roman" w:hAnsi="Times New Roman"/>
          <w:color w:val="000000"/>
          <w:sz w:val="24"/>
        </w:rPr>
        <w:t xml:space="preserve">  </w:t>
      </w:r>
      <w:r w:rsidR="006854D2" w:rsidRPr="00166607">
        <w:rPr>
          <w:rFonts w:ascii="Times New Roman" w:eastAsia="Times New Roman" w:hAnsi="Times New Roman"/>
          <w:color w:val="000000"/>
          <w:sz w:val="24"/>
        </w:rPr>
        <w:t>Additional p</w:t>
      </w:r>
      <w:r w:rsidRPr="008233C3">
        <w:rPr>
          <w:rFonts w:ascii="Times New Roman" w:eastAsia="Times New Roman" w:hAnsi="Times New Roman"/>
          <w:color w:val="000000"/>
          <w:sz w:val="24"/>
        </w:rPr>
        <w:t>ublic tertiary education costs are</w:t>
      </w:r>
      <w:r w:rsidR="00877736" w:rsidRPr="00166607">
        <w:rPr>
          <w:rFonts w:ascii="Times New Roman" w:eastAsia="Times New Roman" w:hAnsi="Times New Roman"/>
          <w:color w:val="000000"/>
          <w:sz w:val="24"/>
        </w:rPr>
        <w:t xml:space="preserve"> estimated as</w:t>
      </w:r>
      <w:r w:rsidRPr="00166607">
        <w:rPr>
          <w:rFonts w:ascii="Times New Roman" w:eastAsia="Times New Roman" w:hAnsi="Times New Roman"/>
          <w:color w:val="000000"/>
          <w:sz w:val="24"/>
        </w:rPr>
        <w:t xml:space="preserve"> annual per-pupil expenditures in public tertiary education </w:t>
      </w:r>
      <w:r w:rsidR="00FE23A9" w:rsidRPr="00166607">
        <w:rPr>
          <w:rFonts w:ascii="Times New Roman" w:eastAsia="Times New Roman" w:hAnsi="Times New Roman"/>
          <w:color w:val="000000"/>
          <w:sz w:val="24"/>
        </w:rPr>
        <w:t xml:space="preserve">multiplied by both </w:t>
      </w:r>
      <w:r w:rsidRPr="00166607">
        <w:rPr>
          <w:rFonts w:ascii="Times New Roman" w:eastAsia="Times New Roman" w:hAnsi="Times New Roman"/>
          <w:color w:val="000000"/>
          <w:sz w:val="24"/>
        </w:rPr>
        <w:t xml:space="preserve">the scholarship impact on years of tertiary education </w:t>
      </w:r>
      <w:r w:rsidR="00FE23A9" w:rsidRPr="00166607">
        <w:rPr>
          <w:rFonts w:ascii="Times New Roman" w:eastAsia="Times New Roman" w:hAnsi="Times New Roman"/>
          <w:color w:val="000000"/>
          <w:sz w:val="24"/>
        </w:rPr>
        <w:t xml:space="preserve">and </w:t>
      </w:r>
      <w:r w:rsidRPr="00166607">
        <w:rPr>
          <w:rFonts w:ascii="Times New Roman" w:eastAsia="Times New Roman" w:hAnsi="Times New Roman"/>
          <w:color w:val="000000"/>
          <w:sz w:val="24"/>
        </w:rPr>
        <w:t xml:space="preserve">the fraction of lottery winners attending a public tertiary institution (Row </w:t>
      </w:r>
      <w:r w:rsidR="005D6FA7" w:rsidRPr="00166607">
        <w:rPr>
          <w:rFonts w:ascii="Times New Roman" w:eastAsia="Times New Roman" w:hAnsi="Times New Roman"/>
          <w:color w:val="000000"/>
          <w:sz w:val="24"/>
        </w:rPr>
        <w:t>7</w:t>
      </w:r>
      <w:r w:rsidRPr="00166607">
        <w:rPr>
          <w:rFonts w:ascii="Times New Roman" w:eastAsia="Times New Roman" w:hAnsi="Times New Roman"/>
          <w:color w:val="000000"/>
          <w:sz w:val="24"/>
        </w:rPr>
        <w:t xml:space="preserve">).  </w:t>
      </w:r>
      <w:r w:rsidR="00C71F6F" w:rsidRPr="00166607">
        <w:rPr>
          <w:rFonts w:ascii="Times New Roman" w:eastAsia="Times New Roman" w:hAnsi="Times New Roman"/>
          <w:color w:val="000000"/>
          <w:sz w:val="24"/>
        </w:rPr>
        <w:t>Additional t</w:t>
      </w:r>
      <w:r w:rsidRPr="00166607">
        <w:rPr>
          <w:rFonts w:ascii="Times New Roman" w:eastAsia="Times New Roman" w:hAnsi="Times New Roman"/>
          <w:color w:val="000000"/>
          <w:sz w:val="24"/>
        </w:rPr>
        <w:t xml:space="preserve">ertiary education loan subsidies are </w:t>
      </w:r>
      <w:r w:rsidR="00877736" w:rsidRPr="00166607">
        <w:rPr>
          <w:rFonts w:ascii="Times New Roman" w:eastAsia="Times New Roman" w:hAnsi="Times New Roman"/>
          <w:color w:val="000000"/>
          <w:sz w:val="24"/>
        </w:rPr>
        <w:t xml:space="preserve">estimated as </w:t>
      </w:r>
      <w:r w:rsidRPr="00166607">
        <w:rPr>
          <w:rFonts w:ascii="Times New Roman" w:eastAsia="Times New Roman" w:hAnsi="Times New Roman"/>
          <w:color w:val="000000"/>
          <w:sz w:val="24"/>
        </w:rPr>
        <w:t xml:space="preserve">annual per-pupil tertiary education loan subsidy </w:t>
      </w:r>
      <w:r w:rsidRPr="00166607">
        <w:rPr>
          <w:rFonts w:ascii="Times New Roman" w:eastAsia="Times New Roman" w:hAnsi="Times New Roman"/>
          <w:color w:val="000000"/>
          <w:sz w:val="24"/>
          <w:szCs w:val="24"/>
        </w:rPr>
        <w:t xml:space="preserve">amounts </w:t>
      </w:r>
      <w:r w:rsidR="00FE23A9" w:rsidRPr="00166607">
        <w:rPr>
          <w:rFonts w:ascii="Times New Roman" w:eastAsia="Times New Roman" w:hAnsi="Times New Roman"/>
          <w:color w:val="000000"/>
          <w:sz w:val="24"/>
          <w:szCs w:val="24"/>
        </w:rPr>
        <w:t xml:space="preserve">multiplied by </w:t>
      </w:r>
      <w:r w:rsidR="00C71F6F" w:rsidRPr="00166607">
        <w:rPr>
          <w:rFonts w:ascii="Times New Roman" w:eastAsia="Times New Roman" w:hAnsi="Times New Roman"/>
          <w:color w:val="000000"/>
          <w:sz w:val="24"/>
          <w:szCs w:val="24"/>
        </w:rPr>
        <w:t xml:space="preserve">the scholarship impact on number of years of subsidy receipt </w:t>
      </w:r>
      <w:r w:rsidRPr="00166607">
        <w:rPr>
          <w:rFonts w:ascii="Times New Roman" w:eastAsia="Times New Roman" w:hAnsi="Times New Roman"/>
          <w:color w:val="000000"/>
          <w:sz w:val="24"/>
        </w:rPr>
        <w:t>(Ro</w:t>
      </w:r>
      <w:r w:rsidR="005D6FA7" w:rsidRPr="00166607">
        <w:rPr>
          <w:rFonts w:ascii="Times New Roman" w:eastAsia="Times New Roman" w:hAnsi="Times New Roman"/>
          <w:color w:val="000000"/>
          <w:sz w:val="24"/>
        </w:rPr>
        <w:t>w 8</w:t>
      </w:r>
      <w:r w:rsidRPr="00166607">
        <w:rPr>
          <w:rFonts w:ascii="Times New Roman" w:eastAsia="Times New Roman" w:hAnsi="Times New Roman"/>
          <w:color w:val="000000"/>
          <w:sz w:val="24"/>
        </w:rPr>
        <w:t xml:space="preserve">).  </w:t>
      </w:r>
      <w:r w:rsidRPr="00166607">
        <w:rPr>
          <w:rFonts w:ascii="Times New Roman" w:eastAsia="Times New Roman" w:hAnsi="Times New Roman"/>
          <w:color w:val="000000"/>
          <w:sz w:val="24"/>
          <w:szCs w:val="24"/>
        </w:rPr>
        <w:t xml:space="preserve">Tertiary education costs (public education plus loan subsidies) are </w:t>
      </w:r>
      <w:r w:rsidR="00FE23A9" w:rsidRPr="00166607">
        <w:rPr>
          <w:rFonts w:ascii="Times New Roman" w:eastAsia="Times New Roman" w:hAnsi="Times New Roman"/>
          <w:color w:val="000000"/>
          <w:sz w:val="24"/>
          <w:szCs w:val="24"/>
        </w:rPr>
        <w:t xml:space="preserve">thus </w:t>
      </w:r>
      <w:r w:rsidR="00922076" w:rsidRPr="00166607">
        <w:rPr>
          <w:rFonts w:ascii="Times New Roman" w:eastAsia="Times New Roman" w:hAnsi="Times New Roman"/>
          <w:color w:val="000000"/>
          <w:sz w:val="24"/>
          <w:szCs w:val="24"/>
        </w:rPr>
        <w:t>$15 (</w:t>
      </w:r>
      <w:r w:rsidR="001E1F86" w:rsidRPr="00166607">
        <w:rPr>
          <w:rFonts w:ascii="Times New Roman" w:eastAsia="Times New Roman" w:hAnsi="Times New Roman"/>
          <w:color w:val="000000"/>
          <w:sz w:val="24"/>
          <w:szCs w:val="24"/>
        </w:rPr>
        <w:t>-</w:t>
      </w:r>
      <w:r w:rsidRPr="00166607">
        <w:rPr>
          <w:rFonts w:ascii="Times New Roman" w:eastAsia="Times New Roman" w:hAnsi="Times New Roman"/>
          <w:color w:val="000000"/>
          <w:sz w:val="24"/>
          <w:szCs w:val="24"/>
        </w:rPr>
        <w:t>$</w:t>
      </w:r>
      <w:r w:rsidR="001E1F86" w:rsidRPr="00166607">
        <w:rPr>
          <w:rFonts w:ascii="Times New Roman" w:eastAsia="Times New Roman" w:hAnsi="Times New Roman"/>
          <w:color w:val="000000"/>
          <w:sz w:val="24"/>
          <w:szCs w:val="24"/>
        </w:rPr>
        <w:t>12</w:t>
      </w:r>
      <w:r w:rsidR="005D6FA7" w:rsidRPr="00166607">
        <w:rPr>
          <w:rFonts w:ascii="Times New Roman" w:eastAsia="Times New Roman" w:hAnsi="Times New Roman"/>
          <w:color w:val="000000"/>
          <w:sz w:val="24"/>
          <w:szCs w:val="24"/>
        </w:rPr>
        <w:t xml:space="preserve"> </w:t>
      </w:r>
      <w:r w:rsidRPr="00166607">
        <w:rPr>
          <w:rFonts w:ascii="Times New Roman" w:eastAsia="Times New Roman" w:hAnsi="Times New Roman"/>
          <w:color w:val="000000"/>
          <w:sz w:val="24"/>
          <w:szCs w:val="24"/>
        </w:rPr>
        <w:t xml:space="preserve">for </w:t>
      </w:r>
      <w:r w:rsidR="001E1F86" w:rsidRPr="00166607">
        <w:rPr>
          <w:rFonts w:ascii="Times New Roman" w:eastAsia="Times New Roman" w:hAnsi="Times New Roman"/>
          <w:color w:val="000000"/>
          <w:sz w:val="24"/>
          <w:szCs w:val="24"/>
        </w:rPr>
        <w:t xml:space="preserve">academic school applicants </w:t>
      </w:r>
      <w:r w:rsidRPr="00166607">
        <w:rPr>
          <w:rFonts w:ascii="Times New Roman" w:eastAsia="Times New Roman" w:hAnsi="Times New Roman"/>
          <w:color w:val="000000"/>
          <w:sz w:val="24"/>
          <w:szCs w:val="24"/>
        </w:rPr>
        <w:t>and $</w:t>
      </w:r>
      <w:r w:rsidR="001E1F86" w:rsidRPr="00166607">
        <w:rPr>
          <w:rFonts w:ascii="Times New Roman" w:eastAsia="Times New Roman" w:hAnsi="Times New Roman"/>
          <w:color w:val="000000"/>
          <w:sz w:val="24"/>
          <w:szCs w:val="24"/>
        </w:rPr>
        <w:t xml:space="preserve">55 </w:t>
      </w:r>
      <w:r w:rsidR="00922076" w:rsidRPr="00166607">
        <w:rPr>
          <w:rFonts w:ascii="Times New Roman" w:eastAsia="Times New Roman" w:hAnsi="Times New Roman"/>
          <w:color w:val="000000"/>
          <w:sz w:val="24"/>
          <w:szCs w:val="24"/>
        </w:rPr>
        <w:t xml:space="preserve">for </w:t>
      </w:r>
      <w:r w:rsidR="001E1F86" w:rsidRPr="00166607">
        <w:rPr>
          <w:rFonts w:ascii="Times New Roman" w:eastAsia="Times New Roman" w:hAnsi="Times New Roman"/>
          <w:color w:val="000000"/>
          <w:sz w:val="24"/>
          <w:szCs w:val="24"/>
        </w:rPr>
        <w:t>vocational school applicants</w:t>
      </w:r>
      <w:r w:rsidR="00922076" w:rsidRPr="00166607">
        <w:rPr>
          <w:rFonts w:ascii="Times New Roman" w:eastAsia="Times New Roman" w:hAnsi="Times New Roman"/>
          <w:color w:val="000000"/>
          <w:sz w:val="24"/>
          <w:szCs w:val="24"/>
        </w:rPr>
        <w:t xml:space="preserve">, </w:t>
      </w:r>
      <w:r w:rsidRPr="00166607">
        <w:rPr>
          <w:rFonts w:ascii="Times New Roman" w:eastAsia="Times New Roman" w:hAnsi="Times New Roman"/>
          <w:color w:val="000000"/>
          <w:sz w:val="24"/>
          <w:szCs w:val="24"/>
        </w:rPr>
        <w:t xml:space="preserve">Row </w:t>
      </w:r>
      <w:r w:rsidR="005D6FA7" w:rsidRPr="00166607">
        <w:rPr>
          <w:rFonts w:ascii="Times New Roman" w:eastAsia="Times New Roman" w:hAnsi="Times New Roman"/>
          <w:color w:val="000000"/>
          <w:sz w:val="24"/>
          <w:szCs w:val="24"/>
        </w:rPr>
        <w:t>9</w:t>
      </w:r>
      <w:r w:rsidRPr="00166607">
        <w:rPr>
          <w:rFonts w:ascii="Times New Roman" w:eastAsia="Times New Roman" w:hAnsi="Times New Roman"/>
          <w:color w:val="000000"/>
          <w:sz w:val="24"/>
          <w:szCs w:val="24"/>
        </w:rPr>
        <w:t>).</w:t>
      </w:r>
    </w:p>
    <w:p w14:paraId="12D24826" w14:textId="29726214" w:rsidR="00804DDA" w:rsidRPr="00166607" w:rsidRDefault="00A834EE" w:rsidP="00402892">
      <w:pPr>
        <w:spacing w:after="160" w:line="360" w:lineRule="auto"/>
        <w:ind w:firstLine="720"/>
        <w:jc w:val="both"/>
        <w:rPr>
          <w:rFonts w:ascii="Times New Roman" w:eastAsia="Times New Roman" w:hAnsi="Times New Roman"/>
          <w:color w:val="000000"/>
        </w:rPr>
      </w:pPr>
      <w:r>
        <w:rPr>
          <w:rFonts w:ascii="Times New Roman" w:hAnsi="Times New Roman"/>
        </w:rPr>
        <w:t>The program did not affect the probability of receiving</w:t>
      </w:r>
      <w:r w:rsidR="00FE23A9" w:rsidRPr="00166607">
        <w:rPr>
          <w:rFonts w:ascii="Times New Roman" w:hAnsi="Times New Roman"/>
        </w:rPr>
        <w:t xml:space="preserve"> government transfers</w:t>
      </w:r>
      <w:r>
        <w:rPr>
          <w:rFonts w:ascii="Times New Roman" w:hAnsi="Times New Roman"/>
        </w:rPr>
        <w:t>, as explained in subsection 5.4</w:t>
      </w:r>
      <w:r w:rsidR="00FE23A9" w:rsidRPr="00166607">
        <w:rPr>
          <w:rFonts w:ascii="Times New Roman" w:hAnsi="Times New Roman"/>
        </w:rPr>
        <w:t xml:space="preserve">. </w:t>
      </w:r>
      <w:r w:rsidR="008E3A38" w:rsidRPr="00166607">
        <w:rPr>
          <w:rFonts w:ascii="Times New Roman" w:hAnsi="Times New Roman"/>
        </w:rPr>
        <w:t xml:space="preserve">Therefore, additional welfare costs </w:t>
      </w:r>
      <w:r w:rsidR="00037CB8" w:rsidRPr="00166607">
        <w:rPr>
          <w:rFonts w:ascii="Times New Roman" w:hAnsi="Times New Roman"/>
        </w:rPr>
        <w:t xml:space="preserve">to the government </w:t>
      </w:r>
      <w:r w:rsidR="008E3A38" w:rsidRPr="00166607">
        <w:rPr>
          <w:rFonts w:ascii="Times New Roman" w:hAnsi="Times New Roman"/>
        </w:rPr>
        <w:t>are zero (</w:t>
      </w:r>
      <w:r w:rsidR="002B3A44" w:rsidRPr="00166607">
        <w:rPr>
          <w:rFonts w:ascii="Times New Roman" w:eastAsia="Times New Roman" w:hAnsi="Times New Roman"/>
          <w:color w:val="000000"/>
        </w:rPr>
        <w:t>Row 10)</w:t>
      </w:r>
      <w:r w:rsidR="007B30E7" w:rsidRPr="00166607">
        <w:rPr>
          <w:rFonts w:ascii="Times New Roman" w:eastAsia="Times New Roman" w:hAnsi="Times New Roman"/>
          <w:color w:val="000000"/>
        </w:rPr>
        <w:t xml:space="preserve">. </w:t>
      </w:r>
    </w:p>
    <w:p w14:paraId="69BC1830" w14:textId="03B30CF8" w:rsidR="00804DDA" w:rsidRPr="00166607" w:rsidRDefault="00804DDA" w:rsidP="00402892">
      <w:pPr>
        <w:pStyle w:val="CommentText"/>
        <w:spacing w:after="160" w:line="360" w:lineRule="auto"/>
        <w:ind w:firstLine="720"/>
        <w:jc w:val="both"/>
        <w:rPr>
          <w:rFonts w:ascii="Times New Roman" w:eastAsia="Times New Roman" w:hAnsi="Times New Roman"/>
          <w:color w:val="000000"/>
          <w:sz w:val="24"/>
          <w:szCs w:val="24"/>
        </w:rPr>
      </w:pPr>
      <w:r w:rsidRPr="009E0015">
        <w:rPr>
          <w:rFonts w:ascii="Times New Roman" w:eastAsia="Times New Roman" w:hAnsi="Times New Roman"/>
          <w:color w:val="000000"/>
          <w:sz w:val="24"/>
          <w:szCs w:val="24"/>
        </w:rPr>
        <w:t xml:space="preserve">To the extent that </w:t>
      </w:r>
      <w:r w:rsidR="00A259C6" w:rsidRPr="009E0015">
        <w:rPr>
          <w:rFonts w:ascii="Times New Roman" w:eastAsia="Times New Roman" w:hAnsi="Times New Roman"/>
          <w:color w:val="000000"/>
          <w:sz w:val="24"/>
          <w:szCs w:val="24"/>
        </w:rPr>
        <w:t xml:space="preserve">winners </w:t>
      </w:r>
      <w:r w:rsidRPr="009E0015">
        <w:rPr>
          <w:rFonts w:ascii="Times New Roman" w:eastAsia="Times New Roman" w:hAnsi="Times New Roman"/>
          <w:color w:val="000000"/>
          <w:sz w:val="24"/>
          <w:szCs w:val="24"/>
        </w:rPr>
        <w:t>spent more time in school, the government may have for</w:t>
      </w:r>
      <w:r w:rsidR="0069659F" w:rsidRPr="009E0015">
        <w:rPr>
          <w:rFonts w:ascii="Times New Roman" w:eastAsia="Times New Roman" w:hAnsi="Times New Roman"/>
          <w:color w:val="000000"/>
          <w:sz w:val="24"/>
          <w:szCs w:val="24"/>
        </w:rPr>
        <w:t>e</w:t>
      </w:r>
      <w:r w:rsidRPr="009E0015">
        <w:rPr>
          <w:rFonts w:ascii="Times New Roman" w:eastAsia="Times New Roman" w:hAnsi="Times New Roman"/>
          <w:color w:val="000000"/>
          <w:sz w:val="24"/>
          <w:szCs w:val="24"/>
        </w:rPr>
        <w:t xml:space="preserve">gone certain </w:t>
      </w:r>
      <w:r w:rsidR="00A259C6" w:rsidRPr="009E0015">
        <w:rPr>
          <w:rFonts w:ascii="Times New Roman" w:eastAsia="Times New Roman" w:hAnsi="Times New Roman"/>
          <w:color w:val="000000"/>
          <w:sz w:val="24"/>
          <w:szCs w:val="24"/>
        </w:rPr>
        <w:t xml:space="preserve">tax </w:t>
      </w:r>
      <w:r w:rsidRPr="009E0015">
        <w:rPr>
          <w:rFonts w:ascii="Times New Roman" w:eastAsia="Times New Roman" w:hAnsi="Times New Roman"/>
          <w:color w:val="000000"/>
          <w:sz w:val="24"/>
          <w:szCs w:val="24"/>
        </w:rPr>
        <w:t>revenue</w:t>
      </w:r>
      <w:r w:rsidR="00252983" w:rsidRPr="009E0015">
        <w:rPr>
          <w:rFonts w:ascii="Times New Roman" w:eastAsia="Times New Roman" w:hAnsi="Times New Roman"/>
          <w:color w:val="000000"/>
          <w:sz w:val="24"/>
          <w:szCs w:val="24"/>
        </w:rPr>
        <w:t xml:space="preserve"> while they were in school</w:t>
      </w:r>
      <w:r w:rsidRPr="009E0015">
        <w:rPr>
          <w:rFonts w:ascii="Times New Roman" w:eastAsia="Times New Roman" w:hAnsi="Times New Roman"/>
          <w:color w:val="000000"/>
          <w:sz w:val="24"/>
          <w:szCs w:val="24"/>
        </w:rPr>
        <w:t>.</w:t>
      </w:r>
      <w:r w:rsidRPr="009E0015">
        <w:rPr>
          <w:rFonts w:ascii="Times New Roman" w:eastAsia="Times New Roman" w:hAnsi="Times New Roman"/>
          <w:color w:val="000000"/>
        </w:rPr>
        <w:t xml:space="preserve"> </w:t>
      </w:r>
      <w:r w:rsidR="0069659F" w:rsidRPr="00166607">
        <w:rPr>
          <w:rFonts w:ascii="Times New Roman" w:eastAsia="Times New Roman" w:hAnsi="Times New Roman"/>
          <w:color w:val="000000"/>
          <w:sz w:val="24"/>
          <w:szCs w:val="24"/>
        </w:rPr>
        <w:t xml:space="preserve">Based on Table </w:t>
      </w:r>
      <w:r w:rsidR="00082C91" w:rsidRPr="00166607">
        <w:rPr>
          <w:rFonts w:ascii="Times New Roman" w:eastAsia="Times New Roman" w:hAnsi="Times New Roman"/>
          <w:color w:val="000000"/>
          <w:sz w:val="24"/>
          <w:szCs w:val="24"/>
        </w:rPr>
        <w:t>6</w:t>
      </w:r>
      <w:r w:rsidR="0069659F" w:rsidRPr="008233C3">
        <w:rPr>
          <w:rFonts w:ascii="Times New Roman" w:eastAsia="Times New Roman" w:hAnsi="Times New Roman"/>
          <w:color w:val="000000"/>
          <w:sz w:val="24"/>
          <w:szCs w:val="24"/>
        </w:rPr>
        <w:t xml:space="preserve"> we assume that there is no difference in informal sector earnings between scholarship winners and losers. </w:t>
      </w:r>
      <w:r w:rsidRPr="00166607">
        <w:rPr>
          <w:rFonts w:ascii="Times New Roman" w:eastAsia="Times New Roman" w:hAnsi="Times New Roman"/>
          <w:color w:val="000000"/>
          <w:sz w:val="24"/>
          <w:szCs w:val="24"/>
        </w:rPr>
        <w:t>Foregone VAT tax revenue</w:t>
      </w:r>
      <w:r w:rsidR="008E1F7C" w:rsidRPr="00166607">
        <w:rPr>
          <w:rFonts w:ascii="Times New Roman" w:eastAsia="Times New Roman" w:hAnsi="Times New Roman"/>
          <w:color w:val="000000"/>
          <w:sz w:val="24"/>
          <w:szCs w:val="24"/>
        </w:rPr>
        <w:t xml:space="preserve">, therefore, </w:t>
      </w:r>
      <w:r w:rsidR="008A1243" w:rsidRPr="00166607">
        <w:rPr>
          <w:rFonts w:ascii="Times New Roman" w:eastAsia="Times New Roman" w:hAnsi="Times New Roman"/>
          <w:color w:val="000000"/>
          <w:sz w:val="24"/>
          <w:szCs w:val="24"/>
        </w:rPr>
        <w:t>equals</w:t>
      </w:r>
      <w:r w:rsidR="001B6976" w:rsidRPr="00166607">
        <w:rPr>
          <w:rFonts w:ascii="Times New Roman" w:eastAsia="Times New Roman" w:hAnsi="Times New Roman"/>
          <w:color w:val="000000"/>
          <w:sz w:val="24"/>
          <w:szCs w:val="24"/>
        </w:rPr>
        <w:t xml:space="preserve"> formal</w:t>
      </w:r>
      <w:r w:rsidRPr="00166607">
        <w:rPr>
          <w:rFonts w:ascii="Times New Roman" w:eastAsia="Times New Roman" w:hAnsi="Times New Roman"/>
          <w:color w:val="000000"/>
          <w:sz w:val="24"/>
          <w:szCs w:val="24"/>
        </w:rPr>
        <w:t xml:space="preserve"> </w:t>
      </w:r>
      <w:r w:rsidR="008E1F7C" w:rsidRPr="00166607">
        <w:rPr>
          <w:rFonts w:ascii="Times New Roman" w:eastAsia="Times New Roman" w:hAnsi="Times New Roman"/>
          <w:color w:val="000000"/>
          <w:sz w:val="24"/>
          <w:szCs w:val="24"/>
        </w:rPr>
        <w:t>annual formal sector</w:t>
      </w:r>
      <w:r w:rsidRPr="00166607">
        <w:rPr>
          <w:rFonts w:ascii="Times New Roman" w:eastAsia="Times New Roman" w:hAnsi="Times New Roman"/>
          <w:color w:val="000000"/>
          <w:sz w:val="24"/>
          <w:szCs w:val="24"/>
        </w:rPr>
        <w:t xml:space="preserve"> earnings</w:t>
      </w:r>
      <w:r w:rsidR="00567051" w:rsidRPr="00166607">
        <w:rPr>
          <w:rFonts w:ascii="Times New Roman" w:eastAsia="Times New Roman" w:hAnsi="Times New Roman"/>
          <w:color w:val="000000"/>
          <w:sz w:val="24"/>
          <w:szCs w:val="24"/>
        </w:rPr>
        <w:t xml:space="preserve"> of scholarship </w:t>
      </w:r>
      <w:r w:rsidR="000446CE" w:rsidRPr="00166607">
        <w:rPr>
          <w:rFonts w:ascii="Times New Roman" w:eastAsia="Times New Roman" w:hAnsi="Times New Roman"/>
          <w:color w:val="000000"/>
          <w:sz w:val="24"/>
          <w:szCs w:val="24"/>
        </w:rPr>
        <w:t xml:space="preserve">lottery </w:t>
      </w:r>
      <w:r w:rsidR="00567051" w:rsidRPr="00166607">
        <w:rPr>
          <w:rFonts w:ascii="Times New Roman" w:eastAsia="Times New Roman" w:hAnsi="Times New Roman"/>
          <w:color w:val="000000"/>
          <w:sz w:val="24"/>
          <w:szCs w:val="24"/>
        </w:rPr>
        <w:t>losers</w:t>
      </w:r>
      <w:r w:rsidR="00166607" w:rsidRPr="00166607">
        <w:rPr>
          <w:rFonts w:ascii="Times New Roman" w:eastAsia="Times New Roman" w:hAnsi="Times New Roman"/>
          <w:color w:val="000000"/>
          <w:sz w:val="24"/>
          <w:szCs w:val="24"/>
        </w:rPr>
        <w:t>’</w:t>
      </w:r>
      <w:r w:rsidRPr="00166607">
        <w:rPr>
          <w:rFonts w:ascii="Times New Roman" w:eastAsia="Times New Roman" w:hAnsi="Times New Roman"/>
          <w:color w:val="000000"/>
          <w:sz w:val="24"/>
          <w:szCs w:val="24"/>
        </w:rPr>
        <w:t xml:space="preserve"> times</w:t>
      </w:r>
      <w:r w:rsidR="001B6976" w:rsidRPr="00166607">
        <w:rPr>
          <w:rFonts w:ascii="Times New Roman" w:eastAsia="Times New Roman" w:hAnsi="Times New Roman"/>
          <w:color w:val="000000"/>
          <w:sz w:val="24"/>
          <w:szCs w:val="24"/>
        </w:rPr>
        <w:t xml:space="preserve"> the scholarship impact on years of education times</w:t>
      </w:r>
      <w:r w:rsidRPr="00166607">
        <w:rPr>
          <w:rFonts w:ascii="Times New Roman" w:eastAsia="Times New Roman" w:hAnsi="Times New Roman"/>
          <w:color w:val="000000"/>
          <w:sz w:val="24"/>
          <w:szCs w:val="24"/>
        </w:rPr>
        <w:t xml:space="preserve"> the </w:t>
      </w:r>
      <w:r w:rsidR="004C5D26" w:rsidRPr="00166607">
        <w:rPr>
          <w:rFonts w:ascii="Times New Roman" w:eastAsia="Times New Roman" w:hAnsi="Times New Roman"/>
          <w:color w:val="000000"/>
          <w:sz w:val="24"/>
          <w:szCs w:val="24"/>
        </w:rPr>
        <w:t xml:space="preserve">average </w:t>
      </w:r>
      <w:r w:rsidRPr="00166607">
        <w:rPr>
          <w:rFonts w:ascii="Times New Roman" w:eastAsia="Times New Roman" w:hAnsi="Times New Roman"/>
          <w:color w:val="000000"/>
          <w:sz w:val="24"/>
          <w:szCs w:val="24"/>
        </w:rPr>
        <w:t xml:space="preserve">VAT rate of </w:t>
      </w:r>
      <w:r w:rsidR="004C5D26" w:rsidRPr="00166607">
        <w:rPr>
          <w:rFonts w:ascii="Times New Roman" w:eastAsia="Times New Roman" w:hAnsi="Times New Roman"/>
          <w:color w:val="000000"/>
          <w:sz w:val="24"/>
          <w:szCs w:val="24"/>
        </w:rPr>
        <w:t>13.</w:t>
      </w:r>
      <w:r w:rsidR="00C520B5" w:rsidRPr="00166607">
        <w:rPr>
          <w:rFonts w:ascii="Times New Roman" w:eastAsia="Times New Roman" w:hAnsi="Times New Roman"/>
          <w:color w:val="000000"/>
          <w:sz w:val="24"/>
          <w:szCs w:val="24"/>
        </w:rPr>
        <w:t xml:space="preserve">3 </w:t>
      </w:r>
      <w:r w:rsidR="004C5D26" w:rsidRPr="00166607">
        <w:rPr>
          <w:rFonts w:ascii="Times New Roman" w:eastAsia="Times New Roman" w:hAnsi="Times New Roman"/>
          <w:color w:val="000000"/>
          <w:sz w:val="24"/>
          <w:szCs w:val="24"/>
        </w:rPr>
        <w:t>percent</w:t>
      </w:r>
      <w:r w:rsidRPr="00166607">
        <w:rPr>
          <w:rFonts w:ascii="Times New Roman" w:eastAsia="Times New Roman" w:hAnsi="Times New Roman"/>
          <w:color w:val="000000"/>
          <w:sz w:val="24"/>
          <w:szCs w:val="24"/>
        </w:rPr>
        <w:t>,</w:t>
      </w:r>
      <w:r w:rsidR="004C5D26" w:rsidRPr="00166607">
        <w:rPr>
          <w:rStyle w:val="FootnoteReference"/>
          <w:rFonts w:ascii="Times New Roman" w:eastAsia="Times New Roman" w:hAnsi="Times New Roman"/>
          <w:color w:val="000000"/>
          <w:sz w:val="24"/>
          <w:szCs w:val="24"/>
        </w:rPr>
        <w:footnoteReference w:id="34"/>
      </w:r>
      <w:r w:rsidRPr="00166607">
        <w:rPr>
          <w:rFonts w:ascii="Times New Roman" w:eastAsia="Times New Roman" w:hAnsi="Times New Roman"/>
          <w:color w:val="000000"/>
          <w:sz w:val="24"/>
          <w:szCs w:val="24"/>
        </w:rPr>
        <w:t xml:space="preserve"> which equals </w:t>
      </w:r>
      <w:r w:rsidR="00B41F05" w:rsidRPr="00166607">
        <w:rPr>
          <w:rFonts w:ascii="Times New Roman" w:eastAsia="Times New Roman" w:hAnsi="Times New Roman"/>
          <w:color w:val="000000"/>
          <w:sz w:val="24"/>
          <w:szCs w:val="24"/>
        </w:rPr>
        <w:t>$2</w:t>
      </w:r>
      <w:r w:rsidR="00825C5C" w:rsidRPr="008233C3">
        <w:rPr>
          <w:rFonts w:ascii="Times New Roman" w:eastAsia="Times New Roman" w:hAnsi="Times New Roman"/>
          <w:color w:val="000000"/>
          <w:sz w:val="24"/>
          <w:szCs w:val="24"/>
        </w:rPr>
        <w:t>8</w:t>
      </w:r>
      <w:r w:rsidR="00B41F05" w:rsidRPr="00166607">
        <w:rPr>
          <w:rFonts w:ascii="Times New Roman" w:eastAsia="Times New Roman" w:hAnsi="Times New Roman"/>
          <w:color w:val="000000"/>
          <w:sz w:val="24"/>
          <w:szCs w:val="24"/>
        </w:rPr>
        <w:t xml:space="preserve"> </w:t>
      </w:r>
      <w:r w:rsidR="00DB3A4B" w:rsidRPr="00166607">
        <w:rPr>
          <w:rFonts w:ascii="Times New Roman" w:eastAsia="Times New Roman" w:hAnsi="Times New Roman"/>
          <w:color w:val="000000"/>
          <w:sz w:val="24"/>
          <w:szCs w:val="24"/>
        </w:rPr>
        <w:t>(</w:t>
      </w:r>
      <w:r w:rsidRPr="00166607">
        <w:rPr>
          <w:rFonts w:ascii="Times New Roman" w:eastAsia="Times New Roman" w:hAnsi="Times New Roman"/>
          <w:color w:val="000000"/>
          <w:sz w:val="24"/>
          <w:szCs w:val="24"/>
        </w:rPr>
        <w:t>Row 1</w:t>
      </w:r>
      <w:r w:rsidR="00837943" w:rsidRPr="00166607">
        <w:rPr>
          <w:rFonts w:ascii="Times New Roman" w:eastAsia="Times New Roman" w:hAnsi="Times New Roman"/>
          <w:color w:val="000000"/>
          <w:sz w:val="24"/>
          <w:szCs w:val="24"/>
        </w:rPr>
        <w:t>1</w:t>
      </w:r>
      <w:r w:rsidRPr="00166607">
        <w:rPr>
          <w:rFonts w:ascii="Times New Roman" w:eastAsia="Times New Roman" w:hAnsi="Times New Roman"/>
          <w:color w:val="000000"/>
          <w:sz w:val="24"/>
          <w:szCs w:val="24"/>
        </w:rPr>
        <w:t>).</w:t>
      </w:r>
      <w:r w:rsidR="00567051" w:rsidRPr="00166607">
        <w:rPr>
          <w:rStyle w:val="FootnoteReference"/>
          <w:rFonts w:ascii="Times New Roman" w:eastAsia="Times New Roman" w:hAnsi="Times New Roman"/>
          <w:color w:val="000000"/>
          <w:sz w:val="24"/>
          <w:szCs w:val="24"/>
        </w:rPr>
        <w:footnoteReference w:id="35"/>
      </w:r>
    </w:p>
    <w:p w14:paraId="6FF8E13F" w14:textId="3A9EC053" w:rsidR="00804DDA" w:rsidRPr="00166607" w:rsidRDefault="00567051" w:rsidP="00402892">
      <w:pPr>
        <w:pStyle w:val="CommentText"/>
        <w:spacing w:after="160" w:line="360" w:lineRule="auto"/>
        <w:ind w:firstLine="720"/>
        <w:jc w:val="both"/>
        <w:rPr>
          <w:rFonts w:ascii="Times New Roman" w:eastAsia="Times New Roman" w:hAnsi="Times New Roman"/>
          <w:color w:val="000000"/>
          <w:sz w:val="24"/>
          <w:szCs w:val="24"/>
        </w:rPr>
      </w:pPr>
      <w:r w:rsidRPr="008233C3">
        <w:rPr>
          <w:rFonts w:ascii="Times New Roman" w:eastAsia="Times New Roman" w:hAnsi="Times New Roman"/>
          <w:color w:val="000000"/>
          <w:sz w:val="24"/>
          <w:szCs w:val="24"/>
        </w:rPr>
        <w:lastRenderedPageBreak/>
        <w:t>Fo</w:t>
      </w:r>
      <w:r w:rsidR="00804DDA" w:rsidRPr="00166607">
        <w:rPr>
          <w:rFonts w:ascii="Times New Roman" w:eastAsia="Times New Roman" w:hAnsi="Times New Roman"/>
          <w:color w:val="000000"/>
          <w:sz w:val="24"/>
          <w:szCs w:val="24"/>
        </w:rPr>
        <w:t>regone</w:t>
      </w:r>
      <w:r w:rsidR="008A1243" w:rsidRPr="00166607">
        <w:rPr>
          <w:rFonts w:ascii="Times New Roman" w:eastAsia="Times New Roman" w:hAnsi="Times New Roman"/>
          <w:color w:val="000000"/>
          <w:sz w:val="24"/>
          <w:szCs w:val="24"/>
        </w:rPr>
        <w:t xml:space="preserve"> </w:t>
      </w:r>
      <w:r w:rsidR="00804DDA" w:rsidRPr="00166607">
        <w:rPr>
          <w:rFonts w:ascii="Times New Roman" w:eastAsia="Times New Roman" w:hAnsi="Times New Roman"/>
          <w:color w:val="000000"/>
          <w:sz w:val="24"/>
          <w:szCs w:val="24"/>
        </w:rPr>
        <w:t xml:space="preserve">payroll taxes are </w:t>
      </w:r>
      <w:r w:rsidR="00B13C6B" w:rsidRPr="00166607">
        <w:rPr>
          <w:rFonts w:ascii="Times New Roman" w:eastAsia="Times New Roman" w:hAnsi="Times New Roman"/>
          <w:color w:val="000000"/>
          <w:sz w:val="24"/>
          <w:szCs w:val="24"/>
        </w:rPr>
        <w:t xml:space="preserve">annual payroll taxes for scholarship </w:t>
      </w:r>
      <w:r w:rsidR="000446CE" w:rsidRPr="00166607">
        <w:rPr>
          <w:rFonts w:ascii="Times New Roman" w:eastAsia="Times New Roman" w:hAnsi="Times New Roman"/>
          <w:color w:val="000000"/>
          <w:sz w:val="24"/>
          <w:szCs w:val="24"/>
        </w:rPr>
        <w:t xml:space="preserve">lottery </w:t>
      </w:r>
      <w:r w:rsidR="00B13C6B" w:rsidRPr="00166607">
        <w:rPr>
          <w:rFonts w:ascii="Times New Roman" w:eastAsia="Times New Roman" w:hAnsi="Times New Roman"/>
          <w:color w:val="000000"/>
          <w:sz w:val="24"/>
          <w:szCs w:val="24"/>
        </w:rPr>
        <w:t>losers</w:t>
      </w:r>
      <w:r w:rsidR="00166607" w:rsidRPr="00166607">
        <w:rPr>
          <w:rFonts w:ascii="Times New Roman" w:eastAsia="Times New Roman" w:hAnsi="Times New Roman"/>
          <w:color w:val="000000"/>
          <w:sz w:val="24"/>
          <w:szCs w:val="24"/>
        </w:rPr>
        <w:t>’</w:t>
      </w:r>
      <w:r w:rsidR="00B13C6B" w:rsidRPr="00166607">
        <w:rPr>
          <w:rFonts w:ascii="Times New Roman" w:eastAsia="Times New Roman" w:hAnsi="Times New Roman"/>
          <w:color w:val="000000"/>
          <w:sz w:val="24"/>
          <w:szCs w:val="24"/>
        </w:rPr>
        <w:t xml:space="preserve"> times the scholarship impact on additional years of education. N</w:t>
      </w:r>
      <w:r w:rsidR="00C14ECF" w:rsidRPr="00166607">
        <w:rPr>
          <w:rFonts w:ascii="Times New Roman" w:eastAsia="Times New Roman" w:hAnsi="Times New Roman"/>
          <w:color w:val="000000"/>
          <w:sz w:val="24"/>
          <w:szCs w:val="24"/>
        </w:rPr>
        <w:t>ot all foregone payroll taxes</w:t>
      </w:r>
      <w:r w:rsidR="00B13C6B" w:rsidRPr="00166607">
        <w:rPr>
          <w:rFonts w:ascii="Times New Roman" w:eastAsia="Times New Roman" w:hAnsi="Times New Roman"/>
          <w:color w:val="000000"/>
          <w:sz w:val="24"/>
          <w:szCs w:val="24"/>
        </w:rPr>
        <w:t>, however,</w:t>
      </w:r>
      <w:r w:rsidR="00C14ECF" w:rsidRPr="00166607">
        <w:rPr>
          <w:rFonts w:ascii="Times New Roman" w:eastAsia="Times New Roman" w:hAnsi="Times New Roman"/>
          <w:color w:val="000000"/>
          <w:sz w:val="24"/>
          <w:szCs w:val="24"/>
        </w:rPr>
        <w:t xml:space="preserve"> represent a net government transfer because a large fraction of these goes back to the worker, for instance, through the pension benefits formula. </w:t>
      </w:r>
      <w:r w:rsidR="00DF5422" w:rsidRPr="00166607">
        <w:rPr>
          <w:rFonts w:ascii="Times New Roman" w:eastAsia="Times New Roman" w:hAnsi="Times New Roman"/>
          <w:color w:val="000000"/>
          <w:sz w:val="24"/>
          <w:szCs w:val="24"/>
        </w:rPr>
        <w:t xml:space="preserve"> </w:t>
      </w:r>
      <w:r w:rsidR="002734DF" w:rsidRPr="00166607">
        <w:rPr>
          <w:rFonts w:ascii="Times New Roman" w:eastAsia="Times New Roman" w:hAnsi="Times New Roman"/>
          <w:color w:val="000000"/>
          <w:sz w:val="24"/>
          <w:szCs w:val="24"/>
        </w:rPr>
        <w:t xml:space="preserve">We estimate that at the margin forty </w:t>
      </w:r>
      <w:r w:rsidR="00DF5422" w:rsidRPr="00166607">
        <w:rPr>
          <w:rFonts w:ascii="Times New Roman" w:eastAsia="Times New Roman" w:hAnsi="Times New Roman"/>
          <w:color w:val="000000"/>
          <w:sz w:val="24"/>
          <w:szCs w:val="24"/>
        </w:rPr>
        <w:t xml:space="preserve">percent </w:t>
      </w:r>
      <w:r w:rsidR="00C14ECF" w:rsidRPr="00166607">
        <w:rPr>
          <w:rFonts w:ascii="Times New Roman" w:eastAsia="Times New Roman" w:hAnsi="Times New Roman"/>
          <w:color w:val="000000"/>
          <w:sz w:val="24"/>
          <w:szCs w:val="24"/>
        </w:rPr>
        <w:t xml:space="preserve">of payroll taxes </w:t>
      </w:r>
      <w:r w:rsidR="00DF5422" w:rsidRPr="00166607">
        <w:rPr>
          <w:rFonts w:ascii="Times New Roman" w:eastAsia="Times New Roman" w:hAnsi="Times New Roman"/>
          <w:color w:val="000000"/>
          <w:sz w:val="24"/>
          <w:szCs w:val="24"/>
        </w:rPr>
        <w:t>represent</w:t>
      </w:r>
      <w:r w:rsidR="00C14ECF" w:rsidRPr="00166607">
        <w:rPr>
          <w:rFonts w:ascii="Times New Roman" w:eastAsia="Times New Roman" w:hAnsi="Times New Roman"/>
          <w:color w:val="000000"/>
          <w:sz w:val="24"/>
          <w:szCs w:val="24"/>
        </w:rPr>
        <w:t xml:space="preserve"> a net transfer to the government.</w:t>
      </w:r>
      <w:r w:rsidR="00AA0527" w:rsidRPr="00166607">
        <w:rPr>
          <w:rStyle w:val="FootnoteReference"/>
          <w:rFonts w:ascii="Times New Roman" w:eastAsia="Times New Roman" w:hAnsi="Times New Roman"/>
          <w:color w:val="000000"/>
          <w:sz w:val="24"/>
          <w:szCs w:val="24"/>
        </w:rPr>
        <w:footnoteReference w:id="36"/>
      </w:r>
      <w:r w:rsidR="00C14ECF" w:rsidRPr="00166607">
        <w:rPr>
          <w:rFonts w:ascii="Times New Roman" w:eastAsia="Times New Roman" w:hAnsi="Times New Roman"/>
          <w:color w:val="000000"/>
          <w:sz w:val="24"/>
          <w:szCs w:val="24"/>
        </w:rPr>
        <w:t xml:space="preserve"> </w:t>
      </w:r>
      <w:r w:rsidR="00377444" w:rsidRPr="00166607">
        <w:rPr>
          <w:rFonts w:ascii="Times New Roman" w:eastAsia="Times New Roman" w:hAnsi="Times New Roman"/>
          <w:color w:val="000000"/>
          <w:sz w:val="24"/>
          <w:szCs w:val="24"/>
        </w:rPr>
        <w:t>Foregone n</w:t>
      </w:r>
      <w:r w:rsidR="00B13C6B" w:rsidRPr="008233C3">
        <w:rPr>
          <w:rFonts w:ascii="Times New Roman" w:eastAsia="Times New Roman" w:hAnsi="Times New Roman"/>
          <w:color w:val="000000"/>
          <w:sz w:val="24"/>
          <w:szCs w:val="24"/>
        </w:rPr>
        <w:t xml:space="preserve">et </w:t>
      </w:r>
      <w:r w:rsidR="00377444" w:rsidRPr="00166607">
        <w:rPr>
          <w:rFonts w:ascii="Times New Roman" w:eastAsia="Times New Roman" w:hAnsi="Times New Roman"/>
          <w:color w:val="000000"/>
          <w:sz w:val="24"/>
          <w:szCs w:val="24"/>
        </w:rPr>
        <w:t xml:space="preserve">government </w:t>
      </w:r>
      <w:r w:rsidR="00B13C6B" w:rsidRPr="00166607">
        <w:rPr>
          <w:rFonts w:ascii="Times New Roman" w:eastAsia="Times New Roman" w:hAnsi="Times New Roman"/>
          <w:color w:val="000000"/>
          <w:sz w:val="24"/>
          <w:szCs w:val="24"/>
        </w:rPr>
        <w:t xml:space="preserve">transfers </w:t>
      </w:r>
      <w:r w:rsidR="00377444" w:rsidRPr="00166607">
        <w:rPr>
          <w:rFonts w:ascii="Times New Roman" w:eastAsia="Times New Roman" w:hAnsi="Times New Roman"/>
          <w:color w:val="000000"/>
          <w:sz w:val="24"/>
          <w:szCs w:val="24"/>
        </w:rPr>
        <w:t xml:space="preserve">from payroll taxes are </w:t>
      </w:r>
      <w:r w:rsidR="00916FEA" w:rsidRPr="00166607">
        <w:rPr>
          <w:rFonts w:ascii="Times New Roman" w:eastAsia="Times New Roman" w:hAnsi="Times New Roman"/>
          <w:color w:val="000000"/>
          <w:sz w:val="24"/>
          <w:szCs w:val="24"/>
        </w:rPr>
        <w:t>$2</w:t>
      </w:r>
      <w:r w:rsidR="008D2AE1" w:rsidRPr="00166607">
        <w:rPr>
          <w:rFonts w:ascii="Times New Roman" w:eastAsia="Times New Roman" w:hAnsi="Times New Roman"/>
          <w:color w:val="000000"/>
          <w:sz w:val="24"/>
          <w:szCs w:val="24"/>
        </w:rPr>
        <w:t>4 (</w:t>
      </w:r>
      <w:r w:rsidR="00377444" w:rsidRPr="00166607">
        <w:rPr>
          <w:rFonts w:ascii="Times New Roman" w:eastAsia="Times New Roman" w:hAnsi="Times New Roman"/>
          <w:color w:val="000000"/>
          <w:sz w:val="24"/>
          <w:szCs w:val="24"/>
        </w:rPr>
        <w:t xml:space="preserve">Row 12). </w:t>
      </w:r>
      <w:r w:rsidR="006D1D64" w:rsidRPr="00166607">
        <w:rPr>
          <w:rFonts w:ascii="Times New Roman" w:eastAsia="Times New Roman" w:hAnsi="Times New Roman"/>
          <w:color w:val="000000"/>
          <w:sz w:val="24"/>
          <w:szCs w:val="24"/>
        </w:rPr>
        <w:t xml:space="preserve">Total foregone revenue is the sum of foregone VAT taxes and the net transfer from foregone payroll taxes, which totals </w:t>
      </w:r>
      <w:r w:rsidR="00916FEA" w:rsidRPr="00166607">
        <w:rPr>
          <w:rFonts w:ascii="Times New Roman" w:eastAsia="Times New Roman" w:hAnsi="Times New Roman"/>
          <w:color w:val="000000"/>
          <w:sz w:val="24"/>
          <w:szCs w:val="24"/>
        </w:rPr>
        <w:t>$5</w:t>
      </w:r>
      <w:r w:rsidR="008D2AE1" w:rsidRPr="00166607">
        <w:rPr>
          <w:rFonts w:ascii="Times New Roman" w:eastAsia="Times New Roman" w:hAnsi="Times New Roman"/>
          <w:color w:val="000000"/>
          <w:sz w:val="24"/>
          <w:szCs w:val="24"/>
        </w:rPr>
        <w:t>2</w:t>
      </w:r>
      <w:r w:rsidR="00916FEA" w:rsidRPr="00166607">
        <w:rPr>
          <w:rFonts w:ascii="Times New Roman" w:eastAsia="Times New Roman" w:hAnsi="Times New Roman"/>
          <w:color w:val="000000"/>
          <w:sz w:val="24"/>
          <w:szCs w:val="24"/>
        </w:rPr>
        <w:t xml:space="preserve"> (</w:t>
      </w:r>
      <w:r w:rsidR="006D1D64" w:rsidRPr="00166607">
        <w:rPr>
          <w:rFonts w:ascii="Times New Roman" w:eastAsia="Times New Roman" w:hAnsi="Times New Roman"/>
          <w:color w:val="000000"/>
          <w:sz w:val="24"/>
          <w:szCs w:val="24"/>
        </w:rPr>
        <w:t>$</w:t>
      </w:r>
      <w:r w:rsidR="00801649" w:rsidRPr="00166607">
        <w:rPr>
          <w:rFonts w:ascii="Times New Roman" w:eastAsia="Times New Roman" w:hAnsi="Times New Roman"/>
          <w:color w:val="000000"/>
          <w:sz w:val="24"/>
          <w:szCs w:val="24"/>
        </w:rPr>
        <w:t>51</w:t>
      </w:r>
      <w:r w:rsidR="006D1D64" w:rsidRPr="00166607">
        <w:rPr>
          <w:rFonts w:ascii="Times New Roman" w:eastAsia="Times New Roman" w:hAnsi="Times New Roman"/>
          <w:color w:val="000000"/>
          <w:sz w:val="24"/>
          <w:szCs w:val="24"/>
        </w:rPr>
        <w:t xml:space="preserve"> for </w:t>
      </w:r>
      <w:r w:rsidR="008D2AE1" w:rsidRPr="00166607">
        <w:rPr>
          <w:rFonts w:ascii="Times New Roman" w:eastAsia="Times New Roman" w:hAnsi="Times New Roman"/>
          <w:color w:val="000000"/>
          <w:sz w:val="24"/>
          <w:szCs w:val="24"/>
        </w:rPr>
        <w:t xml:space="preserve">academic school applicants and </w:t>
      </w:r>
      <w:r w:rsidR="004B488A" w:rsidRPr="00166607">
        <w:rPr>
          <w:rFonts w:ascii="Times New Roman" w:eastAsia="Times New Roman" w:hAnsi="Times New Roman"/>
          <w:color w:val="000000"/>
          <w:sz w:val="24"/>
          <w:szCs w:val="24"/>
        </w:rPr>
        <w:t>$</w:t>
      </w:r>
      <w:r w:rsidR="008D2AE1" w:rsidRPr="00166607">
        <w:rPr>
          <w:rFonts w:ascii="Times New Roman" w:eastAsia="Times New Roman" w:hAnsi="Times New Roman"/>
          <w:color w:val="000000"/>
          <w:sz w:val="24"/>
          <w:szCs w:val="24"/>
        </w:rPr>
        <w:t>54 for vocational school applicants</w:t>
      </w:r>
      <w:r w:rsidR="00916FEA" w:rsidRPr="00166607">
        <w:rPr>
          <w:rFonts w:ascii="Times New Roman" w:eastAsia="Times New Roman" w:hAnsi="Times New Roman"/>
          <w:color w:val="000000"/>
          <w:sz w:val="24"/>
          <w:szCs w:val="24"/>
        </w:rPr>
        <w:t xml:space="preserve">, </w:t>
      </w:r>
      <w:r w:rsidR="00377444" w:rsidRPr="00166607">
        <w:rPr>
          <w:rFonts w:ascii="Times New Roman" w:eastAsia="Times New Roman" w:hAnsi="Times New Roman"/>
          <w:color w:val="000000"/>
          <w:sz w:val="24"/>
          <w:szCs w:val="24"/>
        </w:rPr>
        <w:t>Row 13)</w:t>
      </w:r>
      <w:r w:rsidR="006D1D64" w:rsidRPr="00166607">
        <w:rPr>
          <w:rFonts w:ascii="Times New Roman" w:eastAsia="Times New Roman" w:hAnsi="Times New Roman"/>
          <w:color w:val="000000"/>
          <w:sz w:val="24"/>
          <w:szCs w:val="24"/>
        </w:rPr>
        <w:t xml:space="preserve">. </w:t>
      </w:r>
    </w:p>
    <w:p w14:paraId="0512C167" w14:textId="4CA00178" w:rsidR="009F7D08" w:rsidRPr="00166607" w:rsidRDefault="00804DDA" w:rsidP="00402892">
      <w:pPr>
        <w:pStyle w:val="CommentText"/>
        <w:spacing w:after="160" w:line="360" w:lineRule="auto"/>
        <w:ind w:firstLine="720"/>
        <w:jc w:val="both"/>
        <w:rPr>
          <w:rFonts w:ascii="Times New Roman" w:eastAsia="Times New Roman" w:hAnsi="Times New Roman"/>
          <w:color w:val="000000"/>
          <w:sz w:val="24"/>
          <w:szCs w:val="24"/>
        </w:rPr>
      </w:pPr>
      <w:r w:rsidRPr="00166607">
        <w:rPr>
          <w:rFonts w:ascii="Times New Roman" w:eastAsia="Times New Roman" w:hAnsi="Times New Roman"/>
          <w:color w:val="000000"/>
          <w:sz w:val="24"/>
          <w:szCs w:val="24"/>
        </w:rPr>
        <w:t xml:space="preserve">Total </w:t>
      </w:r>
      <w:r w:rsidR="00B84603" w:rsidRPr="00166607">
        <w:rPr>
          <w:rFonts w:ascii="Times New Roman" w:eastAsia="Times New Roman" w:hAnsi="Times New Roman"/>
          <w:color w:val="000000"/>
          <w:sz w:val="24"/>
          <w:szCs w:val="24"/>
        </w:rPr>
        <w:t xml:space="preserve">expected </w:t>
      </w:r>
      <w:r w:rsidRPr="00166607">
        <w:rPr>
          <w:rFonts w:ascii="Times New Roman" w:eastAsia="Times New Roman" w:hAnsi="Times New Roman"/>
          <w:color w:val="000000"/>
          <w:sz w:val="24"/>
          <w:szCs w:val="24"/>
        </w:rPr>
        <w:t>scholarship costs are the sum of secondary education costs (</w:t>
      </w:r>
      <w:r w:rsidR="00377444" w:rsidRPr="00166607">
        <w:rPr>
          <w:rFonts w:ascii="Times New Roman" w:eastAsia="Times New Roman" w:hAnsi="Times New Roman"/>
          <w:color w:val="000000"/>
          <w:sz w:val="24"/>
          <w:szCs w:val="24"/>
        </w:rPr>
        <w:t>6</w:t>
      </w:r>
      <w:r w:rsidRPr="00166607">
        <w:rPr>
          <w:rFonts w:ascii="Times New Roman" w:eastAsia="Times New Roman" w:hAnsi="Times New Roman"/>
          <w:color w:val="000000"/>
          <w:sz w:val="24"/>
          <w:szCs w:val="24"/>
        </w:rPr>
        <w:t>), additional tertiary costs (</w:t>
      </w:r>
      <w:r w:rsidR="00377444" w:rsidRPr="00166607">
        <w:rPr>
          <w:rFonts w:ascii="Times New Roman" w:eastAsia="Times New Roman" w:hAnsi="Times New Roman"/>
          <w:color w:val="000000"/>
          <w:sz w:val="24"/>
          <w:szCs w:val="24"/>
        </w:rPr>
        <w:t>9</w:t>
      </w:r>
      <w:r w:rsidRPr="00166607">
        <w:rPr>
          <w:rFonts w:ascii="Times New Roman" w:eastAsia="Times New Roman" w:hAnsi="Times New Roman"/>
          <w:color w:val="000000"/>
          <w:sz w:val="24"/>
          <w:szCs w:val="24"/>
        </w:rPr>
        <w:t>)</w:t>
      </w:r>
      <w:r w:rsidR="00377444" w:rsidRPr="00166607">
        <w:rPr>
          <w:rFonts w:ascii="Times New Roman" w:eastAsia="Times New Roman" w:hAnsi="Times New Roman"/>
          <w:color w:val="000000"/>
          <w:sz w:val="24"/>
          <w:szCs w:val="24"/>
        </w:rPr>
        <w:t>, welfare costs (10)</w:t>
      </w:r>
      <w:r w:rsidRPr="00166607">
        <w:rPr>
          <w:rFonts w:ascii="Times New Roman" w:eastAsia="Times New Roman" w:hAnsi="Times New Roman"/>
          <w:color w:val="000000"/>
          <w:sz w:val="24"/>
          <w:szCs w:val="24"/>
        </w:rPr>
        <w:t xml:space="preserve"> and foregone revenue (Row </w:t>
      </w:r>
      <w:r w:rsidR="00377444" w:rsidRPr="00166607">
        <w:rPr>
          <w:rFonts w:ascii="Times New Roman" w:eastAsia="Times New Roman" w:hAnsi="Times New Roman"/>
          <w:color w:val="000000"/>
          <w:sz w:val="24"/>
          <w:szCs w:val="24"/>
        </w:rPr>
        <w:t>13</w:t>
      </w:r>
      <w:r w:rsidRPr="00166607">
        <w:rPr>
          <w:rFonts w:ascii="Times New Roman" w:eastAsia="Times New Roman" w:hAnsi="Times New Roman"/>
          <w:color w:val="000000"/>
          <w:sz w:val="24"/>
          <w:szCs w:val="24"/>
        </w:rPr>
        <w:t>). Total expected scholarship costs are</w:t>
      </w:r>
      <w:r w:rsidR="00296BC8" w:rsidRPr="00166607">
        <w:rPr>
          <w:rFonts w:ascii="Times New Roman" w:eastAsia="Times New Roman" w:hAnsi="Times New Roman"/>
          <w:color w:val="000000"/>
          <w:sz w:val="24"/>
          <w:szCs w:val="24"/>
        </w:rPr>
        <w:t xml:space="preserve"> $3</w:t>
      </w:r>
      <w:r w:rsidR="008D2AE1" w:rsidRPr="00166607">
        <w:rPr>
          <w:rFonts w:ascii="Times New Roman" w:eastAsia="Times New Roman" w:hAnsi="Times New Roman"/>
          <w:color w:val="000000"/>
          <w:sz w:val="24"/>
          <w:szCs w:val="24"/>
        </w:rPr>
        <w:t>60</w:t>
      </w:r>
      <w:r w:rsidRPr="00166607">
        <w:rPr>
          <w:rFonts w:ascii="Times New Roman" w:eastAsia="Times New Roman" w:hAnsi="Times New Roman"/>
          <w:color w:val="000000"/>
          <w:sz w:val="24"/>
          <w:szCs w:val="24"/>
        </w:rPr>
        <w:t xml:space="preserve"> </w:t>
      </w:r>
      <w:r w:rsidR="008D2AE1" w:rsidRPr="00166607">
        <w:rPr>
          <w:rFonts w:ascii="Times New Roman" w:eastAsia="Times New Roman" w:hAnsi="Times New Roman"/>
          <w:color w:val="000000"/>
          <w:sz w:val="24"/>
          <w:szCs w:val="24"/>
        </w:rPr>
        <w:t xml:space="preserve">($333 for academic school applicants and </w:t>
      </w:r>
      <w:r w:rsidR="00CA44DD" w:rsidRPr="00166607">
        <w:rPr>
          <w:rFonts w:ascii="Times New Roman" w:eastAsia="Times New Roman" w:hAnsi="Times New Roman"/>
          <w:color w:val="000000"/>
          <w:sz w:val="24"/>
          <w:szCs w:val="24"/>
        </w:rPr>
        <w:t>$</w:t>
      </w:r>
      <w:r w:rsidR="008D2AE1" w:rsidRPr="00166607">
        <w:rPr>
          <w:rFonts w:ascii="Times New Roman" w:eastAsia="Times New Roman" w:hAnsi="Times New Roman"/>
          <w:color w:val="000000"/>
          <w:sz w:val="24"/>
          <w:szCs w:val="24"/>
        </w:rPr>
        <w:t>401 for vocational school applicants</w:t>
      </w:r>
      <w:r w:rsidR="00296BC8" w:rsidRPr="00166607">
        <w:rPr>
          <w:rFonts w:ascii="Times New Roman" w:eastAsia="Times New Roman" w:hAnsi="Times New Roman"/>
          <w:color w:val="000000"/>
          <w:sz w:val="24"/>
          <w:szCs w:val="24"/>
        </w:rPr>
        <w:t>, Row 14)</w:t>
      </w:r>
      <w:r w:rsidRPr="00166607">
        <w:rPr>
          <w:rFonts w:ascii="Times New Roman" w:eastAsia="Times New Roman" w:hAnsi="Times New Roman"/>
          <w:color w:val="000000"/>
          <w:sz w:val="24"/>
          <w:szCs w:val="24"/>
        </w:rPr>
        <w:t xml:space="preserve">. </w:t>
      </w:r>
      <w:r w:rsidR="00627FDA" w:rsidRPr="00166607">
        <w:rPr>
          <w:rFonts w:ascii="Times New Roman" w:eastAsia="Times New Roman" w:hAnsi="Times New Roman"/>
          <w:color w:val="000000"/>
          <w:sz w:val="24"/>
          <w:szCs w:val="24"/>
        </w:rPr>
        <w:t xml:space="preserve"> </w:t>
      </w:r>
      <w:r w:rsidR="00952287">
        <w:rPr>
          <w:rFonts w:ascii="Times New Roman" w:eastAsia="Times New Roman" w:hAnsi="Times New Roman"/>
          <w:color w:val="000000"/>
          <w:sz w:val="24"/>
          <w:szCs w:val="24"/>
        </w:rPr>
        <w:t>As a robustness check to these cal</w:t>
      </w:r>
      <w:r w:rsidR="00EE1705">
        <w:rPr>
          <w:rFonts w:ascii="Times New Roman" w:eastAsia="Times New Roman" w:hAnsi="Times New Roman"/>
          <w:color w:val="000000"/>
          <w:sz w:val="24"/>
          <w:szCs w:val="24"/>
        </w:rPr>
        <w:t>culations, if instead of using the</w:t>
      </w:r>
      <w:r w:rsidR="00952287">
        <w:rPr>
          <w:rFonts w:ascii="Times New Roman" w:eastAsia="Times New Roman" w:hAnsi="Times New Roman"/>
          <w:color w:val="000000"/>
          <w:sz w:val="24"/>
          <w:szCs w:val="24"/>
        </w:rPr>
        <w:t xml:space="preserve"> base discount rate of 3 percent we use </w:t>
      </w:r>
      <w:r w:rsidR="00627FDA" w:rsidRPr="00166607">
        <w:rPr>
          <w:rFonts w:ascii="Times New Roman" w:eastAsia="Times New Roman" w:hAnsi="Times New Roman"/>
          <w:color w:val="000000"/>
          <w:sz w:val="24"/>
          <w:szCs w:val="24"/>
        </w:rPr>
        <w:t xml:space="preserve">a higher discount rate of 6 percent, </w:t>
      </w:r>
      <w:r w:rsidR="000F6388" w:rsidRPr="00166607">
        <w:rPr>
          <w:rFonts w:ascii="Times New Roman" w:eastAsia="Times New Roman" w:hAnsi="Times New Roman"/>
          <w:color w:val="000000"/>
          <w:sz w:val="24"/>
          <w:szCs w:val="24"/>
        </w:rPr>
        <w:t xml:space="preserve">scholarship </w:t>
      </w:r>
      <w:r w:rsidR="00627FDA" w:rsidRPr="008233C3">
        <w:rPr>
          <w:rFonts w:ascii="Times New Roman" w:eastAsia="Times New Roman" w:hAnsi="Times New Roman"/>
          <w:color w:val="000000"/>
          <w:sz w:val="24"/>
          <w:szCs w:val="24"/>
        </w:rPr>
        <w:t xml:space="preserve">costs to the government </w:t>
      </w:r>
      <w:r w:rsidR="008D2AE1" w:rsidRPr="00166607">
        <w:rPr>
          <w:rFonts w:ascii="Times New Roman" w:eastAsia="Times New Roman" w:hAnsi="Times New Roman"/>
          <w:color w:val="000000"/>
          <w:sz w:val="24"/>
          <w:szCs w:val="24"/>
        </w:rPr>
        <w:t>are $319 ($</w:t>
      </w:r>
      <w:r w:rsidR="00B95C18" w:rsidRPr="00166607">
        <w:rPr>
          <w:rFonts w:ascii="Times New Roman" w:eastAsia="Times New Roman" w:hAnsi="Times New Roman"/>
          <w:color w:val="000000"/>
          <w:sz w:val="24"/>
          <w:szCs w:val="24"/>
        </w:rPr>
        <w:t>300</w:t>
      </w:r>
      <w:r w:rsidR="008D2AE1" w:rsidRPr="00166607">
        <w:rPr>
          <w:rFonts w:ascii="Times New Roman" w:eastAsia="Times New Roman" w:hAnsi="Times New Roman"/>
          <w:color w:val="000000"/>
          <w:sz w:val="24"/>
          <w:szCs w:val="24"/>
        </w:rPr>
        <w:t xml:space="preserve"> for academic school applicants and </w:t>
      </w:r>
      <w:r w:rsidR="00CA44DD" w:rsidRPr="00166607">
        <w:rPr>
          <w:rFonts w:ascii="Times New Roman" w:eastAsia="Times New Roman" w:hAnsi="Times New Roman"/>
          <w:color w:val="000000"/>
          <w:sz w:val="24"/>
          <w:szCs w:val="24"/>
        </w:rPr>
        <w:t>$</w:t>
      </w:r>
      <w:r w:rsidR="00B95C18" w:rsidRPr="00166607">
        <w:rPr>
          <w:rFonts w:ascii="Times New Roman" w:eastAsia="Times New Roman" w:hAnsi="Times New Roman"/>
          <w:color w:val="000000"/>
          <w:sz w:val="24"/>
          <w:szCs w:val="24"/>
        </w:rPr>
        <w:t>348</w:t>
      </w:r>
      <w:r w:rsidR="008D2AE1" w:rsidRPr="00166607">
        <w:rPr>
          <w:rFonts w:ascii="Times New Roman" w:eastAsia="Times New Roman" w:hAnsi="Times New Roman"/>
          <w:color w:val="000000"/>
          <w:sz w:val="24"/>
          <w:szCs w:val="24"/>
        </w:rPr>
        <w:t xml:space="preserve"> for vocational school applicants, Row 14)</w:t>
      </w:r>
      <w:r w:rsidR="002956E8" w:rsidRPr="00166607">
        <w:rPr>
          <w:rFonts w:ascii="Times New Roman" w:eastAsia="Times New Roman" w:hAnsi="Times New Roman"/>
          <w:color w:val="000000"/>
          <w:sz w:val="24"/>
          <w:szCs w:val="24"/>
        </w:rPr>
        <w:t>.</w:t>
      </w:r>
    </w:p>
    <w:p w14:paraId="4B4FBF09" w14:textId="507066C8" w:rsidR="00804DDA" w:rsidRPr="00166607" w:rsidRDefault="006E4EAE" w:rsidP="00402892">
      <w:pPr>
        <w:pStyle w:val="CommentText"/>
        <w:keepNext/>
        <w:spacing w:after="160" w:line="360" w:lineRule="auto"/>
        <w:rPr>
          <w:rFonts w:ascii="Times New Roman" w:eastAsia="Times New Roman" w:hAnsi="Times New Roman"/>
          <w:b/>
          <w:i/>
          <w:color w:val="000000"/>
          <w:sz w:val="24"/>
        </w:rPr>
      </w:pPr>
      <w:r w:rsidRPr="00166607">
        <w:rPr>
          <w:rFonts w:ascii="Times New Roman" w:eastAsia="Times New Roman" w:hAnsi="Times New Roman"/>
          <w:b/>
          <w:color w:val="000000"/>
          <w:sz w:val="24"/>
        </w:rPr>
        <w:t>7</w:t>
      </w:r>
      <w:r w:rsidR="002564CF" w:rsidRPr="00166607">
        <w:rPr>
          <w:rFonts w:ascii="Times New Roman" w:eastAsia="Times New Roman" w:hAnsi="Times New Roman"/>
          <w:b/>
          <w:color w:val="000000"/>
          <w:sz w:val="24"/>
        </w:rPr>
        <w:t>.1.c</w:t>
      </w:r>
      <w:r w:rsidR="00804DDA" w:rsidRPr="00166607">
        <w:rPr>
          <w:rFonts w:ascii="Times New Roman" w:eastAsia="Times New Roman" w:hAnsi="Times New Roman"/>
          <w:b/>
          <w:color w:val="000000"/>
          <w:sz w:val="24"/>
        </w:rPr>
        <w:t xml:space="preserve"> </w:t>
      </w:r>
      <w:r w:rsidR="001D1D96" w:rsidRPr="00166607">
        <w:rPr>
          <w:rFonts w:ascii="Times New Roman" w:eastAsia="Times New Roman" w:hAnsi="Times New Roman"/>
          <w:b/>
          <w:color w:val="000000"/>
          <w:sz w:val="24"/>
        </w:rPr>
        <w:t>Government r</w:t>
      </w:r>
      <w:r w:rsidR="00804DDA" w:rsidRPr="00166607">
        <w:rPr>
          <w:rFonts w:ascii="Times New Roman" w:eastAsia="Times New Roman" w:hAnsi="Times New Roman"/>
          <w:b/>
          <w:color w:val="000000"/>
          <w:sz w:val="24"/>
        </w:rPr>
        <w:t>evenue</w:t>
      </w:r>
    </w:p>
    <w:p w14:paraId="482CBD94" w14:textId="77777777" w:rsidR="004A4783" w:rsidRDefault="00804DDA" w:rsidP="00402892">
      <w:pPr>
        <w:pStyle w:val="CommentText"/>
        <w:spacing w:after="160" w:line="360" w:lineRule="auto"/>
        <w:ind w:firstLine="720"/>
        <w:contextualSpacing/>
        <w:jc w:val="both"/>
        <w:rPr>
          <w:rFonts w:ascii="Times New Roman" w:eastAsia="Times New Roman" w:hAnsi="Times New Roman"/>
          <w:color w:val="000000"/>
          <w:sz w:val="24"/>
        </w:rPr>
      </w:pPr>
      <w:r w:rsidRPr="00166607">
        <w:rPr>
          <w:rFonts w:ascii="Times New Roman" w:eastAsia="Times New Roman" w:hAnsi="Times New Roman"/>
          <w:color w:val="000000"/>
          <w:sz w:val="24"/>
        </w:rPr>
        <w:t>There are two sources of future additional government revenue: additional revenue from VAT taxes</w:t>
      </w:r>
      <w:r w:rsidR="00873A0A" w:rsidRPr="00166607">
        <w:rPr>
          <w:rFonts w:ascii="Times New Roman" w:eastAsia="Times New Roman" w:hAnsi="Times New Roman"/>
          <w:color w:val="000000"/>
          <w:sz w:val="24"/>
        </w:rPr>
        <w:t xml:space="preserve"> </w:t>
      </w:r>
      <w:r w:rsidRPr="00166607">
        <w:rPr>
          <w:rFonts w:ascii="Times New Roman" w:eastAsia="Times New Roman" w:hAnsi="Times New Roman"/>
          <w:color w:val="000000"/>
          <w:sz w:val="24"/>
        </w:rPr>
        <w:t xml:space="preserve">and additional </w:t>
      </w:r>
      <w:r w:rsidR="00BF4F11" w:rsidRPr="00166607">
        <w:rPr>
          <w:rFonts w:ascii="Times New Roman" w:eastAsia="Times New Roman" w:hAnsi="Times New Roman"/>
          <w:color w:val="000000"/>
          <w:sz w:val="24"/>
        </w:rPr>
        <w:t xml:space="preserve">government </w:t>
      </w:r>
      <w:r w:rsidRPr="00166607">
        <w:rPr>
          <w:rFonts w:ascii="Times New Roman" w:eastAsia="Times New Roman" w:hAnsi="Times New Roman"/>
          <w:color w:val="000000"/>
          <w:sz w:val="24"/>
        </w:rPr>
        <w:t>revenue from payroll taxes.</w:t>
      </w:r>
      <w:r w:rsidR="00BF4F11" w:rsidRPr="00166607">
        <w:rPr>
          <w:rFonts w:ascii="Times New Roman" w:eastAsia="Times New Roman" w:hAnsi="Times New Roman"/>
          <w:color w:val="000000"/>
          <w:sz w:val="24"/>
        </w:rPr>
        <w:t xml:space="preserve"> </w:t>
      </w:r>
      <w:r w:rsidR="00F119BD" w:rsidRPr="00166607">
        <w:rPr>
          <w:rFonts w:ascii="Times New Roman" w:eastAsia="Times New Roman" w:hAnsi="Times New Roman"/>
          <w:color w:val="000000"/>
          <w:sz w:val="24"/>
        </w:rPr>
        <w:t xml:space="preserve">We use </w:t>
      </w:r>
      <w:r w:rsidR="00873A0A" w:rsidRPr="00166607">
        <w:rPr>
          <w:rFonts w:ascii="Times New Roman" w:eastAsia="Times New Roman" w:hAnsi="Times New Roman"/>
          <w:color w:val="000000"/>
          <w:sz w:val="24"/>
        </w:rPr>
        <w:t xml:space="preserve">annual </w:t>
      </w:r>
      <w:r w:rsidR="00F119BD" w:rsidRPr="00166607">
        <w:rPr>
          <w:rFonts w:ascii="Times New Roman" w:eastAsia="Times New Roman" w:hAnsi="Times New Roman"/>
          <w:color w:val="000000"/>
          <w:sz w:val="24"/>
        </w:rPr>
        <w:t xml:space="preserve">formal sector </w:t>
      </w:r>
      <w:r w:rsidR="00701353" w:rsidRPr="00166607">
        <w:rPr>
          <w:rFonts w:ascii="Times New Roman" w:eastAsia="Times New Roman" w:hAnsi="Times New Roman"/>
          <w:color w:val="000000"/>
          <w:sz w:val="24"/>
        </w:rPr>
        <w:t xml:space="preserve">earnings </w:t>
      </w:r>
      <w:r w:rsidR="00DF5422" w:rsidRPr="00166607">
        <w:rPr>
          <w:rFonts w:ascii="Times New Roman" w:eastAsia="Times New Roman" w:hAnsi="Times New Roman"/>
          <w:color w:val="000000"/>
          <w:sz w:val="24"/>
        </w:rPr>
        <w:t xml:space="preserve">(from Table </w:t>
      </w:r>
      <w:r w:rsidR="002E074A" w:rsidRPr="00166607">
        <w:rPr>
          <w:rFonts w:ascii="Times New Roman" w:eastAsia="Times New Roman" w:hAnsi="Times New Roman"/>
          <w:color w:val="000000"/>
          <w:sz w:val="24"/>
        </w:rPr>
        <w:t>4</w:t>
      </w:r>
      <w:r w:rsidR="00DF5422" w:rsidRPr="00166607">
        <w:rPr>
          <w:rFonts w:ascii="Times New Roman" w:eastAsia="Times New Roman" w:hAnsi="Times New Roman"/>
          <w:color w:val="000000"/>
          <w:sz w:val="24"/>
        </w:rPr>
        <w:t>)</w:t>
      </w:r>
      <w:r w:rsidRPr="00166607">
        <w:rPr>
          <w:rFonts w:ascii="Times New Roman" w:eastAsia="Times New Roman" w:hAnsi="Times New Roman"/>
          <w:color w:val="000000"/>
          <w:sz w:val="24"/>
        </w:rPr>
        <w:t>. We project earnings for losers and winners over a 35-</w:t>
      </w:r>
      <w:r w:rsidRPr="00166607">
        <w:rPr>
          <w:rFonts w:ascii="Times New Roman" w:eastAsia="Times New Roman" w:hAnsi="Times New Roman"/>
          <w:color w:val="000000"/>
          <w:sz w:val="24"/>
        </w:rPr>
        <w:lastRenderedPageBreak/>
        <w:t>year work horizon allowing for a 3.02 annual growth rate.</w:t>
      </w:r>
      <w:r w:rsidRPr="00166607">
        <w:rPr>
          <w:rStyle w:val="FootnoteReference"/>
          <w:rFonts w:eastAsia="Times New Roman"/>
          <w:color w:val="000000"/>
          <w:sz w:val="24"/>
        </w:rPr>
        <w:footnoteReference w:id="37"/>
      </w:r>
      <w:r w:rsidRPr="00166607">
        <w:rPr>
          <w:rFonts w:ascii="Times New Roman" w:eastAsia="Times New Roman" w:hAnsi="Times New Roman"/>
          <w:color w:val="000000"/>
          <w:sz w:val="24"/>
        </w:rPr>
        <w:t xml:space="preserve"> The NPV of additional earnings is th</w:t>
      </w:r>
      <w:r w:rsidRPr="008233C3">
        <w:rPr>
          <w:rFonts w:ascii="Times New Roman" w:eastAsia="Times New Roman" w:hAnsi="Times New Roman"/>
          <w:color w:val="000000"/>
          <w:sz w:val="24"/>
        </w:rPr>
        <w:t>e difference between the NPV of earnings for winners and the NPV of earnings for losers</w:t>
      </w:r>
      <w:r w:rsidR="00F638AB" w:rsidRPr="00166607">
        <w:rPr>
          <w:rFonts w:ascii="Times New Roman" w:eastAsia="Times New Roman" w:hAnsi="Times New Roman"/>
          <w:color w:val="000000"/>
          <w:sz w:val="24"/>
        </w:rPr>
        <w:t>.</w:t>
      </w:r>
      <w:r w:rsidRPr="00166607">
        <w:rPr>
          <w:rFonts w:ascii="Times New Roman" w:eastAsia="Times New Roman" w:hAnsi="Times New Roman"/>
          <w:color w:val="000000"/>
          <w:sz w:val="24"/>
        </w:rPr>
        <w:t xml:space="preserve"> Multiplying </w:t>
      </w:r>
      <w:r w:rsidR="00F638AB" w:rsidRPr="00166607">
        <w:rPr>
          <w:rFonts w:ascii="Times New Roman" w:eastAsia="Times New Roman" w:hAnsi="Times New Roman"/>
          <w:color w:val="000000"/>
          <w:sz w:val="24"/>
        </w:rPr>
        <w:t xml:space="preserve">the difference </w:t>
      </w:r>
      <w:r w:rsidRPr="00166607">
        <w:rPr>
          <w:rFonts w:ascii="Times New Roman" w:eastAsia="Times New Roman" w:hAnsi="Times New Roman"/>
          <w:color w:val="000000"/>
          <w:sz w:val="24"/>
        </w:rPr>
        <w:t xml:space="preserve">by the </w:t>
      </w:r>
      <w:r w:rsidR="00D73EF8" w:rsidRPr="00166607">
        <w:rPr>
          <w:rFonts w:ascii="Times New Roman" w:eastAsia="Times New Roman" w:hAnsi="Times New Roman"/>
          <w:color w:val="000000"/>
          <w:sz w:val="24"/>
        </w:rPr>
        <w:t>13.</w:t>
      </w:r>
      <w:r w:rsidR="003953E3" w:rsidRPr="00166607">
        <w:rPr>
          <w:rFonts w:ascii="Times New Roman" w:eastAsia="Times New Roman" w:hAnsi="Times New Roman"/>
          <w:color w:val="000000"/>
          <w:sz w:val="24"/>
        </w:rPr>
        <w:t>3</w:t>
      </w:r>
      <w:r w:rsidRPr="00166607">
        <w:rPr>
          <w:rFonts w:ascii="Times New Roman" w:eastAsia="Times New Roman" w:hAnsi="Times New Roman"/>
          <w:color w:val="000000"/>
          <w:sz w:val="24"/>
        </w:rPr>
        <w:t xml:space="preserve"> percent VAT tax rate we get additio</w:t>
      </w:r>
      <w:r w:rsidR="002956E8" w:rsidRPr="00166607">
        <w:rPr>
          <w:rFonts w:ascii="Times New Roman" w:eastAsia="Times New Roman" w:hAnsi="Times New Roman"/>
          <w:color w:val="000000"/>
          <w:sz w:val="24"/>
        </w:rPr>
        <w:t xml:space="preserve">nal VAT tax revenue, which is $1,098 </w:t>
      </w:r>
      <w:r w:rsidR="00153801" w:rsidRPr="00166607">
        <w:rPr>
          <w:rFonts w:ascii="Times New Roman" w:eastAsia="Times New Roman" w:hAnsi="Times New Roman"/>
          <w:color w:val="000000"/>
          <w:sz w:val="24"/>
          <w:szCs w:val="24"/>
        </w:rPr>
        <w:t xml:space="preserve">($151 for academic school applicants and </w:t>
      </w:r>
      <w:r w:rsidR="00CA44DD" w:rsidRPr="00166607">
        <w:rPr>
          <w:rFonts w:ascii="Times New Roman" w:eastAsia="Times New Roman" w:hAnsi="Times New Roman"/>
          <w:color w:val="000000"/>
          <w:sz w:val="24"/>
          <w:szCs w:val="24"/>
        </w:rPr>
        <w:t>$</w:t>
      </w:r>
      <w:r w:rsidR="00153801" w:rsidRPr="00166607">
        <w:rPr>
          <w:rFonts w:ascii="Times New Roman" w:eastAsia="Times New Roman" w:hAnsi="Times New Roman"/>
          <w:color w:val="000000"/>
          <w:sz w:val="24"/>
          <w:szCs w:val="24"/>
        </w:rPr>
        <w:t xml:space="preserve">2,417 for vocational school applicants, </w:t>
      </w:r>
      <w:r w:rsidRPr="00166607">
        <w:rPr>
          <w:rFonts w:ascii="Times New Roman" w:eastAsia="Times New Roman" w:hAnsi="Times New Roman"/>
          <w:color w:val="000000"/>
          <w:sz w:val="24"/>
        </w:rPr>
        <w:t xml:space="preserve">Row </w:t>
      </w:r>
      <w:r w:rsidR="00F638AB" w:rsidRPr="00166607">
        <w:rPr>
          <w:rFonts w:ascii="Times New Roman" w:eastAsia="Times New Roman" w:hAnsi="Times New Roman"/>
          <w:color w:val="000000"/>
          <w:sz w:val="24"/>
        </w:rPr>
        <w:t>1</w:t>
      </w:r>
      <w:r w:rsidR="004C6B42" w:rsidRPr="00166607">
        <w:rPr>
          <w:rFonts w:ascii="Times New Roman" w:eastAsia="Times New Roman" w:hAnsi="Times New Roman"/>
          <w:color w:val="000000"/>
          <w:sz w:val="24"/>
        </w:rPr>
        <w:t>6</w:t>
      </w:r>
      <w:r w:rsidRPr="00166607">
        <w:rPr>
          <w:rFonts w:ascii="Times New Roman" w:eastAsia="Times New Roman" w:hAnsi="Times New Roman"/>
          <w:color w:val="000000"/>
          <w:sz w:val="24"/>
        </w:rPr>
        <w:t>).</w:t>
      </w:r>
    </w:p>
    <w:p w14:paraId="5B3D6F0E" w14:textId="23A68E7F" w:rsidR="000B1B5E" w:rsidRPr="00166607" w:rsidRDefault="00804DDA" w:rsidP="00402892">
      <w:pPr>
        <w:pStyle w:val="CommentText"/>
        <w:spacing w:after="160" w:line="360" w:lineRule="auto"/>
        <w:ind w:firstLine="720"/>
        <w:contextualSpacing/>
        <w:jc w:val="both"/>
        <w:rPr>
          <w:rFonts w:ascii="Times New Roman" w:eastAsia="Times New Roman" w:hAnsi="Times New Roman"/>
          <w:color w:val="000000"/>
          <w:sz w:val="24"/>
          <w:szCs w:val="24"/>
        </w:rPr>
      </w:pPr>
      <w:r w:rsidRPr="00166607">
        <w:rPr>
          <w:rFonts w:ascii="Times New Roman" w:eastAsia="Times New Roman" w:hAnsi="Times New Roman"/>
          <w:color w:val="000000"/>
          <w:sz w:val="24"/>
        </w:rPr>
        <w:t xml:space="preserve">Annual payroll taxes </w:t>
      </w:r>
      <w:r w:rsidR="00873A0A" w:rsidRPr="00166607">
        <w:rPr>
          <w:rFonts w:ascii="Times New Roman" w:eastAsia="Times New Roman" w:hAnsi="Times New Roman"/>
          <w:color w:val="000000"/>
          <w:sz w:val="24"/>
        </w:rPr>
        <w:t xml:space="preserve">come from </w:t>
      </w:r>
      <w:r w:rsidRPr="00166607">
        <w:rPr>
          <w:rFonts w:ascii="Times New Roman" w:eastAsia="Times New Roman" w:hAnsi="Times New Roman"/>
          <w:color w:val="000000"/>
          <w:sz w:val="24"/>
        </w:rPr>
        <w:t>Table</w:t>
      </w:r>
      <w:r w:rsidR="002D72DD" w:rsidRPr="00166607">
        <w:rPr>
          <w:rFonts w:ascii="Times New Roman" w:eastAsia="Times New Roman" w:hAnsi="Times New Roman"/>
          <w:color w:val="000000"/>
          <w:sz w:val="24"/>
        </w:rPr>
        <w:t xml:space="preserve"> </w:t>
      </w:r>
      <w:r w:rsidR="009C4328" w:rsidRPr="00166607">
        <w:rPr>
          <w:rFonts w:ascii="Times New Roman" w:eastAsia="Times New Roman" w:hAnsi="Times New Roman"/>
          <w:color w:val="000000"/>
          <w:sz w:val="24"/>
        </w:rPr>
        <w:t>4</w:t>
      </w:r>
      <w:r w:rsidRPr="00166607">
        <w:rPr>
          <w:rFonts w:ascii="Times New Roman" w:eastAsia="Times New Roman" w:hAnsi="Times New Roman"/>
          <w:color w:val="000000"/>
          <w:sz w:val="24"/>
        </w:rPr>
        <w:t xml:space="preserve">.  We project annual payroll taxes for losers and winners over a 35-year work horizon allowing for a 3.02 annual growth rate.  The NPV of additional payroll taxes is the difference between the NPV of payroll taxes for winners and the NPV of payroll taxes for losers. </w:t>
      </w:r>
      <w:r w:rsidRPr="00166607">
        <w:rPr>
          <w:rFonts w:ascii="Times New Roman" w:eastAsia="Times New Roman" w:hAnsi="Times New Roman"/>
          <w:color w:val="000000"/>
          <w:sz w:val="24"/>
          <w:szCs w:val="24"/>
        </w:rPr>
        <w:t xml:space="preserve">The NPV of additional government revenue </w:t>
      </w:r>
      <w:r w:rsidR="00144933" w:rsidRPr="00166607">
        <w:rPr>
          <w:rFonts w:ascii="Times New Roman" w:eastAsia="Times New Roman" w:hAnsi="Times New Roman"/>
          <w:color w:val="000000"/>
          <w:sz w:val="24"/>
          <w:szCs w:val="24"/>
        </w:rPr>
        <w:t xml:space="preserve">from payroll taxes </w:t>
      </w:r>
      <w:r w:rsidRPr="00166607">
        <w:rPr>
          <w:rFonts w:ascii="Times New Roman" w:eastAsia="Times New Roman" w:hAnsi="Times New Roman"/>
          <w:color w:val="000000"/>
          <w:sz w:val="24"/>
          <w:szCs w:val="24"/>
        </w:rPr>
        <w:t>is</w:t>
      </w:r>
      <w:r w:rsidR="00E212AD" w:rsidRPr="00166607">
        <w:rPr>
          <w:rFonts w:ascii="Times New Roman" w:eastAsia="Times New Roman" w:hAnsi="Times New Roman"/>
          <w:color w:val="000000"/>
          <w:sz w:val="24"/>
          <w:szCs w:val="24"/>
        </w:rPr>
        <w:t xml:space="preserve"> this difference multiplied by</w:t>
      </w:r>
      <w:r w:rsidR="00C47DCE" w:rsidRPr="00166607">
        <w:rPr>
          <w:rFonts w:ascii="Times New Roman" w:eastAsia="Times New Roman" w:hAnsi="Times New Roman"/>
          <w:color w:val="000000"/>
          <w:sz w:val="24"/>
          <w:szCs w:val="24"/>
        </w:rPr>
        <w:t xml:space="preserve"> 40</w:t>
      </w:r>
      <w:r w:rsidR="00E212AD" w:rsidRPr="00166607">
        <w:rPr>
          <w:rFonts w:ascii="Times New Roman" w:eastAsia="Times New Roman" w:hAnsi="Times New Roman"/>
          <w:color w:val="000000"/>
          <w:sz w:val="24"/>
          <w:szCs w:val="24"/>
        </w:rPr>
        <w:t xml:space="preserve"> percent</w:t>
      </w:r>
      <w:r w:rsidR="009F7D08" w:rsidRPr="00166607">
        <w:rPr>
          <w:rFonts w:ascii="Times New Roman" w:eastAsia="Times New Roman" w:hAnsi="Times New Roman"/>
          <w:color w:val="000000"/>
          <w:sz w:val="24"/>
          <w:szCs w:val="24"/>
        </w:rPr>
        <w:t xml:space="preserve"> tax rate</w:t>
      </w:r>
      <w:r w:rsidR="00663CCC" w:rsidRPr="00166607">
        <w:rPr>
          <w:rFonts w:ascii="Times New Roman" w:eastAsia="Times New Roman" w:hAnsi="Times New Roman"/>
          <w:color w:val="000000"/>
          <w:sz w:val="24"/>
          <w:szCs w:val="24"/>
        </w:rPr>
        <w:t xml:space="preserve"> (see footnote 3</w:t>
      </w:r>
      <w:r w:rsidR="009F7D08" w:rsidRPr="00166607">
        <w:rPr>
          <w:rFonts w:ascii="Times New Roman" w:eastAsia="Times New Roman" w:hAnsi="Times New Roman"/>
          <w:color w:val="000000"/>
          <w:sz w:val="24"/>
          <w:szCs w:val="24"/>
        </w:rPr>
        <w:t>4</w:t>
      </w:r>
      <w:r w:rsidR="00663CCC" w:rsidRPr="00166607">
        <w:rPr>
          <w:rFonts w:ascii="Times New Roman" w:eastAsia="Times New Roman" w:hAnsi="Times New Roman"/>
          <w:color w:val="000000"/>
          <w:sz w:val="24"/>
          <w:szCs w:val="24"/>
        </w:rPr>
        <w:t>)</w:t>
      </w:r>
      <w:r w:rsidR="009F7D08" w:rsidRPr="00166607">
        <w:rPr>
          <w:rFonts w:ascii="Times New Roman" w:eastAsia="Times New Roman" w:hAnsi="Times New Roman"/>
          <w:color w:val="000000"/>
          <w:sz w:val="24"/>
          <w:szCs w:val="24"/>
        </w:rPr>
        <w:t xml:space="preserve">.  This comes to </w:t>
      </w:r>
      <w:r w:rsidR="003E7A8C" w:rsidRPr="008233C3">
        <w:rPr>
          <w:rFonts w:ascii="Times New Roman" w:eastAsia="Times New Roman" w:hAnsi="Times New Roman"/>
          <w:color w:val="000000"/>
          <w:sz w:val="24"/>
          <w:szCs w:val="24"/>
        </w:rPr>
        <w:t>$92</w:t>
      </w:r>
      <w:r w:rsidR="00E2790E" w:rsidRPr="00166607">
        <w:rPr>
          <w:rFonts w:ascii="Times New Roman" w:eastAsia="Times New Roman" w:hAnsi="Times New Roman"/>
          <w:color w:val="000000"/>
          <w:sz w:val="24"/>
          <w:szCs w:val="24"/>
        </w:rPr>
        <w:t>9</w:t>
      </w:r>
      <w:r w:rsidR="003E7A8C" w:rsidRPr="00166607">
        <w:rPr>
          <w:rFonts w:ascii="Times New Roman" w:eastAsia="Times New Roman" w:hAnsi="Times New Roman"/>
          <w:color w:val="000000"/>
          <w:sz w:val="24"/>
          <w:szCs w:val="24"/>
        </w:rPr>
        <w:t xml:space="preserve"> </w:t>
      </w:r>
      <w:r w:rsidR="00E2790E" w:rsidRPr="00166607">
        <w:rPr>
          <w:rFonts w:ascii="Times New Roman" w:eastAsia="Times New Roman" w:hAnsi="Times New Roman"/>
          <w:color w:val="000000"/>
          <w:sz w:val="24"/>
          <w:szCs w:val="24"/>
        </w:rPr>
        <w:t xml:space="preserve">($45 for academic school applicants and </w:t>
      </w:r>
      <w:r w:rsidR="00CA44DD" w:rsidRPr="00166607">
        <w:rPr>
          <w:rFonts w:ascii="Times New Roman" w:eastAsia="Times New Roman" w:hAnsi="Times New Roman"/>
          <w:color w:val="000000"/>
          <w:sz w:val="24"/>
          <w:szCs w:val="24"/>
        </w:rPr>
        <w:t>$</w:t>
      </w:r>
      <w:r w:rsidR="00E2790E" w:rsidRPr="00166607">
        <w:rPr>
          <w:rFonts w:ascii="Times New Roman" w:eastAsia="Times New Roman" w:hAnsi="Times New Roman"/>
          <w:color w:val="000000"/>
          <w:sz w:val="24"/>
          <w:szCs w:val="24"/>
        </w:rPr>
        <w:t xml:space="preserve">2,135 for vocational school applicants, </w:t>
      </w:r>
      <w:r w:rsidRPr="00166607">
        <w:rPr>
          <w:rFonts w:ascii="Times New Roman" w:eastAsia="Times New Roman" w:hAnsi="Times New Roman"/>
          <w:color w:val="000000"/>
          <w:sz w:val="24"/>
          <w:szCs w:val="24"/>
        </w:rPr>
        <w:t xml:space="preserve">Row </w:t>
      </w:r>
      <w:r w:rsidR="00E212AD" w:rsidRPr="00166607">
        <w:rPr>
          <w:rFonts w:ascii="Times New Roman" w:eastAsia="Times New Roman" w:hAnsi="Times New Roman"/>
          <w:color w:val="000000"/>
          <w:sz w:val="24"/>
          <w:szCs w:val="24"/>
        </w:rPr>
        <w:t>1</w:t>
      </w:r>
      <w:r w:rsidR="004C6B42" w:rsidRPr="00166607">
        <w:rPr>
          <w:rFonts w:ascii="Times New Roman" w:eastAsia="Times New Roman" w:hAnsi="Times New Roman"/>
          <w:color w:val="000000"/>
          <w:sz w:val="24"/>
          <w:szCs w:val="24"/>
        </w:rPr>
        <w:t>7</w:t>
      </w:r>
      <w:r w:rsidRPr="00166607">
        <w:rPr>
          <w:rFonts w:ascii="Times New Roman" w:eastAsia="Times New Roman" w:hAnsi="Times New Roman"/>
          <w:color w:val="000000"/>
          <w:sz w:val="24"/>
          <w:szCs w:val="24"/>
        </w:rPr>
        <w:t>).</w:t>
      </w:r>
      <w:r w:rsidR="00E212AD" w:rsidRPr="00166607">
        <w:rPr>
          <w:rFonts w:ascii="Times New Roman" w:eastAsia="Times New Roman" w:hAnsi="Times New Roman"/>
          <w:color w:val="000000"/>
          <w:sz w:val="24"/>
          <w:szCs w:val="24"/>
        </w:rPr>
        <w:t xml:space="preserve">  Total expected additional government revenue is </w:t>
      </w:r>
      <w:r w:rsidR="00B073F0" w:rsidRPr="00166607">
        <w:rPr>
          <w:rFonts w:ascii="Times New Roman" w:eastAsia="Times New Roman" w:hAnsi="Times New Roman"/>
          <w:color w:val="000000"/>
          <w:sz w:val="24"/>
          <w:szCs w:val="24"/>
        </w:rPr>
        <w:t xml:space="preserve">$2,027 </w:t>
      </w:r>
      <w:r w:rsidR="002F1D6C" w:rsidRPr="00166607">
        <w:rPr>
          <w:rFonts w:ascii="Times New Roman" w:eastAsia="Times New Roman" w:hAnsi="Times New Roman"/>
          <w:color w:val="000000"/>
          <w:sz w:val="24"/>
          <w:szCs w:val="24"/>
        </w:rPr>
        <w:t xml:space="preserve">($196 for academic school applicants and </w:t>
      </w:r>
      <w:r w:rsidR="00CA44DD" w:rsidRPr="00166607">
        <w:rPr>
          <w:rFonts w:ascii="Times New Roman" w:eastAsia="Times New Roman" w:hAnsi="Times New Roman"/>
          <w:color w:val="000000"/>
          <w:sz w:val="24"/>
          <w:szCs w:val="24"/>
        </w:rPr>
        <w:t>$</w:t>
      </w:r>
      <w:r w:rsidR="002F1D6C" w:rsidRPr="00166607">
        <w:rPr>
          <w:rFonts w:ascii="Times New Roman" w:eastAsia="Times New Roman" w:hAnsi="Times New Roman"/>
          <w:color w:val="000000"/>
          <w:sz w:val="24"/>
          <w:szCs w:val="24"/>
        </w:rPr>
        <w:t>4,551 for vocational school applicants,</w:t>
      </w:r>
      <w:r w:rsidR="002F1D6C" w:rsidRPr="00166607" w:rsidDel="002F1D6C">
        <w:rPr>
          <w:rFonts w:ascii="Times New Roman" w:eastAsia="Times New Roman" w:hAnsi="Times New Roman"/>
          <w:color w:val="000000"/>
          <w:sz w:val="24"/>
          <w:szCs w:val="24"/>
        </w:rPr>
        <w:t xml:space="preserve"> </w:t>
      </w:r>
      <w:r w:rsidR="004C6B42" w:rsidRPr="00166607">
        <w:rPr>
          <w:rFonts w:ascii="Times New Roman" w:eastAsia="Times New Roman" w:hAnsi="Times New Roman"/>
          <w:color w:val="000000"/>
          <w:sz w:val="24"/>
          <w:szCs w:val="24"/>
        </w:rPr>
        <w:t>Row 18)</w:t>
      </w:r>
      <w:r w:rsidR="00E212AD" w:rsidRPr="00166607">
        <w:rPr>
          <w:rFonts w:ascii="Times New Roman" w:eastAsia="Times New Roman" w:hAnsi="Times New Roman"/>
          <w:color w:val="000000"/>
          <w:sz w:val="24"/>
          <w:szCs w:val="24"/>
        </w:rPr>
        <w:t xml:space="preserve">. </w:t>
      </w:r>
      <w:r w:rsidRPr="00166607">
        <w:rPr>
          <w:rFonts w:ascii="Times New Roman" w:eastAsia="Times New Roman" w:hAnsi="Times New Roman"/>
          <w:color w:val="000000"/>
          <w:sz w:val="24"/>
          <w:szCs w:val="24"/>
        </w:rPr>
        <w:t xml:space="preserve"> </w:t>
      </w:r>
      <w:r w:rsidR="00E25B20" w:rsidRPr="00166607">
        <w:rPr>
          <w:rFonts w:ascii="Times New Roman" w:eastAsia="Times New Roman" w:hAnsi="Times New Roman"/>
          <w:color w:val="000000"/>
          <w:sz w:val="24"/>
          <w:szCs w:val="24"/>
        </w:rPr>
        <w:t>The scholarship impacts on formal</w:t>
      </w:r>
      <w:r w:rsidR="00F962FD" w:rsidRPr="00166607">
        <w:rPr>
          <w:rFonts w:ascii="Times New Roman" w:eastAsia="Times New Roman" w:hAnsi="Times New Roman"/>
          <w:color w:val="000000"/>
          <w:sz w:val="24"/>
          <w:szCs w:val="24"/>
        </w:rPr>
        <w:t xml:space="preserve"> sector</w:t>
      </w:r>
      <w:r w:rsidR="00E25B20" w:rsidRPr="00166607">
        <w:rPr>
          <w:rFonts w:ascii="Times New Roman" w:eastAsia="Times New Roman" w:hAnsi="Times New Roman"/>
          <w:color w:val="000000"/>
          <w:sz w:val="24"/>
          <w:szCs w:val="24"/>
        </w:rPr>
        <w:t xml:space="preserve"> earnings among the vocational school applicant sub-population entirely drive the positive NPV of additional government revenue, which we can reject to be zero in the full sample and among </w:t>
      </w:r>
      <w:r w:rsidR="002F1D6C" w:rsidRPr="00166607">
        <w:rPr>
          <w:rFonts w:ascii="Times New Roman" w:eastAsia="Times New Roman" w:hAnsi="Times New Roman"/>
          <w:color w:val="000000"/>
          <w:sz w:val="24"/>
          <w:szCs w:val="24"/>
        </w:rPr>
        <w:t xml:space="preserve">vocational school applicants </w:t>
      </w:r>
      <w:r w:rsidR="00E25B20" w:rsidRPr="00166607">
        <w:rPr>
          <w:rFonts w:ascii="Times New Roman" w:eastAsia="Times New Roman" w:hAnsi="Times New Roman"/>
          <w:color w:val="000000"/>
          <w:sz w:val="24"/>
          <w:szCs w:val="24"/>
        </w:rPr>
        <w:t xml:space="preserve">with 90 percent confidence. </w:t>
      </w:r>
      <w:r w:rsidRPr="00166607">
        <w:rPr>
          <w:rFonts w:ascii="Times New Roman" w:eastAsia="Times New Roman" w:hAnsi="Times New Roman"/>
          <w:color w:val="000000"/>
          <w:sz w:val="24"/>
          <w:szCs w:val="24"/>
        </w:rPr>
        <w:t xml:space="preserve"> </w:t>
      </w:r>
    </w:p>
    <w:p w14:paraId="2049D1A6" w14:textId="72B723D3" w:rsidR="006D7ACD" w:rsidRPr="00166607" w:rsidRDefault="00153AF6" w:rsidP="00402892">
      <w:pPr>
        <w:pStyle w:val="CommentText"/>
        <w:spacing w:after="160" w:line="360" w:lineRule="auto"/>
        <w:ind w:firstLine="720"/>
        <w:contextualSpacing/>
        <w:jc w:val="both"/>
        <w:rPr>
          <w:rFonts w:ascii="Times New Roman" w:eastAsia="Times New Roman" w:hAnsi="Times New Roman"/>
          <w:color w:val="000000"/>
          <w:sz w:val="24"/>
          <w:szCs w:val="24"/>
        </w:rPr>
      </w:pPr>
      <w:r w:rsidRPr="00166607">
        <w:rPr>
          <w:rFonts w:ascii="Times New Roman" w:eastAsia="Times New Roman" w:hAnsi="Times New Roman"/>
          <w:color w:val="000000"/>
          <w:sz w:val="24"/>
          <w:szCs w:val="24"/>
        </w:rPr>
        <w:t xml:space="preserve">As noted earlier, effects on </w:t>
      </w:r>
      <w:r w:rsidR="006D7ACD">
        <w:rPr>
          <w:rFonts w:ascii="Times New Roman" w:eastAsia="Times New Roman" w:hAnsi="Times New Roman"/>
          <w:color w:val="000000"/>
          <w:sz w:val="24"/>
          <w:szCs w:val="24"/>
        </w:rPr>
        <w:t xml:space="preserve">self-reported total earnings—which for over two thirds of SISBEN respondents who do not pay payroll taxes are </w:t>
      </w:r>
      <w:r w:rsidRPr="00166607">
        <w:rPr>
          <w:rFonts w:ascii="Times New Roman" w:eastAsia="Times New Roman" w:hAnsi="Times New Roman"/>
          <w:color w:val="000000"/>
          <w:sz w:val="24"/>
          <w:szCs w:val="24"/>
        </w:rPr>
        <w:t>informal earnings</w:t>
      </w:r>
      <w:r w:rsidR="006D7ACD">
        <w:rPr>
          <w:rFonts w:ascii="Times New Roman" w:eastAsia="Times New Roman" w:hAnsi="Times New Roman"/>
          <w:color w:val="000000"/>
          <w:sz w:val="24"/>
          <w:szCs w:val="24"/>
        </w:rPr>
        <w:t>—</w:t>
      </w:r>
      <w:r w:rsidRPr="00166607">
        <w:rPr>
          <w:rFonts w:ascii="Times New Roman" w:eastAsia="Times New Roman" w:hAnsi="Times New Roman"/>
          <w:color w:val="000000"/>
          <w:sz w:val="24"/>
          <w:szCs w:val="24"/>
        </w:rPr>
        <w:t xml:space="preserve">are likely </w:t>
      </w:r>
      <w:r w:rsidR="003F4D7A" w:rsidRPr="00166607">
        <w:rPr>
          <w:rFonts w:ascii="Times New Roman" w:eastAsia="Times New Roman" w:hAnsi="Times New Roman"/>
          <w:color w:val="000000"/>
          <w:sz w:val="24"/>
          <w:szCs w:val="24"/>
        </w:rPr>
        <w:t xml:space="preserve">zero or </w:t>
      </w:r>
      <w:r w:rsidRPr="00166607">
        <w:rPr>
          <w:rFonts w:ascii="Times New Roman" w:eastAsia="Times New Roman" w:hAnsi="Times New Roman"/>
          <w:color w:val="000000"/>
          <w:sz w:val="24"/>
          <w:szCs w:val="24"/>
        </w:rPr>
        <w:t>positive, but even if they were negative, they would not have a major effect on these calculations, since payroll taxes are not collected on informal earnings.</w:t>
      </w:r>
    </w:p>
    <w:p w14:paraId="15A6FF8A" w14:textId="138FB41F" w:rsidR="00EA4467" w:rsidRPr="00166607" w:rsidRDefault="00D360B3" w:rsidP="00402892">
      <w:pPr>
        <w:pStyle w:val="CommentText"/>
        <w:spacing w:after="160" w:line="360" w:lineRule="auto"/>
        <w:ind w:firstLine="720"/>
        <w:contextualSpacing/>
        <w:jc w:val="both"/>
        <w:rPr>
          <w:rFonts w:ascii="Times New Roman" w:eastAsia="Times New Roman" w:hAnsi="Times New Roman"/>
          <w:color w:val="000000"/>
          <w:sz w:val="24"/>
          <w:szCs w:val="24"/>
        </w:rPr>
      </w:pPr>
      <w:r w:rsidRPr="00166607">
        <w:rPr>
          <w:rFonts w:ascii="Times New Roman" w:eastAsia="Times New Roman" w:hAnsi="Times New Roman"/>
          <w:color w:val="000000"/>
          <w:sz w:val="24"/>
          <w:szCs w:val="24"/>
        </w:rPr>
        <w:t>The point estimate of the net fiscal cost to taxpayers is</w:t>
      </w:r>
      <w:r w:rsidR="00144933" w:rsidRPr="00166607">
        <w:rPr>
          <w:rFonts w:ascii="Times New Roman" w:eastAsia="Times New Roman" w:hAnsi="Times New Roman"/>
          <w:color w:val="000000"/>
          <w:sz w:val="24"/>
          <w:szCs w:val="24"/>
        </w:rPr>
        <w:t xml:space="preserve"> -</w:t>
      </w:r>
      <w:r w:rsidR="00AE415E" w:rsidRPr="00166607">
        <w:rPr>
          <w:rFonts w:ascii="Times New Roman" w:eastAsia="Times New Roman" w:hAnsi="Times New Roman"/>
          <w:color w:val="000000"/>
          <w:sz w:val="24"/>
          <w:szCs w:val="24"/>
        </w:rPr>
        <w:t>$</w:t>
      </w:r>
      <w:r w:rsidR="00144933" w:rsidRPr="00166607">
        <w:rPr>
          <w:rFonts w:ascii="Times New Roman" w:eastAsia="Times New Roman" w:hAnsi="Times New Roman"/>
          <w:color w:val="000000"/>
          <w:sz w:val="24"/>
          <w:szCs w:val="24"/>
        </w:rPr>
        <w:t>1,</w:t>
      </w:r>
      <w:r w:rsidR="00CA44DD" w:rsidRPr="00166607">
        <w:rPr>
          <w:rFonts w:ascii="Times New Roman" w:eastAsia="Times New Roman" w:hAnsi="Times New Roman"/>
          <w:color w:val="000000"/>
          <w:sz w:val="24"/>
          <w:szCs w:val="24"/>
        </w:rPr>
        <w:t xml:space="preserve">667 ($136 for academic school applicants and </w:t>
      </w:r>
      <w:r w:rsidR="00B163C2" w:rsidRPr="00166607">
        <w:rPr>
          <w:rFonts w:ascii="Times New Roman" w:eastAsia="Times New Roman" w:hAnsi="Times New Roman"/>
          <w:color w:val="000000"/>
          <w:sz w:val="24"/>
          <w:szCs w:val="24"/>
        </w:rPr>
        <w:t>-$4.151</w:t>
      </w:r>
      <w:r w:rsidR="00CA44DD" w:rsidRPr="00166607">
        <w:rPr>
          <w:rFonts w:ascii="Times New Roman" w:eastAsia="Times New Roman" w:hAnsi="Times New Roman"/>
          <w:color w:val="000000"/>
          <w:sz w:val="24"/>
          <w:szCs w:val="24"/>
        </w:rPr>
        <w:t xml:space="preserve"> for vocational school applicants</w:t>
      </w:r>
      <w:r w:rsidR="00144933" w:rsidRPr="00166607">
        <w:rPr>
          <w:rFonts w:ascii="Times New Roman" w:eastAsia="Times New Roman" w:hAnsi="Times New Roman"/>
          <w:color w:val="000000"/>
          <w:sz w:val="24"/>
          <w:szCs w:val="24"/>
        </w:rPr>
        <w:t>, Row 21)</w:t>
      </w:r>
      <w:r w:rsidR="00804DDA" w:rsidRPr="00166607">
        <w:rPr>
          <w:rFonts w:ascii="Times New Roman" w:eastAsia="Times New Roman" w:hAnsi="Times New Roman"/>
          <w:color w:val="000000"/>
          <w:sz w:val="24"/>
          <w:szCs w:val="24"/>
        </w:rPr>
        <w:t>.</w:t>
      </w:r>
      <w:r w:rsidR="00543D39" w:rsidRPr="00166607">
        <w:rPr>
          <w:rFonts w:ascii="Times New Roman" w:eastAsia="Times New Roman" w:hAnsi="Times New Roman"/>
          <w:color w:val="000000"/>
          <w:sz w:val="24"/>
          <w:szCs w:val="24"/>
        </w:rPr>
        <w:t xml:space="preserve"> </w:t>
      </w:r>
      <w:r w:rsidR="00AE415E" w:rsidRPr="00166607">
        <w:rPr>
          <w:rFonts w:ascii="Times New Roman" w:eastAsia="Times New Roman" w:hAnsi="Times New Roman"/>
          <w:color w:val="000000"/>
          <w:sz w:val="24"/>
          <w:szCs w:val="24"/>
        </w:rPr>
        <w:t>The upper bound of the 90 percent confidence interval on the net fiscal cost is $130 ($</w:t>
      </w:r>
      <w:r w:rsidR="00B163C2" w:rsidRPr="00166607">
        <w:rPr>
          <w:rFonts w:ascii="Times New Roman" w:eastAsia="Times New Roman" w:hAnsi="Times New Roman"/>
          <w:color w:val="000000"/>
          <w:sz w:val="24"/>
          <w:szCs w:val="24"/>
        </w:rPr>
        <w:t>2,372 for academic school applicants and -$1,053 for vocational school applicants</w:t>
      </w:r>
      <w:r w:rsidR="00AE415E" w:rsidRPr="00166607">
        <w:rPr>
          <w:rFonts w:ascii="Times New Roman" w:eastAsia="Times New Roman" w:hAnsi="Times New Roman"/>
          <w:color w:val="000000"/>
          <w:sz w:val="24"/>
          <w:szCs w:val="24"/>
        </w:rPr>
        <w:t>) indicating that</w:t>
      </w:r>
      <w:r w:rsidRPr="00166607">
        <w:rPr>
          <w:rFonts w:ascii="Times New Roman" w:eastAsia="Times New Roman" w:hAnsi="Times New Roman"/>
          <w:color w:val="000000"/>
          <w:sz w:val="24"/>
          <w:szCs w:val="24"/>
        </w:rPr>
        <w:t xml:space="preserve"> expected net fiscal costs to taxpayers are likely </w:t>
      </w:r>
      <w:r w:rsidR="00BF7EF1" w:rsidRPr="00166607">
        <w:rPr>
          <w:rFonts w:ascii="Times New Roman" w:eastAsia="Times New Roman" w:hAnsi="Times New Roman"/>
          <w:color w:val="000000"/>
          <w:sz w:val="24"/>
          <w:szCs w:val="24"/>
        </w:rPr>
        <w:t xml:space="preserve">to be </w:t>
      </w:r>
      <w:r w:rsidRPr="00166607">
        <w:rPr>
          <w:rFonts w:ascii="Times New Roman" w:eastAsia="Times New Roman" w:hAnsi="Times New Roman"/>
          <w:color w:val="000000"/>
          <w:sz w:val="24"/>
          <w:szCs w:val="24"/>
        </w:rPr>
        <w:t>negative</w:t>
      </w:r>
      <w:r w:rsidR="00B163C2" w:rsidRPr="00166607">
        <w:rPr>
          <w:rFonts w:ascii="Times New Roman" w:eastAsia="Times New Roman" w:hAnsi="Times New Roman"/>
          <w:color w:val="000000"/>
          <w:sz w:val="24"/>
          <w:szCs w:val="24"/>
        </w:rPr>
        <w:t xml:space="preserve"> in the full sample</w:t>
      </w:r>
      <w:r w:rsidRPr="00166607">
        <w:rPr>
          <w:rFonts w:ascii="Times New Roman" w:eastAsia="Times New Roman" w:hAnsi="Times New Roman"/>
          <w:color w:val="000000"/>
          <w:sz w:val="24"/>
          <w:szCs w:val="24"/>
        </w:rPr>
        <w:t xml:space="preserve">, with a small probability that they are small and positive. </w:t>
      </w:r>
      <w:r w:rsidR="00B163C2" w:rsidRPr="00166607">
        <w:rPr>
          <w:rFonts w:ascii="Times New Roman" w:eastAsia="Times New Roman" w:hAnsi="Times New Roman"/>
          <w:color w:val="000000"/>
          <w:sz w:val="24"/>
          <w:szCs w:val="24"/>
        </w:rPr>
        <w:t xml:space="preserve"> Among vocational school applicants, the cost to taxpayers is </w:t>
      </w:r>
      <w:r w:rsidR="008C1EEB" w:rsidRPr="00166607">
        <w:rPr>
          <w:rFonts w:ascii="Times New Roman" w:eastAsia="Times New Roman" w:hAnsi="Times New Roman"/>
          <w:color w:val="000000"/>
          <w:sz w:val="24"/>
          <w:szCs w:val="24"/>
        </w:rPr>
        <w:t xml:space="preserve">strongly </w:t>
      </w:r>
      <w:r w:rsidR="00B163C2" w:rsidRPr="00166607">
        <w:rPr>
          <w:rFonts w:ascii="Times New Roman" w:eastAsia="Times New Roman" w:hAnsi="Times New Roman"/>
          <w:color w:val="000000"/>
          <w:sz w:val="24"/>
          <w:szCs w:val="24"/>
        </w:rPr>
        <w:t>negative.</w:t>
      </w:r>
      <w:r w:rsidR="00EA4467" w:rsidRPr="00166607">
        <w:rPr>
          <w:rStyle w:val="FootnoteReference"/>
          <w:rFonts w:ascii="Times New Roman" w:eastAsia="Times New Roman" w:hAnsi="Times New Roman"/>
          <w:color w:val="000000"/>
          <w:sz w:val="24"/>
          <w:szCs w:val="24"/>
        </w:rPr>
        <w:footnoteReference w:id="38"/>
      </w:r>
    </w:p>
    <w:p w14:paraId="1C65776F" w14:textId="301567B6" w:rsidR="00E45150" w:rsidRPr="00166607" w:rsidRDefault="00E45150" w:rsidP="00402892">
      <w:pPr>
        <w:pStyle w:val="CommentText"/>
        <w:spacing w:after="160" w:line="360" w:lineRule="auto"/>
        <w:ind w:firstLine="720"/>
        <w:jc w:val="both"/>
        <w:rPr>
          <w:rFonts w:ascii="Times New Roman" w:eastAsia="Times New Roman" w:hAnsi="Times New Roman"/>
          <w:color w:val="000000"/>
          <w:sz w:val="24"/>
          <w:szCs w:val="24"/>
        </w:rPr>
      </w:pPr>
      <w:r w:rsidRPr="008233C3">
        <w:rPr>
          <w:rFonts w:ascii="Times New Roman" w:eastAsia="Times New Roman" w:hAnsi="Times New Roman"/>
          <w:color w:val="000000"/>
          <w:sz w:val="24"/>
          <w:szCs w:val="24"/>
        </w:rPr>
        <w:lastRenderedPageBreak/>
        <w:t>Note that net fiscal costs are negative</w:t>
      </w:r>
      <w:r w:rsidR="004C6B42" w:rsidRPr="00166607">
        <w:rPr>
          <w:rFonts w:ascii="Times New Roman" w:eastAsia="Times New Roman" w:hAnsi="Times New Roman"/>
          <w:color w:val="000000"/>
          <w:sz w:val="24"/>
          <w:szCs w:val="24"/>
        </w:rPr>
        <w:t xml:space="preserve"> </w:t>
      </w:r>
      <w:r w:rsidRPr="00166607">
        <w:rPr>
          <w:rFonts w:ascii="Times New Roman" w:eastAsia="Times New Roman" w:hAnsi="Times New Roman"/>
          <w:color w:val="000000"/>
          <w:sz w:val="24"/>
          <w:szCs w:val="24"/>
        </w:rPr>
        <w:t xml:space="preserve">even if one assumes that any increase in formal sector earnings is offset by reduced informal earnings, so there are no gains in VAT revenue, </w:t>
      </w:r>
      <w:r w:rsidR="00FF6E68" w:rsidRPr="00166607">
        <w:rPr>
          <w:rFonts w:ascii="Times New Roman" w:eastAsia="Times New Roman" w:hAnsi="Times New Roman"/>
          <w:color w:val="000000"/>
          <w:sz w:val="24"/>
          <w:szCs w:val="24"/>
        </w:rPr>
        <w:t>expected net costs for taxpayers are negative</w:t>
      </w:r>
      <w:r w:rsidR="00637197" w:rsidRPr="00166607">
        <w:rPr>
          <w:rFonts w:ascii="Times New Roman" w:eastAsia="Times New Roman" w:hAnsi="Times New Roman"/>
          <w:color w:val="000000"/>
          <w:sz w:val="24"/>
          <w:szCs w:val="24"/>
        </w:rPr>
        <w:t xml:space="preserve"> and equal to -</w:t>
      </w:r>
      <w:r w:rsidR="00447D40" w:rsidRPr="00166607">
        <w:rPr>
          <w:rFonts w:ascii="Times New Roman" w:eastAsia="Times New Roman" w:hAnsi="Times New Roman"/>
          <w:color w:val="000000"/>
          <w:sz w:val="24"/>
          <w:szCs w:val="24"/>
        </w:rPr>
        <w:t>$</w:t>
      </w:r>
      <w:r w:rsidR="00637197" w:rsidRPr="00166607">
        <w:rPr>
          <w:rFonts w:ascii="Times New Roman" w:eastAsia="Times New Roman" w:hAnsi="Times New Roman"/>
          <w:color w:val="000000"/>
          <w:sz w:val="24"/>
          <w:szCs w:val="24"/>
        </w:rPr>
        <w:t>56</w:t>
      </w:r>
      <w:r w:rsidR="00EA4467" w:rsidRPr="00166607">
        <w:rPr>
          <w:rFonts w:ascii="Times New Roman" w:eastAsia="Times New Roman" w:hAnsi="Times New Roman"/>
          <w:color w:val="000000"/>
          <w:sz w:val="24"/>
          <w:szCs w:val="24"/>
        </w:rPr>
        <w:t>9</w:t>
      </w:r>
      <w:r w:rsidR="00FF6E68" w:rsidRPr="00166607">
        <w:rPr>
          <w:rFonts w:ascii="Times New Roman" w:eastAsia="Times New Roman" w:hAnsi="Times New Roman"/>
          <w:color w:val="000000"/>
          <w:sz w:val="24"/>
          <w:szCs w:val="24"/>
        </w:rPr>
        <w:t xml:space="preserve"> due </w:t>
      </w:r>
      <w:r w:rsidR="00D42F1B" w:rsidRPr="00166607">
        <w:rPr>
          <w:rFonts w:ascii="Times New Roman" w:eastAsia="Times New Roman" w:hAnsi="Times New Roman"/>
          <w:color w:val="000000"/>
          <w:sz w:val="24"/>
          <w:szCs w:val="24"/>
        </w:rPr>
        <w:t xml:space="preserve">solely </w:t>
      </w:r>
      <w:r w:rsidR="00FF6E68" w:rsidRPr="00166607">
        <w:rPr>
          <w:rFonts w:ascii="Times New Roman" w:eastAsia="Times New Roman" w:hAnsi="Times New Roman"/>
          <w:color w:val="000000"/>
          <w:sz w:val="24"/>
          <w:szCs w:val="24"/>
        </w:rPr>
        <w:t>to increased payroll tax receipt</w:t>
      </w:r>
      <w:r w:rsidR="001069BB" w:rsidRPr="00166607">
        <w:rPr>
          <w:rFonts w:ascii="Times New Roman" w:eastAsia="Times New Roman" w:hAnsi="Times New Roman"/>
          <w:color w:val="000000"/>
          <w:sz w:val="24"/>
          <w:szCs w:val="24"/>
        </w:rPr>
        <w:t xml:space="preserve"> </w:t>
      </w:r>
      <w:r w:rsidR="004C6B42" w:rsidRPr="00166607">
        <w:rPr>
          <w:rFonts w:ascii="Times New Roman" w:eastAsia="Times New Roman" w:hAnsi="Times New Roman"/>
          <w:color w:val="000000"/>
          <w:sz w:val="24"/>
          <w:szCs w:val="24"/>
        </w:rPr>
        <w:t>($</w:t>
      </w:r>
      <w:r w:rsidR="00EA4467" w:rsidRPr="00166607">
        <w:rPr>
          <w:rFonts w:ascii="Times New Roman" w:eastAsia="Times New Roman" w:hAnsi="Times New Roman"/>
          <w:color w:val="000000"/>
          <w:sz w:val="24"/>
          <w:szCs w:val="24"/>
        </w:rPr>
        <w:t xml:space="preserve">256 </w:t>
      </w:r>
      <w:r w:rsidR="004C6B42" w:rsidRPr="00166607">
        <w:rPr>
          <w:rFonts w:ascii="Times New Roman" w:eastAsia="Times New Roman" w:hAnsi="Times New Roman"/>
          <w:color w:val="000000"/>
          <w:sz w:val="24"/>
          <w:szCs w:val="24"/>
        </w:rPr>
        <w:t>f</w:t>
      </w:r>
      <w:r w:rsidR="001069BB" w:rsidRPr="00166607">
        <w:rPr>
          <w:rFonts w:ascii="Times New Roman" w:eastAsia="Times New Roman" w:hAnsi="Times New Roman"/>
          <w:color w:val="000000"/>
          <w:sz w:val="24"/>
          <w:szCs w:val="24"/>
        </w:rPr>
        <w:t>or</w:t>
      </w:r>
      <w:r w:rsidR="00EA4467" w:rsidRPr="00166607">
        <w:rPr>
          <w:rFonts w:ascii="Times New Roman" w:eastAsia="Times New Roman" w:hAnsi="Times New Roman"/>
          <w:color w:val="000000"/>
          <w:sz w:val="24"/>
          <w:szCs w:val="24"/>
        </w:rPr>
        <w:t xml:space="preserve"> academic school applicants, </w:t>
      </w:r>
      <w:r w:rsidR="001069BB" w:rsidRPr="00166607">
        <w:rPr>
          <w:rFonts w:ascii="Times New Roman" w:eastAsia="Times New Roman" w:hAnsi="Times New Roman"/>
          <w:color w:val="000000"/>
          <w:sz w:val="24"/>
          <w:szCs w:val="24"/>
        </w:rPr>
        <w:t>-$</w:t>
      </w:r>
      <w:r w:rsidR="00EA4467" w:rsidRPr="00166607">
        <w:rPr>
          <w:rFonts w:ascii="Times New Roman" w:eastAsia="Times New Roman" w:hAnsi="Times New Roman"/>
          <w:color w:val="000000"/>
          <w:sz w:val="24"/>
          <w:szCs w:val="24"/>
        </w:rPr>
        <w:t>1,786 for vocational school applicants</w:t>
      </w:r>
      <w:r w:rsidR="001069BB" w:rsidRPr="00166607">
        <w:rPr>
          <w:rFonts w:ascii="Times New Roman" w:eastAsia="Times New Roman" w:hAnsi="Times New Roman"/>
          <w:color w:val="000000"/>
          <w:sz w:val="24"/>
          <w:szCs w:val="24"/>
        </w:rPr>
        <w:t>, Row 15 minus Row 20</w:t>
      </w:r>
      <w:r w:rsidR="004C6B42" w:rsidRPr="00166607">
        <w:rPr>
          <w:rFonts w:ascii="Times New Roman" w:eastAsia="Times New Roman" w:hAnsi="Times New Roman"/>
          <w:color w:val="000000"/>
          <w:sz w:val="24"/>
          <w:szCs w:val="24"/>
        </w:rPr>
        <w:t>)</w:t>
      </w:r>
      <w:r w:rsidR="00FF6E68" w:rsidRPr="00166607">
        <w:rPr>
          <w:rFonts w:ascii="Times New Roman" w:eastAsia="Times New Roman" w:hAnsi="Times New Roman"/>
          <w:color w:val="000000"/>
          <w:sz w:val="24"/>
          <w:szCs w:val="24"/>
        </w:rPr>
        <w:t>.</w:t>
      </w:r>
      <w:r w:rsidR="00BB6F41" w:rsidRPr="00166607">
        <w:rPr>
          <w:rStyle w:val="FootnoteReference"/>
          <w:rFonts w:ascii="Times New Roman" w:eastAsia="Times New Roman" w:hAnsi="Times New Roman"/>
          <w:color w:val="000000"/>
          <w:sz w:val="24"/>
          <w:szCs w:val="24"/>
        </w:rPr>
        <w:footnoteReference w:id="39"/>
      </w:r>
      <w:r w:rsidR="000E5521" w:rsidRPr="00166607">
        <w:rPr>
          <w:rFonts w:ascii="Times New Roman" w:eastAsia="Times New Roman" w:hAnsi="Times New Roman"/>
          <w:color w:val="000000"/>
          <w:sz w:val="24"/>
          <w:szCs w:val="24"/>
        </w:rPr>
        <w:t xml:space="preserve">  These gains are solely based on the tax revenue and ignore additional cost savings associate</w:t>
      </w:r>
      <w:r w:rsidR="000E5521" w:rsidRPr="008233C3">
        <w:rPr>
          <w:rFonts w:ascii="Times New Roman" w:eastAsia="Times New Roman" w:hAnsi="Times New Roman"/>
          <w:color w:val="000000"/>
          <w:sz w:val="24"/>
          <w:szCs w:val="24"/>
        </w:rPr>
        <w:t>d with teen-age pregnancy.</w:t>
      </w:r>
    </w:p>
    <w:p w14:paraId="16488509" w14:textId="57684EB8" w:rsidR="002564CF" w:rsidRPr="00166607" w:rsidRDefault="006E4EAE" w:rsidP="00402892">
      <w:pPr>
        <w:pStyle w:val="CommentText"/>
        <w:spacing w:after="160" w:line="360" w:lineRule="auto"/>
        <w:rPr>
          <w:rFonts w:ascii="Times New Roman" w:eastAsia="Times New Roman" w:hAnsi="Times New Roman"/>
          <w:b/>
          <w:i/>
          <w:color w:val="000000"/>
          <w:sz w:val="24"/>
          <w:szCs w:val="24"/>
        </w:rPr>
      </w:pPr>
      <w:r w:rsidRPr="00166607">
        <w:rPr>
          <w:rFonts w:ascii="Times New Roman" w:eastAsia="Times New Roman" w:hAnsi="Times New Roman"/>
          <w:b/>
          <w:i/>
          <w:color w:val="000000"/>
          <w:sz w:val="24"/>
          <w:szCs w:val="24"/>
        </w:rPr>
        <w:t>7</w:t>
      </w:r>
      <w:r w:rsidR="002564CF" w:rsidRPr="00166607">
        <w:rPr>
          <w:rFonts w:ascii="Times New Roman" w:eastAsia="Times New Roman" w:hAnsi="Times New Roman"/>
          <w:b/>
          <w:i/>
          <w:color w:val="000000"/>
          <w:sz w:val="24"/>
          <w:szCs w:val="24"/>
        </w:rPr>
        <w:t>.2</w:t>
      </w:r>
      <w:r w:rsidR="00E350CD" w:rsidRPr="00166607">
        <w:rPr>
          <w:rFonts w:ascii="Times New Roman" w:eastAsia="Times New Roman" w:hAnsi="Times New Roman"/>
          <w:b/>
          <w:i/>
          <w:color w:val="000000"/>
          <w:sz w:val="24"/>
          <w:szCs w:val="24"/>
        </w:rPr>
        <w:t xml:space="preserve"> Benefits to scholarship recipients</w:t>
      </w:r>
    </w:p>
    <w:p w14:paraId="2FCF3DE4" w14:textId="3F5132F1" w:rsidR="006B572B" w:rsidRPr="00166607" w:rsidRDefault="00543D39" w:rsidP="00402892">
      <w:pPr>
        <w:pStyle w:val="CommentText"/>
        <w:spacing w:after="160" w:line="360" w:lineRule="auto"/>
        <w:ind w:firstLine="720"/>
        <w:jc w:val="both"/>
        <w:rPr>
          <w:rFonts w:ascii="Times New Roman" w:eastAsia="Times New Roman" w:hAnsi="Times New Roman"/>
          <w:color w:val="000000"/>
          <w:sz w:val="24"/>
          <w:szCs w:val="24"/>
        </w:rPr>
      </w:pPr>
      <w:r w:rsidRPr="00166607">
        <w:rPr>
          <w:rFonts w:ascii="Times New Roman" w:eastAsia="Times New Roman" w:hAnsi="Times New Roman"/>
          <w:color w:val="000000"/>
          <w:sz w:val="24"/>
          <w:szCs w:val="24"/>
        </w:rPr>
        <w:t xml:space="preserve">Recipients benefited as public school costs exceeded scholarship costs and </w:t>
      </w:r>
      <w:r w:rsidR="000F1C25" w:rsidRPr="00166607">
        <w:rPr>
          <w:rFonts w:ascii="Times New Roman" w:eastAsia="Times New Roman" w:hAnsi="Times New Roman"/>
          <w:color w:val="000000"/>
          <w:sz w:val="24"/>
          <w:szCs w:val="24"/>
        </w:rPr>
        <w:t xml:space="preserve">over 85 percent </w:t>
      </w:r>
      <w:r w:rsidR="005F72B8" w:rsidRPr="00166607">
        <w:rPr>
          <w:rFonts w:ascii="Times New Roman" w:eastAsia="Times New Roman" w:hAnsi="Times New Roman"/>
          <w:color w:val="000000"/>
          <w:sz w:val="24"/>
          <w:szCs w:val="24"/>
        </w:rPr>
        <w:t xml:space="preserve">of </w:t>
      </w:r>
      <w:r w:rsidRPr="00166607">
        <w:rPr>
          <w:rFonts w:ascii="Times New Roman" w:eastAsia="Times New Roman" w:hAnsi="Times New Roman"/>
          <w:color w:val="000000"/>
          <w:sz w:val="24"/>
          <w:szCs w:val="24"/>
        </w:rPr>
        <w:t>recipients would have attended private school anyway</w:t>
      </w:r>
      <w:r w:rsidR="000F1C25" w:rsidRPr="00166607">
        <w:rPr>
          <w:rFonts w:ascii="Times New Roman" w:eastAsia="Times New Roman" w:hAnsi="Times New Roman"/>
          <w:color w:val="000000"/>
          <w:sz w:val="24"/>
          <w:szCs w:val="24"/>
        </w:rPr>
        <w:t xml:space="preserve"> (89.7 percent of females and 85.7 percent of males)</w:t>
      </w:r>
      <w:r w:rsidRPr="00166607">
        <w:rPr>
          <w:rFonts w:ascii="Times New Roman" w:eastAsia="Times New Roman" w:hAnsi="Times New Roman"/>
          <w:color w:val="000000"/>
          <w:sz w:val="24"/>
          <w:szCs w:val="24"/>
        </w:rPr>
        <w:t xml:space="preserve">.  This implies that </w:t>
      </w:r>
      <w:r w:rsidR="00AA1A6C" w:rsidRPr="00166607">
        <w:rPr>
          <w:rFonts w:ascii="Times New Roman" w:eastAsia="Times New Roman" w:hAnsi="Times New Roman"/>
          <w:color w:val="000000"/>
          <w:sz w:val="24"/>
          <w:szCs w:val="24"/>
        </w:rPr>
        <w:t xml:space="preserve">gains to </w:t>
      </w:r>
      <w:r w:rsidRPr="00166607">
        <w:rPr>
          <w:rFonts w:ascii="Times New Roman" w:eastAsia="Times New Roman" w:hAnsi="Times New Roman"/>
          <w:color w:val="000000"/>
          <w:sz w:val="24"/>
          <w:szCs w:val="24"/>
        </w:rPr>
        <w:t xml:space="preserve">infra-marginal recipients </w:t>
      </w:r>
      <w:r w:rsidR="00AA1A6C" w:rsidRPr="00166607">
        <w:rPr>
          <w:rFonts w:ascii="Times New Roman" w:eastAsia="Times New Roman" w:hAnsi="Times New Roman"/>
          <w:color w:val="000000"/>
          <w:sz w:val="24"/>
          <w:szCs w:val="24"/>
        </w:rPr>
        <w:t xml:space="preserve">were </w:t>
      </w:r>
      <w:r w:rsidR="00F82805" w:rsidRPr="00166607">
        <w:rPr>
          <w:rFonts w:ascii="Times New Roman" w:eastAsia="Times New Roman" w:hAnsi="Times New Roman"/>
          <w:color w:val="000000"/>
          <w:sz w:val="24"/>
          <w:szCs w:val="24"/>
        </w:rPr>
        <w:t>about</w:t>
      </w:r>
      <w:r w:rsidR="0045248E" w:rsidRPr="00166607">
        <w:rPr>
          <w:rFonts w:ascii="Times New Roman" w:eastAsia="Times New Roman" w:hAnsi="Times New Roman"/>
          <w:color w:val="000000"/>
          <w:sz w:val="24"/>
          <w:szCs w:val="24"/>
        </w:rPr>
        <w:t xml:space="preserve"> $2</w:t>
      </w:r>
      <w:r w:rsidR="00563FC6" w:rsidRPr="00166607">
        <w:rPr>
          <w:rFonts w:ascii="Times New Roman" w:eastAsia="Times New Roman" w:hAnsi="Times New Roman"/>
          <w:color w:val="000000"/>
          <w:sz w:val="24"/>
          <w:szCs w:val="24"/>
        </w:rPr>
        <w:t>49 per</w:t>
      </w:r>
      <w:r w:rsidR="0045248E" w:rsidRPr="00166607">
        <w:rPr>
          <w:rFonts w:ascii="Times New Roman" w:eastAsia="Times New Roman" w:hAnsi="Times New Roman"/>
          <w:color w:val="000000"/>
          <w:sz w:val="24"/>
          <w:szCs w:val="24"/>
        </w:rPr>
        <w:t xml:space="preserve"> scholarship winner</w:t>
      </w:r>
      <w:r w:rsidR="00F82805" w:rsidRPr="00166607">
        <w:rPr>
          <w:rFonts w:ascii="Times New Roman" w:eastAsia="Times New Roman" w:hAnsi="Times New Roman"/>
          <w:color w:val="000000"/>
          <w:sz w:val="24"/>
          <w:szCs w:val="24"/>
        </w:rPr>
        <w:t>.</w:t>
      </w:r>
      <w:r w:rsidR="00F82805" w:rsidRPr="00166607">
        <w:rPr>
          <w:rStyle w:val="FootnoteReference"/>
          <w:rFonts w:ascii="Times New Roman" w:eastAsia="Times New Roman" w:hAnsi="Times New Roman"/>
          <w:color w:val="000000"/>
          <w:sz w:val="24"/>
          <w:szCs w:val="24"/>
        </w:rPr>
        <w:footnoteReference w:id="40"/>
      </w:r>
      <w:r w:rsidR="00F82805" w:rsidRPr="00166607">
        <w:rPr>
          <w:rFonts w:ascii="Times New Roman" w:eastAsia="Times New Roman" w:hAnsi="Times New Roman"/>
          <w:color w:val="000000"/>
          <w:sz w:val="24"/>
          <w:szCs w:val="24"/>
        </w:rPr>
        <w:t xml:space="preserve"> </w:t>
      </w:r>
      <w:r w:rsidR="00A03781" w:rsidRPr="00166607">
        <w:rPr>
          <w:rFonts w:ascii="Times New Roman" w:eastAsia="Times New Roman" w:hAnsi="Times New Roman"/>
          <w:color w:val="000000"/>
          <w:sz w:val="24"/>
          <w:szCs w:val="24"/>
        </w:rPr>
        <w:t xml:space="preserve">Hence, </w:t>
      </w:r>
      <w:r w:rsidR="00AA1A6C" w:rsidRPr="008233C3">
        <w:rPr>
          <w:rFonts w:ascii="Times New Roman" w:eastAsia="Times New Roman" w:hAnsi="Times New Roman"/>
          <w:color w:val="000000"/>
          <w:sz w:val="24"/>
          <w:szCs w:val="24"/>
        </w:rPr>
        <w:t xml:space="preserve">even if there were no increase in tax revenue to the government, the program would transfer </w:t>
      </w:r>
      <w:r w:rsidR="001C6D02" w:rsidRPr="00166607">
        <w:rPr>
          <w:rFonts w:ascii="Times New Roman" w:eastAsia="Times New Roman" w:hAnsi="Times New Roman"/>
          <w:color w:val="000000"/>
          <w:sz w:val="24"/>
          <w:szCs w:val="24"/>
        </w:rPr>
        <w:t xml:space="preserve">to beneficiaries </w:t>
      </w:r>
      <w:r w:rsidR="00A03781" w:rsidRPr="00166607">
        <w:rPr>
          <w:rFonts w:ascii="Times New Roman" w:eastAsia="Times New Roman" w:hAnsi="Times New Roman"/>
          <w:color w:val="000000"/>
          <w:sz w:val="24"/>
          <w:szCs w:val="24"/>
        </w:rPr>
        <w:t xml:space="preserve">about 70 percent of what </w:t>
      </w:r>
      <w:r w:rsidR="001C6D02" w:rsidRPr="00166607">
        <w:rPr>
          <w:rFonts w:ascii="Times New Roman" w:eastAsia="Times New Roman" w:hAnsi="Times New Roman"/>
          <w:color w:val="000000"/>
          <w:sz w:val="24"/>
          <w:szCs w:val="24"/>
        </w:rPr>
        <w:t xml:space="preserve">it cost taxpayers, even if one counted only benefits to infra-marginal recipients, thus </w:t>
      </w:r>
      <w:r w:rsidR="001D534E" w:rsidRPr="00166607">
        <w:rPr>
          <w:rFonts w:ascii="Times New Roman" w:eastAsia="Times New Roman" w:hAnsi="Times New Roman"/>
          <w:color w:val="000000"/>
          <w:sz w:val="24"/>
          <w:szCs w:val="24"/>
        </w:rPr>
        <w:t>implicitly treating any benefits of educational and economic gains to beneficiaries as</w:t>
      </w:r>
      <w:r w:rsidR="00A03781" w:rsidRPr="00166607">
        <w:rPr>
          <w:rFonts w:ascii="Times New Roman" w:eastAsia="Times New Roman" w:hAnsi="Times New Roman"/>
          <w:color w:val="000000"/>
          <w:sz w:val="24"/>
          <w:szCs w:val="24"/>
        </w:rPr>
        <w:t xml:space="preserve"> partially </w:t>
      </w:r>
      <w:r w:rsidR="001D534E" w:rsidRPr="00166607">
        <w:rPr>
          <w:rFonts w:ascii="Times New Roman" w:eastAsia="Times New Roman" w:hAnsi="Times New Roman"/>
          <w:color w:val="000000"/>
          <w:sz w:val="24"/>
          <w:szCs w:val="24"/>
        </w:rPr>
        <w:t>offset by effort costs and financial costs to beneficiaries.</w:t>
      </w:r>
    </w:p>
    <w:p w14:paraId="32604402" w14:textId="762C883D" w:rsidR="00383C45" w:rsidRPr="00166607" w:rsidRDefault="00A23437" w:rsidP="00402892">
      <w:pPr>
        <w:pStyle w:val="CommentText"/>
        <w:spacing w:after="160" w:line="360" w:lineRule="auto"/>
        <w:jc w:val="both"/>
        <w:rPr>
          <w:rFonts w:ascii="Times New Roman" w:eastAsia="Times New Roman" w:hAnsi="Times New Roman"/>
          <w:b/>
          <w:i/>
          <w:color w:val="000000"/>
          <w:sz w:val="24"/>
          <w:szCs w:val="24"/>
        </w:rPr>
      </w:pPr>
      <w:r w:rsidRPr="00166607">
        <w:rPr>
          <w:rFonts w:ascii="Times New Roman" w:eastAsia="Times New Roman" w:hAnsi="Times New Roman"/>
          <w:b/>
          <w:i/>
          <w:color w:val="000000"/>
          <w:sz w:val="24"/>
          <w:szCs w:val="24"/>
        </w:rPr>
        <w:t>7</w:t>
      </w:r>
      <w:r w:rsidR="00383C45" w:rsidRPr="00166607">
        <w:rPr>
          <w:rFonts w:ascii="Times New Roman" w:eastAsia="Times New Roman" w:hAnsi="Times New Roman"/>
          <w:b/>
          <w:i/>
          <w:color w:val="000000"/>
          <w:sz w:val="24"/>
          <w:szCs w:val="24"/>
        </w:rPr>
        <w:t>.3 Benefits to society</w:t>
      </w:r>
    </w:p>
    <w:p w14:paraId="73F17DE9" w14:textId="7D962E8D" w:rsidR="003F4D7A" w:rsidRPr="00773219" w:rsidRDefault="00383C45" w:rsidP="00402892">
      <w:pPr>
        <w:spacing w:after="160" w:line="360" w:lineRule="auto"/>
        <w:ind w:firstLine="720"/>
        <w:contextualSpacing/>
        <w:jc w:val="both"/>
        <w:rPr>
          <w:rFonts w:ascii="Times New Roman" w:eastAsia="Times New Roman" w:hAnsi="Times New Roman"/>
          <w:color w:val="222222"/>
          <w:shd w:val="clear" w:color="auto" w:fill="FFFFFF"/>
        </w:rPr>
      </w:pPr>
      <w:r w:rsidRPr="00166607">
        <w:rPr>
          <w:rFonts w:ascii="Times New Roman" w:eastAsia="Times New Roman" w:hAnsi="Times New Roman"/>
          <w:color w:val="222222"/>
          <w:shd w:val="clear" w:color="auto" w:fill="FFFFFF"/>
        </w:rPr>
        <w:t xml:space="preserve">While we can measure impacts on taxpayers and scholarship recipients, we are not able to identify potential externality impacts on others, and to the extent that such effects exist, they should be part of any welfare calculation. The calculation above implies that as </w:t>
      </w:r>
      <w:r w:rsidRPr="00166607">
        <w:rPr>
          <w:rFonts w:ascii="Times New Roman" w:eastAsia="Times New Roman" w:hAnsi="Times New Roman"/>
          <w:color w:val="222222"/>
          <w:shd w:val="clear" w:color="auto" w:fill="FFFFFF"/>
        </w:rPr>
        <w:lastRenderedPageBreak/>
        <w:t>long as any externalities are either positive</w:t>
      </w:r>
      <w:r w:rsidR="0041729E" w:rsidRPr="00166607">
        <w:rPr>
          <w:rFonts w:ascii="Times New Roman" w:eastAsia="Times New Roman" w:hAnsi="Times New Roman"/>
          <w:color w:val="222222"/>
          <w:shd w:val="clear" w:color="auto" w:fill="FFFFFF"/>
        </w:rPr>
        <w:t>,</w:t>
      </w:r>
      <w:r w:rsidRPr="00166607">
        <w:rPr>
          <w:rFonts w:ascii="Times New Roman" w:eastAsia="Times New Roman" w:hAnsi="Times New Roman"/>
          <w:color w:val="222222"/>
          <w:shd w:val="clear" w:color="auto" w:fill="FFFFFF"/>
        </w:rPr>
        <w:t xml:space="preserve"> or negative </w:t>
      </w:r>
      <w:r w:rsidR="003F4D7A" w:rsidRPr="00166607">
        <w:rPr>
          <w:rFonts w:ascii="Times New Roman" w:eastAsia="Times New Roman" w:hAnsi="Times New Roman"/>
          <w:color w:val="222222"/>
          <w:shd w:val="clear" w:color="auto" w:fill="FFFFFF"/>
        </w:rPr>
        <w:t xml:space="preserve">but </w:t>
      </w:r>
      <w:r w:rsidRPr="00166607">
        <w:rPr>
          <w:rFonts w:ascii="Times New Roman" w:eastAsia="Times New Roman" w:hAnsi="Times New Roman"/>
          <w:color w:val="222222"/>
          <w:shd w:val="clear" w:color="auto" w:fill="FFFFFF"/>
        </w:rPr>
        <w:t>less than $1,</w:t>
      </w:r>
      <w:r w:rsidR="0035753E" w:rsidRPr="00166607">
        <w:rPr>
          <w:rFonts w:ascii="Times New Roman" w:eastAsia="Times New Roman" w:hAnsi="Times New Roman"/>
          <w:color w:val="222222"/>
          <w:shd w:val="clear" w:color="auto" w:fill="FFFFFF"/>
        </w:rPr>
        <w:t>91</w:t>
      </w:r>
      <w:r w:rsidR="002820B8" w:rsidRPr="00166607">
        <w:rPr>
          <w:rFonts w:ascii="Times New Roman" w:eastAsia="Times New Roman" w:hAnsi="Times New Roman"/>
          <w:color w:val="222222"/>
          <w:shd w:val="clear" w:color="auto" w:fill="FFFFFF"/>
        </w:rPr>
        <w:t>6</w:t>
      </w:r>
      <w:r w:rsidRPr="00166607">
        <w:rPr>
          <w:rFonts w:ascii="Times New Roman" w:eastAsia="Times New Roman" w:hAnsi="Times New Roman"/>
          <w:color w:val="222222"/>
          <w:shd w:val="clear" w:color="auto" w:fill="FFFFFF"/>
        </w:rPr>
        <w:t xml:space="preserve"> p</w:t>
      </w:r>
      <w:r w:rsidR="0035753E" w:rsidRPr="00166607">
        <w:rPr>
          <w:rFonts w:ascii="Times New Roman" w:eastAsia="Times New Roman" w:hAnsi="Times New Roman"/>
          <w:color w:val="222222"/>
          <w:shd w:val="clear" w:color="auto" w:fill="FFFFFF"/>
        </w:rPr>
        <w:t>er scholarship recipient (Row 23</w:t>
      </w:r>
      <w:r w:rsidRPr="00166607">
        <w:rPr>
          <w:rFonts w:ascii="Times New Roman" w:eastAsia="Times New Roman" w:hAnsi="Times New Roman"/>
          <w:color w:val="222222"/>
          <w:shd w:val="clear" w:color="auto" w:fill="FFFFFF"/>
        </w:rPr>
        <w:t xml:space="preserve"> of Table 8), </w:t>
      </w:r>
      <w:r w:rsidR="002D1FE7" w:rsidRPr="00166607">
        <w:rPr>
          <w:rFonts w:ascii="Times New Roman" w:eastAsia="Times New Roman" w:hAnsi="Times New Roman"/>
          <w:color w:val="222222"/>
          <w:shd w:val="clear" w:color="auto" w:fill="FFFFFF"/>
        </w:rPr>
        <w:t xml:space="preserve">we can say that </w:t>
      </w:r>
      <w:r w:rsidRPr="00166607">
        <w:rPr>
          <w:rFonts w:ascii="Times New Roman" w:eastAsia="Times New Roman" w:hAnsi="Times New Roman"/>
          <w:color w:val="222222"/>
          <w:shd w:val="clear" w:color="auto" w:fill="FFFFFF"/>
        </w:rPr>
        <w:t>the program is welfare improving</w:t>
      </w:r>
      <w:r w:rsidR="00E25B20" w:rsidRPr="00166607">
        <w:rPr>
          <w:rFonts w:ascii="Times New Roman" w:eastAsia="Times New Roman" w:hAnsi="Times New Roman"/>
          <w:color w:val="222222"/>
          <w:shd w:val="clear" w:color="auto" w:fill="FFFFFF"/>
        </w:rPr>
        <w:t xml:space="preserve"> for all applicants</w:t>
      </w:r>
      <w:r w:rsidR="002D1FE7" w:rsidRPr="00166607">
        <w:rPr>
          <w:rFonts w:ascii="Times New Roman" w:eastAsia="Times New Roman" w:hAnsi="Times New Roman"/>
          <w:color w:val="222222"/>
          <w:shd w:val="clear" w:color="auto" w:fill="FFFFFF"/>
        </w:rPr>
        <w:t xml:space="preserve"> </w:t>
      </w:r>
      <w:r w:rsidR="00E25B20" w:rsidRPr="00166607">
        <w:rPr>
          <w:rFonts w:ascii="Times New Roman" w:eastAsia="Times New Roman" w:hAnsi="Times New Roman"/>
          <w:color w:val="222222"/>
          <w:shd w:val="clear" w:color="auto" w:fill="FFFFFF"/>
        </w:rPr>
        <w:t>over a 90</w:t>
      </w:r>
      <w:r w:rsidR="009A198B" w:rsidRPr="00166607">
        <w:rPr>
          <w:rFonts w:ascii="Times New Roman" w:eastAsia="Times New Roman" w:hAnsi="Times New Roman"/>
          <w:color w:val="222222"/>
          <w:shd w:val="clear" w:color="auto" w:fill="FFFFFF"/>
        </w:rPr>
        <w:t xml:space="preserve"> percent confidence interval</w:t>
      </w:r>
      <w:r w:rsidR="00E25B20" w:rsidRPr="00166607">
        <w:rPr>
          <w:rFonts w:ascii="Times New Roman" w:eastAsia="Times New Roman" w:hAnsi="Times New Roman"/>
          <w:color w:val="222222"/>
          <w:shd w:val="clear" w:color="auto" w:fill="FFFFFF"/>
        </w:rPr>
        <w:t xml:space="preserve"> </w:t>
      </w:r>
      <w:r w:rsidR="003F4D7A" w:rsidRPr="00166607">
        <w:rPr>
          <w:rFonts w:ascii="Times New Roman" w:eastAsia="Times New Roman" w:hAnsi="Times New Roman"/>
          <w:color w:val="222222"/>
          <w:shd w:val="clear" w:color="auto" w:fill="FFFFFF"/>
        </w:rPr>
        <w:t>that is bounded away</w:t>
      </w:r>
      <w:r w:rsidR="00BB12ED">
        <w:rPr>
          <w:rFonts w:ascii="Times New Roman" w:eastAsia="Times New Roman" w:hAnsi="Times New Roman"/>
          <w:color w:val="222222"/>
          <w:shd w:val="clear" w:color="auto" w:fill="FFFFFF"/>
        </w:rPr>
        <w:t xml:space="preserve"> from</w:t>
      </w:r>
      <w:r w:rsidR="00E25B20" w:rsidRPr="00166607">
        <w:rPr>
          <w:rFonts w:ascii="Times New Roman" w:eastAsia="Times New Roman" w:hAnsi="Times New Roman"/>
          <w:color w:val="222222"/>
          <w:shd w:val="clear" w:color="auto" w:fill="FFFFFF"/>
        </w:rPr>
        <w:t xml:space="preserve"> zero.</w:t>
      </w:r>
      <w:r w:rsidR="00487580" w:rsidRPr="00166607">
        <w:rPr>
          <w:rFonts w:ascii="Times New Roman" w:eastAsia="Times New Roman" w:hAnsi="Times New Roman"/>
          <w:color w:val="222222"/>
          <w:shd w:val="clear" w:color="auto" w:fill="FFFFFF"/>
        </w:rPr>
        <w:t xml:space="preserve"> </w:t>
      </w:r>
      <w:r w:rsidR="002D7031" w:rsidRPr="00166607">
        <w:rPr>
          <w:rFonts w:ascii="Times New Roman" w:eastAsia="Times New Roman" w:hAnsi="Times New Roman"/>
          <w:color w:val="222222"/>
          <w:shd w:val="clear" w:color="auto" w:fill="FFFFFF"/>
        </w:rPr>
        <w:t xml:space="preserve">For </w:t>
      </w:r>
      <w:r w:rsidR="00B32B82" w:rsidRPr="00166607">
        <w:rPr>
          <w:rFonts w:ascii="Times New Roman" w:eastAsia="Times New Roman" w:hAnsi="Times New Roman"/>
          <w:color w:val="222222"/>
          <w:shd w:val="clear" w:color="auto" w:fill="FFFFFF"/>
        </w:rPr>
        <w:t>vocational school applicants</w:t>
      </w:r>
      <w:r w:rsidR="002D7031" w:rsidRPr="00166607">
        <w:rPr>
          <w:rFonts w:ascii="Times New Roman" w:eastAsia="Times New Roman" w:hAnsi="Times New Roman"/>
          <w:color w:val="222222"/>
          <w:shd w:val="clear" w:color="auto" w:fill="FFFFFF"/>
        </w:rPr>
        <w:t xml:space="preserve">, we can say with 90 percent confidence that the program is welfare enhancing as long as externalities are either positive or negative </w:t>
      </w:r>
      <w:r w:rsidR="003F4D7A" w:rsidRPr="00166607">
        <w:rPr>
          <w:rFonts w:ascii="Times New Roman" w:eastAsia="Times New Roman" w:hAnsi="Times New Roman"/>
          <w:color w:val="222222"/>
          <w:shd w:val="clear" w:color="auto" w:fill="FFFFFF"/>
        </w:rPr>
        <w:t xml:space="preserve">but less </w:t>
      </w:r>
      <w:r w:rsidR="002D7031" w:rsidRPr="00166607">
        <w:rPr>
          <w:rFonts w:ascii="Times New Roman" w:eastAsia="Times New Roman" w:hAnsi="Times New Roman"/>
          <w:color w:val="222222"/>
          <w:shd w:val="clear" w:color="auto" w:fill="FFFFFF"/>
        </w:rPr>
        <w:t>than $</w:t>
      </w:r>
      <w:r w:rsidR="002820B8" w:rsidRPr="00166607">
        <w:rPr>
          <w:rFonts w:ascii="Times New Roman" w:eastAsia="Times New Roman" w:hAnsi="Times New Roman"/>
          <w:color w:val="222222"/>
          <w:shd w:val="clear" w:color="auto" w:fill="FFFFFF"/>
        </w:rPr>
        <w:t>4,400</w:t>
      </w:r>
      <w:r w:rsidR="002D7031" w:rsidRPr="00166607">
        <w:rPr>
          <w:rFonts w:ascii="Times New Roman" w:eastAsia="Times New Roman" w:hAnsi="Times New Roman"/>
          <w:color w:val="222222"/>
          <w:shd w:val="clear" w:color="auto" w:fill="FFFFFF"/>
        </w:rPr>
        <w:t xml:space="preserve"> per recipient. </w:t>
      </w:r>
      <w:r w:rsidR="00D539E2" w:rsidRPr="00166607">
        <w:rPr>
          <w:rFonts w:ascii="Times New Roman" w:eastAsia="Times New Roman" w:hAnsi="Times New Roman"/>
          <w:color w:val="222222"/>
          <w:shd w:val="clear" w:color="auto" w:fill="FFFFFF"/>
        </w:rPr>
        <w:t xml:space="preserve">Although the mean estimate net benefit for </w:t>
      </w:r>
      <w:r w:rsidR="00481D2E" w:rsidRPr="00166607">
        <w:rPr>
          <w:rFonts w:ascii="Times New Roman" w:eastAsia="Times New Roman" w:hAnsi="Times New Roman"/>
          <w:color w:val="222222"/>
          <w:shd w:val="clear" w:color="auto" w:fill="FFFFFF"/>
        </w:rPr>
        <w:t xml:space="preserve">academic school applicants </w:t>
      </w:r>
      <w:r w:rsidR="00D539E2" w:rsidRPr="00166607">
        <w:rPr>
          <w:rFonts w:ascii="Times New Roman" w:eastAsia="Times New Roman" w:hAnsi="Times New Roman"/>
          <w:color w:val="222222"/>
          <w:shd w:val="clear" w:color="auto" w:fill="FFFFFF"/>
        </w:rPr>
        <w:t xml:space="preserve">is positive, it </w:t>
      </w:r>
      <w:r w:rsidR="00481D2E" w:rsidRPr="00A32E6D">
        <w:rPr>
          <w:rFonts w:ascii="Times New Roman" w:eastAsia="Times New Roman" w:hAnsi="Times New Roman"/>
          <w:color w:val="222222"/>
          <w:shd w:val="clear" w:color="auto" w:fill="FFFFFF"/>
        </w:rPr>
        <w:t xml:space="preserve">is small and </w:t>
      </w:r>
      <w:r w:rsidR="00171F5E" w:rsidRPr="00A32E6D">
        <w:rPr>
          <w:rFonts w:ascii="Times New Roman" w:eastAsia="Times New Roman" w:hAnsi="Times New Roman"/>
          <w:color w:val="222222"/>
          <w:shd w:val="clear" w:color="auto" w:fill="FFFFFF"/>
        </w:rPr>
        <w:t xml:space="preserve">has </w:t>
      </w:r>
      <w:r w:rsidR="00481D2E" w:rsidRPr="00773219">
        <w:rPr>
          <w:rFonts w:ascii="Times New Roman" w:eastAsia="Times New Roman" w:hAnsi="Times New Roman"/>
          <w:color w:val="222222"/>
          <w:shd w:val="clear" w:color="auto" w:fill="FFFFFF"/>
        </w:rPr>
        <w:t>wide confidence bands</w:t>
      </w:r>
      <w:r w:rsidR="003F4D7A" w:rsidRPr="00773219">
        <w:rPr>
          <w:rFonts w:ascii="Times New Roman" w:eastAsia="Times New Roman" w:hAnsi="Times New Roman"/>
          <w:color w:val="222222"/>
          <w:shd w:val="clear" w:color="auto" w:fill="FFFFFF"/>
        </w:rPr>
        <w:t xml:space="preserve"> (see Row 23, Table 8)</w:t>
      </w:r>
      <w:r w:rsidR="00D539E2" w:rsidRPr="00773219">
        <w:rPr>
          <w:rFonts w:ascii="Times New Roman" w:eastAsia="Times New Roman" w:hAnsi="Times New Roman"/>
          <w:color w:val="222222"/>
          <w:shd w:val="clear" w:color="auto" w:fill="FFFFFF"/>
        </w:rPr>
        <w:t xml:space="preserve">. </w:t>
      </w:r>
    </w:p>
    <w:p w14:paraId="51F48737" w14:textId="3831AC5D" w:rsidR="00804DDA" w:rsidRPr="00166607" w:rsidRDefault="00A175D5" w:rsidP="00402892">
      <w:pPr>
        <w:spacing w:after="160" w:line="360" w:lineRule="auto"/>
        <w:ind w:firstLine="720"/>
        <w:contextualSpacing/>
        <w:jc w:val="both"/>
      </w:pPr>
      <w:r w:rsidRPr="00773219">
        <w:rPr>
          <w:rFonts w:ascii="Times New Roman" w:eastAsia="Times New Roman" w:hAnsi="Times New Roman"/>
          <w:color w:val="222222"/>
          <w:shd w:val="clear" w:color="auto" w:fill="FFFFFF"/>
        </w:rPr>
        <w:t>The program is, thus, welfare-increasing unless it generates</w:t>
      </w:r>
      <w:r w:rsidR="00773219">
        <w:rPr>
          <w:rFonts w:ascii="Times New Roman" w:eastAsia="Times New Roman" w:hAnsi="Times New Roman"/>
          <w:color w:val="222222"/>
          <w:shd w:val="clear" w:color="auto" w:fill="FFFFFF"/>
        </w:rPr>
        <w:t xml:space="preserve"> </w:t>
      </w:r>
      <w:r w:rsidRPr="00773219">
        <w:rPr>
          <w:rFonts w:ascii="Times New Roman" w:eastAsia="Times New Roman" w:hAnsi="Times New Roman"/>
          <w:color w:val="222222"/>
          <w:shd w:val="clear" w:color="auto" w:fill="FFFFFF"/>
        </w:rPr>
        <w:t xml:space="preserve">large negative externalities. </w:t>
      </w:r>
      <w:r w:rsidR="00383C45" w:rsidRPr="00773219">
        <w:rPr>
          <w:rFonts w:ascii="Times New Roman" w:eastAsia="Times New Roman" w:hAnsi="Times New Roman"/>
          <w:color w:val="222222"/>
          <w:shd w:val="clear" w:color="auto" w:fill="FFFFFF"/>
        </w:rPr>
        <w:t>Th</w:t>
      </w:r>
      <w:r w:rsidR="006C16C2" w:rsidRPr="00773219">
        <w:rPr>
          <w:rFonts w:ascii="Times New Roman" w:eastAsia="Times New Roman" w:hAnsi="Times New Roman"/>
          <w:color w:val="222222"/>
          <w:shd w:val="clear" w:color="auto" w:fill="FFFFFF"/>
        </w:rPr>
        <w:t>is</w:t>
      </w:r>
      <w:r w:rsidR="006C16C2">
        <w:rPr>
          <w:rFonts w:ascii="Times New Roman" w:eastAsia="Times New Roman" w:hAnsi="Times New Roman"/>
          <w:color w:val="222222"/>
          <w:shd w:val="clear" w:color="auto" w:fill="FFFFFF"/>
        </w:rPr>
        <w:t xml:space="preserve"> seems unlikely since </w:t>
      </w:r>
      <w:r w:rsidR="00383C45" w:rsidRPr="00166607">
        <w:rPr>
          <w:rFonts w:ascii="Times New Roman" w:eastAsia="Times New Roman" w:hAnsi="Times New Roman"/>
          <w:color w:val="222222"/>
          <w:shd w:val="clear" w:color="auto" w:fill="FFFFFF"/>
        </w:rPr>
        <w:t xml:space="preserve">reduced teen fertility </w:t>
      </w:r>
      <w:r w:rsidR="006C16C2">
        <w:rPr>
          <w:rFonts w:ascii="Times New Roman" w:eastAsia="Times New Roman" w:hAnsi="Times New Roman"/>
          <w:color w:val="222222"/>
          <w:shd w:val="clear" w:color="auto" w:fill="FFFFFF"/>
        </w:rPr>
        <w:t>and t</w:t>
      </w:r>
      <w:r w:rsidR="00383C45" w:rsidRPr="00166607">
        <w:rPr>
          <w:rFonts w:ascii="Times New Roman" w:eastAsia="Times New Roman" w:hAnsi="Times New Roman"/>
          <w:color w:val="222222"/>
          <w:shd w:val="clear" w:color="auto" w:fill="FFFFFF"/>
        </w:rPr>
        <w:t xml:space="preserve">he opening up of an avenue for social mobility may </w:t>
      </w:r>
      <w:r w:rsidR="006C16C2">
        <w:rPr>
          <w:rFonts w:ascii="Times New Roman" w:eastAsia="Times New Roman" w:hAnsi="Times New Roman"/>
          <w:color w:val="222222"/>
          <w:shd w:val="clear" w:color="auto" w:fill="FFFFFF"/>
        </w:rPr>
        <w:t>generate positive externalities</w:t>
      </w:r>
      <w:r w:rsidR="00383C45" w:rsidRPr="00166607">
        <w:rPr>
          <w:rFonts w:ascii="Times New Roman" w:eastAsia="Times New Roman" w:hAnsi="Times New Roman"/>
          <w:color w:val="222222"/>
          <w:shd w:val="clear" w:color="auto" w:fill="FFFFFF"/>
        </w:rPr>
        <w:t xml:space="preserve">. </w:t>
      </w:r>
      <w:r w:rsidR="00873F8F">
        <w:rPr>
          <w:rFonts w:ascii="Times New Roman" w:eastAsia="Times New Roman" w:hAnsi="Times New Roman"/>
          <w:color w:val="222222"/>
          <w:shd w:val="clear" w:color="auto" w:fill="FFFFFF"/>
        </w:rPr>
        <w:t xml:space="preserve">There is little evidence for </w:t>
      </w:r>
      <w:r w:rsidR="00383C45" w:rsidRPr="00166607">
        <w:rPr>
          <w:rFonts w:ascii="Times New Roman" w:eastAsia="Times New Roman" w:hAnsi="Times New Roman"/>
          <w:color w:val="222222"/>
          <w:shd w:val="clear" w:color="auto" w:fill="FFFFFF"/>
        </w:rPr>
        <w:t xml:space="preserve">potential negative externalities, for example, </w:t>
      </w:r>
      <w:r w:rsidR="00873F8F">
        <w:rPr>
          <w:rFonts w:ascii="Times New Roman" w:eastAsia="Times New Roman" w:hAnsi="Times New Roman"/>
          <w:color w:val="222222"/>
          <w:shd w:val="clear" w:color="auto" w:fill="FFFFFF"/>
        </w:rPr>
        <w:t>through</w:t>
      </w:r>
      <w:r w:rsidR="00383C45" w:rsidRPr="00166607">
        <w:rPr>
          <w:rFonts w:ascii="Times New Roman" w:eastAsia="Times New Roman" w:hAnsi="Times New Roman"/>
          <w:color w:val="222222"/>
          <w:shd w:val="clear" w:color="auto" w:fill="FFFFFF"/>
        </w:rPr>
        <w:t xml:space="preserve"> labor market signaling or job rationing</w:t>
      </w:r>
      <w:r w:rsidR="005028A4" w:rsidRPr="005028A4">
        <w:rPr>
          <w:rFonts w:ascii="Times New Roman" w:eastAsia="Times New Roman" w:hAnsi="Times New Roman"/>
          <w:color w:val="222222"/>
          <w:shd w:val="clear" w:color="auto" w:fill="FFFFFF"/>
        </w:rPr>
        <w:t xml:space="preserve">. </w:t>
      </w:r>
      <w:r w:rsidR="006C16C2">
        <w:rPr>
          <w:rFonts w:ascii="Times New Roman" w:eastAsia="Times New Roman" w:hAnsi="Times New Roman"/>
          <w:color w:val="222222"/>
          <w:shd w:val="clear" w:color="auto" w:fill="FFFFFF"/>
        </w:rPr>
        <w:t xml:space="preserve">Bettinger et al (2010) suggests effects are not driven by improved peer quality for </w:t>
      </w:r>
      <w:r w:rsidR="00773219">
        <w:rPr>
          <w:rFonts w:ascii="Times New Roman" w:eastAsia="Times New Roman" w:hAnsi="Times New Roman"/>
          <w:color w:val="222222"/>
          <w:shd w:val="clear" w:color="auto" w:fill="FFFFFF"/>
        </w:rPr>
        <w:t>scholarship</w:t>
      </w:r>
      <w:r w:rsidR="006C16C2">
        <w:rPr>
          <w:rFonts w:ascii="Times New Roman" w:eastAsia="Times New Roman" w:hAnsi="Times New Roman"/>
          <w:color w:val="222222"/>
          <w:shd w:val="clear" w:color="auto" w:fill="FFFFFF"/>
        </w:rPr>
        <w:t xml:space="preserve"> </w:t>
      </w:r>
      <w:r w:rsidR="00773219">
        <w:rPr>
          <w:rFonts w:ascii="Times New Roman" w:eastAsia="Times New Roman" w:hAnsi="Times New Roman"/>
          <w:color w:val="222222"/>
          <w:shd w:val="clear" w:color="auto" w:fill="FFFFFF"/>
        </w:rPr>
        <w:t>winners, which</w:t>
      </w:r>
      <w:r w:rsidR="006C16C2">
        <w:rPr>
          <w:rFonts w:ascii="Times New Roman" w:eastAsia="Times New Roman" w:hAnsi="Times New Roman"/>
          <w:color w:val="222222"/>
          <w:shd w:val="clear" w:color="auto" w:fill="FFFFFF"/>
        </w:rPr>
        <w:t xml:space="preserve"> could have been interpreted as generating a reduction in peer quality for non-participants. </w:t>
      </w:r>
      <w:r w:rsidR="00383C45" w:rsidRPr="00166607">
        <w:rPr>
          <w:rFonts w:ascii="Times New Roman" w:eastAsia="Times New Roman" w:hAnsi="Times New Roman"/>
          <w:color w:val="222222"/>
          <w:shd w:val="clear" w:color="auto" w:fill="FFFFFF"/>
        </w:rPr>
        <w:t xml:space="preserve">The net negative externalities would have to be fairly large relative to the </w:t>
      </w:r>
      <w:r w:rsidR="000013C9" w:rsidRPr="008233C3">
        <w:rPr>
          <w:rFonts w:ascii="Times New Roman" w:eastAsia="Times New Roman" w:hAnsi="Times New Roman"/>
          <w:color w:val="222222"/>
          <w:shd w:val="clear" w:color="auto" w:fill="FFFFFF"/>
        </w:rPr>
        <w:t xml:space="preserve">earnings </w:t>
      </w:r>
      <w:r w:rsidR="00383C45" w:rsidRPr="00166607">
        <w:rPr>
          <w:rFonts w:ascii="Times New Roman" w:eastAsia="Times New Roman" w:hAnsi="Times New Roman"/>
          <w:color w:val="222222"/>
          <w:shd w:val="clear" w:color="auto" w:fill="FFFFFF"/>
        </w:rPr>
        <w:t>gains to winners</w:t>
      </w:r>
      <w:r w:rsidR="000013C9" w:rsidRPr="00166607">
        <w:rPr>
          <w:rFonts w:ascii="Times New Roman" w:eastAsia="Times New Roman" w:hAnsi="Times New Roman"/>
          <w:color w:val="222222"/>
          <w:shd w:val="clear" w:color="auto" w:fill="FFFFFF"/>
        </w:rPr>
        <w:t>—particularly among applicants to vocational schools—</w:t>
      </w:r>
      <w:r w:rsidR="00383C45" w:rsidRPr="00166607">
        <w:rPr>
          <w:rFonts w:ascii="Times New Roman" w:eastAsia="Times New Roman" w:hAnsi="Times New Roman"/>
          <w:color w:val="222222"/>
          <w:shd w:val="clear" w:color="auto" w:fill="FFFFFF"/>
        </w:rPr>
        <w:t>to change the conclusions</w:t>
      </w:r>
      <w:r w:rsidR="001B4E69" w:rsidRPr="00166607">
        <w:rPr>
          <w:rFonts w:ascii="Times New Roman" w:eastAsia="Times New Roman" w:hAnsi="Times New Roman"/>
          <w:color w:val="222222"/>
          <w:shd w:val="clear" w:color="auto" w:fill="FFFFFF"/>
        </w:rPr>
        <w:t xml:space="preserve">. </w:t>
      </w:r>
    </w:p>
    <w:p w14:paraId="6BFAE1D2" w14:textId="2CF43301" w:rsidR="008C36B9" w:rsidRPr="00166607" w:rsidRDefault="00852E23" w:rsidP="00402892">
      <w:pPr>
        <w:pStyle w:val="ListParagraph"/>
        <w:numPr>
          <w:ilvl w:val="0"/>
          <w:numId w:val="3"/>
        </w:numPr>
        <w:spacing w:after="160" w:line="360" w:lineRule="auto"/>
        <w:ind w:left="720" w:hanging="720"/>
        <w:outlineLvl w:val="0"/>
        <w:rPr>
          <w:rFonts w:ascii="Times New Roman" w:hAnsi="Times New Roman"/>
          <w:b/>
          <w:sz w:val="28"/>
          <w:szCs w:val="28"/>
        </w:rPr>
      </w:pPr>
      <w:r w:rsidRPr="00166607">
        <w:rPr>
          <w:rFonts w:ascii="Times New Roman" w:hAnsi="Times New Roman"/>
          <w:b/>
          <w:sz w:val="28"/>
          <w:szCs w:val="28"/>
        </w:rPr>
        <w:t>Conclusion</w:t>
      </w:r>
    </w:p>
    <w:p w14:paraId="12B62430" w14:textId="5311BD97" w:rsidR="008C36B9" w:rsidRPr="00166607" w:rsidRDefault="00062ADF" w:rsidP="00402892">
      <w:pPr>
        <w:spacing w:after="160" w:line="360" w:lineRule="auto"/>
        <w:ind w:firstLine="720"/>
        <w:jc w:val="both"/>
        <w:rPr>
          <w:rFonts w:ascii="Times New Roman" w:hAnsi="Times New Roman"/>
        </w:rPr>
      </w:pPr>
      <w:r w:rsidRPr="00166607">
        <w:rPr>
          <w:rFonts w:ascii="Times New Roman" w:hAnsi="Times New Roman"/>
        </w:rPr>
        <w:t>We present</w:t>
      </w:r>
      <w:r w:rsidR="00852E23" w:rsidRPr="00166607">
        <w:rPr>
          <w:rFonts w:ascii="Times New Roman" w:hAnsi="Times New Roman"/>
        </w:rPr>
        <w:t xml:space="preserve"> evidence on</w:t>
      </w:r>
      <w:r w:rsidR="009C457C" w:rsidRPr="00166607">
        <w:rPr>
          <w:rFonts w:ascii="Times New Roman" w:hAnsi="Times New Roman"/>
        </w:rPr>
        <w:t xml:space="preserve"> the </w:t>
      </w:r>
      <w:r w:rsidR="00684F66" w:rsidRPr="00166607">
        <w:rPr>
          <w:rFonts w:ascii="Times New Roman" w:hAnsi="Times New Roman"/>
        </w:rPr>
        <w:t>long</w:t>
      </w:r>
      <w:r w:rsidR="00C6405F" w:rsidRPr="00166607">
        <w:rPr>
          <w:rFonts w:ascii="Times New Roman" w:hAnsi="Times New Roman"/>
        </w:rPr>
        <w:t xml:space="preserve"> </w:t>
      </w:r>
      <w:r w:rsidR="00684F66" w:rsidRPr="00166607">
        <w:rPr>
          <w:rFonts w:ascii="Times New Roman" w:hAnsi="Times New Roman"/>
        </w:rPr>
        <w:t>run</w:t>
      </w:r>
      <w:r w:rsidR="009C457C" w:rsidRPr="00166607">
        <w:rPr>
          <w:rFonts w:ascii="Times New Roman" w:hAnsi="Times New Roman"/>
        </w:rPr>
        <w:t xml:space="preserve"> educational, </w:t>
      </w:r>
      <w:r w:rsidR="0091233E" w:rsidRPr="00166607">
        <w:rPr>
          <w:rFonts w:ascii="Times New Roman" w:hAnsi="Times New Roman"/>
        </w:rPr>
        <w:t xml:space="preserve">labor market, welfare, </w:t>
      </w:r>
      <w:r w:rsidR="009B5ED6" w:rsidRPr="00166607">
        <w:rPr>
          <w:rFonts w:ascii="Times New Roman" w:hAnsi="Times New Roman"/>
        </w:rPr>
        <w:t>family</w:t>
      </w:r>
      <w:r w:rsidR="009C457C" w:rsidRPr="00166607">
        <w:rPr>
          <w:rFonts w:ascii="Times New Roman" w:hAnsi="Times New Roman"/>
        </w:rPr>
        <w:t xml:space="preserve"> </w:t>
      </w:r>
      <w:r w:rsidRPr="00166607">
        <w:rPr>
          <w:rFonts w:ascii="Times New Roman" w:hAnsi="Times New Roman"/>
        </w:rPr>
        <w:t xml:space="preserve">and fiscal impacts </w:t>
      </w:r>
      <w:r w:rsidR="00852E23" w:rsidRPr="00166607">
        <w:rPr>
          <w:rFonts w:ascii="Times New Roman" w:hAnsi="Times New Roman"/>
        </w:rPr>
        <w:t xml:space="preserve">of Colombia’s PACES </w:t>
      </w:r>
      <w:r w:rsidR="00FE500C" w:rsidRPr="00166607">
        <w:rPr>
          <w:rFonts w:ascii="Times New Roman" w:hAnsi="Times New Roman"/>
        </w:rPr>
        <w:t>scholarship</w:t>
      </w:r>
      <w:r w:rsidR="00852E23" w:rsidRPr="00166607">
        <w:rPr>
          <w:rFonts w:ascii="Times New Roman" w:hAnsi="Times New Roman"/>
        </w:rPr>
        <w:t xml:space="preserve"> program, one of the largest private school </w:t>
      </w:r>
      <w:r w:rsidR="00FE500C" w:rsidRPr="00166607">
        <w:rPr>
          <w:rFonts w:ascii="Times New Roman" w:hAnsi="Times New Roman"/>
        </w:rPr>
        <w:t>scholarship</w:t>
      </w:r>
      <w:r w:rsidR="00852E23" w:rsidRPr="00166607">
        <w:rPr>
          <w:rFonts w:ascii="Times New Roman" w:hAnsi="Times New Roman"/>
        </w:rPr>
        <w:t xml:space="preserve"> programs in </w:t>
      </w:r>
      <w:r w:rsidRPr="00166607">
        <w:rPr>
          <w:rFonts w:ascii="Times New Roman" w:hAnsi="Times New Roman"/>
        </w:rPr>
        <w:t>the world</w:t>
      </w:r>
      <w:r w:rsidR="00852E23" w:rsidRPr="00166607">
        <w:rPr>
          <w:rFonts w:ascii="Times New Roman" w:hAnsi="Times New Roman"/>
        </w:rPr>
        <w:t>.</w:t>
      </w:r>
      <w:r w:rsidR="009C457C" w:rsidRPr="00166607">
        <w:rPr>
          <w:rFonts w:ascii="Times New Roman" w:hAnsi="Times New Roman"/>
        </w:rPr>
        <w:t xml:space="preserve">  As such, it is the first paper that explores </w:t>
      </w:r>
      <w:r w:rsidR="006A76EA" w:rsidRPr="00166607">
        <w:rPr>
          <w:rFonts w:ascii="Times New Roman" w:hAnsi="Times New Roman"/>
        </w:rPr>
        <w:t>the impact of private school scholarships on</w:t>
      </w:r>
      <w:r w:rsidR="00C6405F" w:rsidRPr="00166607">
        <w:rPr>
          <w:rFonts w:ascii="Times New Roman" w:hAnsi="Times New Roman"/>
        </w:rPr>
        <w:t xml:space="preserve"> long</w:t>
      </w:r>
      <w:r w:rsidR="003866B4">
        <w:rPr>
          <w:rFonts w:ascii="Times New Roman" w:hAnsi="Times New Roman"/>
        </w:rPr>
        <w:t>-</w:t>
      </w:r>
      <w:r w:rsidR="00C6405F" w:rsidRPr="00166607">
        <w:rPr>
          <w:rFonts w:ascii="Times New Roman" w:hAnsi="Times New Roman"/>
        </w:rPr>
        <w:t>run</w:t>
      </w:r>
      <w:r w:rsidR="006A76EA" w:rsidRPr="00166607">
        <w:rPr>
          <w:rFonts w:ascii="Times New Roman" w:hAnsi="Times New Roman"/>
        </w:rPr>
        <w:t xml:space="preserve"> </w:t>
      </w:r>
      <w:r w:rsidR="00E40ADF" w:rsidRPr="00166607">
        <w:rPr>
          <w:rFonts w:ascii="Times New Roman" w:hAnsi="Times New Roman"/>
        </w:rPr>
        <w:t xml:space="preserve">labor market </w:t>
      </w:r>
      <w:r w:rsidR="009C457C" w:rsidRPr="00166607">
        <w:rPr>
          <w:rFonts w:ascii="Times New Roman" w:hAnsi="Times New Roman"/>
        </w:rPr>
        <w:t>outcomes</w:t>
      </w:r>
      <w:r w:rsidR="00C6405F" w:rsidRPr="00166607">
        <w:rPr>
          <w:rFonts w:ascii="Times New Roman" w:hAnsi="Times New Roman"/>
        </w:rPr>
        <w:t xml:space="preserve"> and, ultimately, the government’s budget constraint</w:t>
      </w:r>
      <w:r w:rsidR="009C457C" w:rsidRPr="00166607">
        <w:rPr>
          <w:rFonts w:ascii="Times New Roman" w:hAnsi="Times New Roman"/>
        </w:rPr>
        <w:t xml:space="preserve">.  </w:t>
      </w:r>
      <w:r w:rsidR="006B1339" w:rsidRPr="00166607">
        <w:rPr>
          <w:rFonts w:ascii="Times New Roman" w:hAnsi="Times New Roman"/>
        </w:rPr>
        <w:t>W</w:t>
      </w:r>
      <w:r w:rsidR="009C457C" w:rsidRPr="00166607">
        <w:rPr>
          <w:rFonts w:ascii="Times New Roman" w:hAnsi="Times New Roman"/>
        </w:rPr>
        <w:t>e are able to take advantage of a setting in which: a) there is exogenous variation in private school access due to random assignment of PACES scholarships when demand exceeded availability</w:t>
      </w:r>
      <w:r w:rsidR="000E5521" w:rsidRPr="00166607">
        <w:rPr>
          <w:rFonts w:ascii="Times New Roman" w:hAnsi="Times New Roman"/>
        </w:rPr>
        <w:t>;</w:t>
      </w:r>
      <w:r w:rsidR="00B65B9D" w:rsidRPr="00166607">
        <w:rPr>
          <w:rFonts w:ascii="Times New Roman" w:hAnsi="Times New Roman"/>
        </w:rPr>
        <w:t xml:space="preserve"> b) </w:t>
      </w:r>
      <w:r w:rsidR="00C354AF" w:rsidRPr="00166607">
        <w:rPr>
          <w:rFonts w:ascii="Times New Roman" w:hAnsi="Times New Roman"/>
        </w:rPr>
        <w:t>administrative data provides cre</w:t>
      </w:r>
      <w:r w:rsidR="00B65B9D" w:rsidRPr="00166607">
        <w:rPr>
          <w:rFonts w:ascii="Times New Roman" w:hAnsi="Times New Roman"/>
        </w:rPr>
        <w:t>dible evidence of impacts</w:t>
      </w:r>
      <w:r w:rsidR="000E5521" w:rsidRPr="00166607">
        <w:rPr>
          <w:rFonts w:ascii="Times New Roman" w:hAnsi="Times New Roman"/>
        </w:rPr>
        <w:t>;</w:t>
      </w:r>
      <w:r w:rsidR="00B65B9D" w:rsidRPr="00166607">
        <w:rPr>
          <w:rFonts w:ascii="Times New Roman" w:hAnsi="Times New Roman"/>
        </w:rPr>
        <w:t xml:space="preserve"> c</w:t>
      </w:r>
      <w:r w:rsidR="00C354AF" w:rsidRPr="00166607">
        <w:rPr>
          <w:rFonts w:ascii="Times New Roman" w:hAnsi="Times New Roman"/>
        </w:rPr>
        <w:t>) we</w:t>
      </w:r>
      <w:r w:rsidR="00797D4E" w:rsidRPr="00166607">
        <w:rPr>
          <w:rFonts w:ascii="Times New Roman" w:hAnsi="Times New Roman"/>
        </w:rPr>
        <w:t xml:space="preserve"> a</w:t>
      </w:r>
      <w:r w:rsidR="00C354AF" w:rsidRPr="00166607">
        <w:rPr>
          <w:rFonts w:ascii="Times New Roman" w:hAnsi="Times New Roman"/>
        </w:rPr>
        <w:t>re examining an “as is” implementation of a large-scale government program</w:t>
      </w:r>
      <w:r w:rsidR="000E5521" w:rsidRPr="00166607">
        <w:rPr>
          <w:rFonts w:ascii="Times New Roman" w:hAnsi="Times New Roman"/>
        </w:rPr>
        <w:t>;</w:t>
      </w:r>
      <w:r w:rsidR="00B65B9D" w:rsidRPr="00166607">
        <w:rPr>
          <w:rFonts w:ascii="Times New Roman" w:hAnsi="Times New Roman"/>
        </w:rPr>
        <w:t xml:space="preserve"> and d) program rules enable us to examine program effects in a subpopulation of scholarship applicants to vocational schools, amongst whom effects are unlikely to be primarily the result of student re-sorting,</w:t>
      </w:r>
      <w:r w:rsidR="00B65B9D" w:rsidRPr="00166607">
        <w:rPr>
          <w:rFonts w:asciiTheme="minorHAnsi" w:eastAsiaTheme="minorHAnsi" w:hAnsiTheme="minorHAnsi" w:cstheme="minorBidi"/>
          <w:sz w:val="22"/>
          <w:szCs w:val="22"/>
        </w:rPr>
        <w:t xml:space="preserve"> </w:t>
      </w:r>
      <w:r w:rsidR="006B1339" w:rsidRPr="00166607">
        <w:rPr>
          <w:rFonts w:ascii="Times New Roman" w:hAnsi="Times New Roman"/>
        </w:rPr>
        <w:t xml:space="preserve">  </w:t>
      </w:r>
      <w:r w:rsidR="00852E23" w:rsidRPr="00166607">
        <w:rPr>
          <w:rFonts w:ascii="Times New Roman" w:hAnsi="Times New Roman"/>
        </w:rPr>
        <w:t xml:space="preserve">  </w:t>
      </w:r>
    </w:p>
    <w:p w14:paraId="122B6316" w14:textId="02AD6485" w:rsidR="002B2A63" w:rsidRPr="00166607" w:rsidRDefault="002B2A63" w:rsidP="00402892">
      <w:pPr>
        <w:pStyle w:val="ListParagraph"/>
        <w:autoSpaceDE w:val="0"/>
        <w:autoSpaceDN w:val="0"/>
        <w:adjustRightInd w:val="0"/>
        <w:spacing w:after="160" w:line="360" w:lineRule="auto"/>
        <w:ind w:left="0" w:firstLine="720"/>
        <w:jc w:val="both"/>
        <w:rPr>
          <w:rFonts w:ascii="Times New Roman" w:hAnsi="Times New Roman"/>
        </w:rPr>
      </w:pPr>
      <w:r w:rsidRPr="00166607">
        <w:rPr>
          <w:rFonts w:ascii="Times New Roman" w:hAnsi="Times New Roman"/>
        </w:rPr>
        <w:t xml:space="preserve">Winning a scholarship for private secondary schooling increases on-time secondary school completion by </w:t>
      </w:r>
      <w:r w:rsidR="00C524E1" w:rsidRPr="00166607">
        <w:rPr>
          <w:rFonts w:ascii="Times New Roman" w:hAnsi="Times New Roman"/>
        </w:rPr>
        <w:t>17</w:t>
      </w:r>
      <w:r w:rsidRPr="00166607">
        <w:rPr>
          <w:rFonts w:ascii="Times New Roman" w:hAnsi="Times New Roman"/>
        </w:rPr>
        <w:t xml:space="preserve"> percent and ever completion by 10 percent (</w:t>
      </w:r>
      <w:r w:rsidR="000E5521" w:rsidRPr="00166607">
        <w:rPr>
          <w:rFonts w:ascii="Times New Roman" w:hAnsi="Times New Roman"/>
        </w:rPr>
        <w:t>b</w:t>
      </w:r>
      <w:r w:rsidRPr="00166607">
        <w:rPr>
          <w:rFonts w:ascii="Times New Roman" w:hAnsi="Times New Roman"/>
        </w:rPr>
        <w:t xml:space="preserve">ase rates </w:t>
      </w:r>
      <w:r w:rsidR="000E5521" w:rsidRPr="00166607">
        <w:rPr>
          <w:rFonts w:ascii="Times New Roman" w:hAnsi="Times New Roman"/>
        </w:rPr>
        <w:t>a</w:t>
      </w:r>
      <w:r w:rsidRPr="00166607">
        <w:rPr>
          <w:rFonts w:ascii="Times New Roman" w:hAnsi="Times New Roman"/>
        </w:rPr>
        <w:t xml:space="preserve">re </w:t>
      </w:r>
      <w:r w:rsidR="00CC3182" w:rsidRPr="00166607">
        <w:rPr>
          <w:rFonts w:ascii="Times New Roman" w:hAnsi="Times New Roman"/>
        </w:rPr>
        <w:t xml:space="preserve">45 </w:t>
      </w:r>
      <w:r w:rsidRPr="00166607">
        <w:rPr>
          <w:rFonts w:ascii="Times New Roman" w:hAnsi="Times New Roman"/>
        </w:rPr>
        <w:t xml:space="preserve">percent </w:t>
      </w:r>
      <w:r w:rsidRPr="00166607">
        <w:rPr>
          <w:rFonts w:ascii="Times New Roman" w:hAnsi="Times New Roman"/>
        </w:rPr>
        <w:lastRenderedPageBreak/>
        <w:t>and 5</w:t>
      </w:r>
      <w:r w:rsidR="00CC3182" w:rsidRPr="00166607">
        <w:rPr>
          <w:rFonts w:ascii="Times New Roman" w:hAnsi="Times New Roman"/>
        </w:rPr>
        <w:t>6.</w:t>
      </w:r>
      <w:r w:rsidR="00C524E1" w:rsidRPr="00166607">
        <w:rPr>
          <w:rFonts w:ascii="Times New Roman" w:hAnsi="Times New Roman"/>
        </w:rPr>
        <w:t>5</w:t>
      </w:r>
      <w:r w:rsidRPr="00166607">
        <w:rPr>
          <w:rFonts w:ascii="Times New Roman" w:hAnsi="Times New Roman"/>
        </w:rPr>
        <w:t xml:space="preserve"> percent respectively)</w:t>
      </w:r>
      <w:r w:rsidR="000E5521" w:rsidRPr="00166607">
        <w:rPr>
          <w:rFonts w:ascii="Times New Roman" w:hAnsi="Times New Roman"/>
        </w:rPr>
        <w:t>.</w:t>
      </w:r>
      <w:r w:rsidRPr="00166607">
        <w:rPr>
          <w:rFonts w:ascii="Times New Roman" w:hAnsi="Times New Roman"/>
        </w:rPr>
        <w:t xml:space="preserve"> </w:t>
      </w:r>
      <w:r w:rsidR="00625340" w:rsidRPr="00166607">
        <w:rPr>
          <w:rFonts w:ascii="Times New Roman" w:hAnsi="Times New Roman"/>
        </w:rPr>
        <w:t xml:space="preserve">It increases tertiary education access by </w:t>
      </w:r>
      <w:r w:rsidR="00CC3182" w:rsidRPr="00166607">
        <w:rPr>
          <w:rFonts w:ascii="Times New Roman" w:hAnsi="Times New Roman"/>
        </w:rPr>
        <w:t xml:space="preserve">13 </w:t>
      </w:r>
      <w:r w:rsidR="00625340" w:rsidRPr="00166607">
        <w:rPr>
          <w:rFonts w:ascii="Times New Roman" w:hAnsi="Times New Roman"/>
        </w:rPr>
        <w:t xml:space="preserve">percent and </w:t>
      </w:r>
      <w:r w:rsidR="00DD78E7" w:rsidRPr="00166607">
        <w:rPr>
          <w:rFonts w:ascii="Times New Roman" w:hAnsi="Times New Roman"/>
        </w:rPr>
        <w:t xml:space="preserve">current enrollment or graduation </w:t>
      </w:r>
      <w:r w:rsidR="00121D29" w:rsidRPr="00166607">
        <w:rPr>
          <w:rFonts w:ascii="Times New Roman" w:hAnsi="Times New Roman"/>
        </w:rPr>
        <w:t xml:space="preserve">rates </w:t>
      </w:r>
      <w:r w:rsidR="00DD78E7" w:rsidRPr="00166607">
        <w:rPr>
          <w:rFonts w:ascii="Times New Roman" w:hAnsi="Times New Roman"/>
        </w:rPr>
        <w:t xml:space="preserve">by </w:t>
      </w:r>
      <w:r w:rsidR="00121D29" w:rsidRPr="00166607">
        <w:rPr>
          <w:rFonts w:ascii="Times New Roman" w:hAnsi="Times New Roman"/>
        </w:rPr>
        <w:t xml:space="preserve">64 and 12 </w:t>
      </w:r>
      <w:r w:rsidR="00DD78E7" w:rsidRPr="00166607">
        <w:rPr>
          <w:rFonts w:ascii="Times New Roman" w:hAnsi="Times New Roman"/>
        </w:rPr>
        <w:t>percent</w:t>
      </w:r>
      <w:r w:rsidR="00121D29" w:rsidRPr="00166607">
        <w:rPr>
          <w:rFonts w:ascii="Times New Roman" w:hAnsi="Times New Roman"/>
        </w:rPr>
        <w:t xml:space="preserve"> respectively</w:t>
      </w:r>
      <w:r w:rsidR="00E7672A" w:rsidRPr="00166607">
        <w:rPr>
          <w:rFonts w:ascii="Times New Roman" w:hAnsi="Times New Roman"/>
        </w:rPr>
        <w:t xml:space="preserve"> (</w:t>
      </w:r>
      <w:r w:rsidR="000E5521" w:rsidRPr="00166607">
        <w:rPr>
          <w:rFonts w:ascii="Times New Roman" w:hAnsi="Times New Roman"/>
        </w:rPr>
        <w:t>b</w:t>
      </w:r>
      <w:r w:rsidR="00E7672A" w:rsidRPr="00166607">
        <w:rPr>
          <w:rFonts w:ascii="Times New Roman" w:hAnsi="Times New Roman"/>
        </w:rPr>
        <w:t xml:space="preserve">ase rates are </w:t>
      </w:r>
      <w:r w:rsidR="00121D29" w:rsidRPr="00166607">
        <w:rPr>
          <w:rFonts w:ascii="Times New Roman" w:hAnsi="Times New Roman"/>
        </w:rPr>
        <w:t>19,</w:t>
      </w:r>
      <w:r w:rsidR="00E7672A" w:rsidRPr="00166607">
        <w:rPr>
          <w:rFonts w:ascii="Times New Roman" w:hAnsi="Times New Roman"/>
        </w:rPr>
        <w:t xml:space="preserve"> 4 </w:t>
      </w:r>
      <w:r w:rsidR="00121D29" w:rsidRPr="00166607">
        <w:rPr>
          <w:rFonts w:ascii="Times New Roman" w:hAnsi="Times New Roman"/>
        </w:rPr>
        <w:t xml:space="preserve">and 5 </w:t>
      </w:r>
      <w:r w:rsidR="00E7672A" w:rsidRPr="00166607">
        <w:rPr>
          <w:rFonts w:ascii="Times New Roman" w:hAnsi="Times New Roman"/>
        </w:rPr>
        <w:t>percent respectively)</w:t>
      </w:r>
      <w:r w:rsidR="00121D29" w:rsidRPr="00166607">
        <w:rPr>
          <w:rFonts w:ascii="Times New Roman" w:hAnsi="Times New Roman"/>
        </w:rPr>
        <w:t>.</w:t>
      </w:r>
      <w:r w:rsidR="00625340" w:rsidRPr="00166607">
        <w:rPr>
          <w:rFonts w:ascii="Times New Roman" w:hAnsi="Times New Roman"/>
        </w:rPr>
        <w:t xml:space="preserve">  </w:t>
      </w:r>
      <w:r w:rsidR="00E7672A" w:rsidRPr="00166607">
        <w:rPr>
          <w:rFonts w:ascii="Times New Roman" w:hAnsi="Times New Roman"/>
        </w:rPr>
        <w:t>As a result</w:t>
      </w:r>
      <w:r w:rsidR="00166607" w:rsidRPr="00166607">
        <w:rPr>
          <w:rFonts w:ascii="Times New Roman" w:hAnsi="Times New Roman"/>
        </w:rPr>
        <w:t>,</w:t>
      </w:r>
      <w:r w:rsidR="00E7672A" w:rsidRPr="00166607">
        <w:rPr>
          <w:rFonts w:ascii="Times New Roman" w:hAnsi="Times New Roman"/>
        </w:rPr>
        <w:t xml:space="preserve"> </w:t>
      </w:r>
      <w:r w:rsidR="00FF345E" w:rsidRPr="00166607">
        <w:rPr>
          <w:rFonts w:ascii="Times New Roman" w:hAnsi="Times New Roman"/>
        </w:rPr>
        <w:t>scholarship lottery winner</w:t>
      </w:r>
      <w:r w:rsidR="00E7672A" w:rsidRPr="00166607">
        <w:rPr>
          <w:rFonts w:ascii="Times New Roman" w:hAnsi="Times New Roman"/>
        </w:rPr>
        <w:t>s</w:t>
      </w:r>
      <w:r w:rsidR="00366A5B" w:rsidRPr="00166607">
        <w:rPr>
          <w:rFonts w:ascii="Times New Roman" w:hAnsi="Times New Roman"/>
        </w:rPr>
        <w:t xml:space="preserve"> </w:t>
      </w:r>
      <w:r w:rsidRPr="00166607">
        <w:rPr>
          <w:rFonts w:ascii="Times New Roman" w:hAnsi="Times New Roman"/>
        </w:rPr>
        <w:t>accumulate 0.</w:t>
      </w:r>
      <w:r w:rsidR="00121D29" w:rsidRPr="00166607">
        <w:rPr>
          <w:rFonts w:ascii="Times New Roman" w:hAnsi="Times New Roman"/>
        </w:rPr>
        <w:t xml:space="preserve">06 </w:t>
      </w:r>
      <w:r w:rsidRPr="00166607">
        <w:rPr>
          <w:rFonts w:ascii="Times New Roman" w:hAnsi="Times New Roman"/>
        </w:rPr>
        <w:t>additional years of tertiary education.</w:t>
      </w:r>
      <w:r w:rsidR="00C6405F" w:rsidRPr="00166607">
        <w:rPr>
          <w:rFonts w:ascii="Times New Roman" w:hAnsi="Times New Roman"/>
        </w:rPr>
        <w:t xml:space="preserve"> Tertiary education effects are overwhelmingly concentrated in the population of vocational school applicants. </w:t>
      </w:r>
      <w:r w:rsidRPr="00166607">
        <w:rPr>
          <w:rFonts w:ascii="Times New Roman" w:hAnsi="Times New Roman"/>
        </w:rPr>
        <w:t xml:space="preserve"> </w:t>
      </w:r>
    </w:p>
    <w:p w14:paraId="5405DC1B" w14:textId="410604B2" w:rsidR="00DD78E7" w:rsidRPr="00166607" w:rsidRDefault="00D71B82" w:rsidP="00402892">
      <w:pPr>
        <w:pStyle w:val="ListParagraph"/>
        <w:autoSpaceDE w:val="0"/>
        <w:autoSpaceDN w:val="0"/>
        <w:adjustRightInd w:val="0"/>
        <w:spacing w:after="160" w:line="360" w:lineRule="auto"/>
        <w:ind w:left="0" w:firstLine="720"/>
        <w:jc w:val="both"/>
        <w:rPr>
          <w:rFonts w:ascii="Times New Roman" w:hAnsi="Times New Roman"/>
        </w:rPr>
      </w:pPr>
      <w:r w:rsidRPr="00166607">
        <w:rPr>
          <w:rFonts w:ascii="Times New Roman" w:hAnsi="Times New Roman"/>
        </w:rPr>
        <w:t xml:space="preserve">Winning a scholarship </w:t>
      </w:r>
      <w:r w:rsidR="00DD78E7" w:rsidRPr="00166607">
        <w:rPr>
          <w:rFonts w:ascii="Times New Roman" w:hAnsi="Times New Roman"/>
        </w:rPr>
        <w:t xml:space="preserve">increases the </w:t>
      </w:r>
      <w:r w:rsidR="00E40ADF" w:rsidRPr="00166607">
        <w:rPr>
          <w:rFonts w:ascii="Times New Roman" w:hAnsi="Times New Roman"/>
        </w:rPr>
        <w:t xml:space="preserve">estimated </w:t>
      </w:r>
      <w:r w:rsidR="00DD78E7" w:rsidRPr="00166607">
        <w:rPr>
          <w:rFonts w:ascii="Times New Roman" w:hAnsi="Times New Roman"/>
        </w:rPr>
        <w:t xml:space="preserve">amount that applicants pay in </w:t>
      </w:r>
      <w:r w:rsidR="00E40ADF" w:rsidRPr="00166607">
        <w:rPr>
          <w:rFonts w:ascii="Times New Roman" w:hAnsi="Times New Roman"/>
        </w:rPr>
        <w:t xml:space="preserve">future </w:t>
      </w:r>
      <w:r w:rsidR="00DD78E7" w:rsidRPr="00166607">
        <w:rPr>
          <w:rFonts w:ascii="Times New Roman" w:hAnsi="Times New Roman"/>
        </w:rPr>
        <w:t xml:space="preserve">payroll taxes and </w:t>
      </w:r>
      <w:r w:rsidRPr="00166607">
        <w:rPr>
          <w:rFonts w:ascii="Times New Roman" w:hAnsi="Times New Roman"/>
        </w:rPr>
        <w:t>earnings</w:t>
      </w:r>
      <w:r w:rsidR="00DD78E7" w:rsidRPr="00166607">
        <w:rPr>
          <w:rFonts w:ascii="Times New Roman" w:hAnsi="Times New Roman"/>
        </w:rPr>
        <w:t xml:space="preserve"> by </w:t>
      </w:r>
      <w:r w:rsidR="0053383E" w:rsidRPr="00166607">
        <w:rPr>
          <w:rFonts w:ascii="Times New Roman" w:hAnsi="Times New Roman"/>
        </w:rPr>
        <w:t>8</w:t>
      </w:r>
      <w:r w:rsidR="00DD78E7" w:rsidRPr="00166607">
        <w:rPr>
          <w:rFonts w:ascii="Times New Roman" w:hAnsi="Times New Roman"/>
        </w:rPr>
        <w:t xml:space="preserve"> percent.</w:t>
      </w:r>
      <w:r w:rsidR="00675671" w:rsidRPr="00166607">
        <w:rPr>
          <w:rFonts w:ascii="Times New Roman" w:hAnsi="Times New Roman"/>
        </w:rPr>
        <w:t xml:space="preserve">  Among vocational school applicants, winning a scholarship increases earnings by 17 percent and payroll taxes by 16 percent.</w:t>
      </w:r>
      <w:r w:rsidR="00DD78E7" w:rsidRPr="00166607">
        <w:rPr>
          <w:rFonts w:ascii="Times New Roman" w:hAnsi="Times New Roman"/>
        </w:rPr>
        <w:t xml:space="preserve"> </w:t>
      </w:r>
      <w:r w:rsidR="00675671" w:rsidRPr="00166607">
        <w:rPr>
          <w:rFonts w:ascii="Times New Roman" w:hAnsi="Times New Roman"/>
        </w:rPr>
        <w:t xml:space="preserve"> </w:t>
      </w:r>
      <w:r w:rsidR="00200B07" w:rsidRPr="00166607">
        <w:rPr>
          <w:rFonts w:ascii="Times New Roman" w:hAnsi="Times New Roman"/>
        </w:rPr>
        <w:t>H</w:t>
      </w:r>
      <w:r w:rsidR="002B2A63" w:rsidRPr="00166607">
        <w:rPr>
          <w:rFonts w:ascii="Times New Roman" w:hAnsi="Times New Roman"/>
        </w:rPr>
        <w:t>igher earnings likely reflect more than just a quantity of schooling effect</w:t>
      </w:r>
      <w:r w:rsidR="00200B07" w:rsidRPr="00166607">
        <w:rPr>
          <w:rFonts w:ascii="Times New Roman" w:hAnsi="Times New Roman"/>
        </w:rPr>
        <w:t>,</w:t>
      </w:r>
      <w:r w:rsidR="00144840" w:rsidRPr="00166607">
        <w:rPr>
          <w:rFonts w:ascii="Times New Roman" w:hAnsi="Times New Roman"/>
        </w:rPr>
        <w:t xml:space="preserve"> as the </w:t>
      </w:r>
      <w:r w:rsidR="00E5518D" w:rsidRPr="00166607">
        <w:rPr>
          <w:rFonts w:ascii="Times New Roman" w:hAnsi="Times New Roman"/>
        </w:rPr>
        <w:t xml:space="preserve">hypothesis that the effect was due solely to increases in the quantity of schooling would </w:t>
      </w:r>
      <w:r w:rsidR="00144840" w:rsidRPr="00166607">
        <w:rPr>
          <w:rFonts w:ascii="Times New Roman" w:hAnsi="Times New Roman"/>
        </w:rPr>
        <w:t xml:space="preserve">imply implausibly large rates of return to an additional year of education, particularly among vocational applicants. </w:t>
      </w:r>
    </w:p>
    <w:p w14:paraId="3877AEA4" w14:textId="6AF8B4D9" w:rsidR="0094699A" w:rsidRPr="00643531" w:rsidRDefault="002B2A63" w:rsidP="00402892">
      <w:pPr>
        <w:pStyle w:val="ListParagraph"/>
        <w:autoSpaceDE w:val="0"/>
        <w:autoSpaceDN w:val="0"/>
        <w:adjustRightInd w:val="0"/>
        <w:spacing w:after="160" w:line="360" w:lineRule="auto"/>
        <w:ind w:left="0" w:firstLine="720"/>
        <w:jc w:val="both"/>
        <w:rPr>
          <w:rFonts w:ascii="Times New Roman" w:hAnsi="Times New Roman"/>
        </w:rPr>
      </w:pPr>
      <w:r w:rsidRPr="00166607">
        <w:rPr>
          <w:rFonts w:ascii="Times New Roman" w:hAnsi="Times New Roman"/>
        </w:rPr>
        <w:t xml:space="preserve">Winning a scholarship </w:t>
      </w:r>
      <w:r w:rsidR="002A55CF" w:rsidRPr="00166607">
        <w:rPr>
          <w:rFonts w:ascii="Times New Roman" w:hAnsi="Times New Roman"/>
        </w:rPr>
        <w:t>reduce</w:t>
      </w:r>
      <w:r w:rsidR="002C0764" w:rsidRPr="00166607">
        <w:rPr>
          <w:rFonts w:ascii="Times New Roman" w:hAnsi="Times New Roman"/>
        </w:rPr>
        <w:t>s</w:t>
      </w:r>
      <w:r w:rsidR="002A55CF" w:rsidRPr="00166607">
        <w:rPr>
          <w:rFonts w:ascii="Times New Roman" w:hAnsi="Times New Roman"/>
        </w:rPr>
        <w:t xml:space="preserve"> </w:t>
      </w:r>
      <w:r w:rsidR="00EA4A61" w:rsidRPr="00166607">
        <w:rPr>
          <w:rFonts w:ascii="Times New Roman" w:hAnsi="Times New Roman"/>
        </w:rPr>
        <w:t>females</w:t>
      </w:r>
      <w:r w:rsidR="00843444">
        <w:rPr>
          <w:rFonts w:ascii="Times New Roman" w:hAnsi="Times New Roman"/>
        </w:rPr>
        <w:t>’</w:t>
      </w:r>
      <w:r w:rsidR="00EA4A61" w:rsidRPr="00166607">
        <w:rPr>
          <w:rFonts w:ascii="Times New Roman" w:hAnsi="Times New Roman"/>
        </w:rPr>
        <w:t xml:space="preserve"> </w:t>
      </w:r>
      <w:r w:rsidR="00D71B82" w:rsidRPr="00166607">
        <w:rPr>
          <w:rFonts w:ascii="Times New Roman" w:hAnsi="Times New Roman"/>
        </w:rPr>
        <w:t xml:space="preserve">teen fertility by </w:t>
      </w:r>
      <w:r w:rsidR="00843444">
        <w:rPr>
          <w:rFonts w:ascii="Times New Roman" w:hAnsi="Times New Roman"/>
        </w:rPr>
        <w:t xml:space="preserve">at least </w:t>
      </w:r>
      <w:r w:rsidR="00EA4A61" w:rsidRPr="00166607">
        <w:rPr>
          <w:rFonts w:ascii="Times New Roman" w:hAnsi="Times New Roman"/>
        </w:rPr>
        <w:t xml:space="preserve">17 </w:t>
      </w:r>
      <w:r w:rsidR="00D71B82" w:rsidRPr="00166607">
        <w:rPr>
          <w:rFonts w:ascii="Times New Roman" w:hAnsi="Times New Roman"/>
        </w:rPr>
        <w:t>percent</w:t>
      </w:r>
      <w:r w:rsidR="00BA09EC">
        <w:rPr>
          <w:rFonts w:ascii="Times New Roman" w:hAnsi="Times New Roman"/>
        </w:rPr>
        <w:t xml:space="preserve"> or </w:t>
      </w:r>
      <w:r w:rsidR="007758E0">
        <w:rPr>
          <w:rFonts w:ascii="Times New Roman" w:hAnsi="Times New Roman"/>
        </w:rPr>
        <w:t xml:space="preserve">6.5 </w:t>
      </w:r>
      <w:r w:rsidR="00BA09EC">
        <w:rPr>
          <w:rFonts w:ascii="Times New Roman" w:hAnsi="Times New Roman"/>
        </w:rPr>
        <w:t>percentage points.</w:t>
      </w:r>
      <w:r w:rsidR="000E5521" w:rsidRPr="00166607">
        <w:rPr>
          <w:rFonts w:ascii="Times New Roman" w:hAnsi="Times New Roman"/>
        </w:rPr>
        <w:t xml:space="preserve"> </w:t>
      </w:r>
      <w:r w:rsidR="00D71B82" w:rsidRPr="00166607">
        <w:rPr>
          <w:rFonts w:ascii="Times New Roman" w:hAnsi="Times New Roman"/>
        </w:rPr>
        <w:t>(</w:t>
      </w:r>
      <w:r w:rsidR="00843444">
        <w:rPr>
          <w:rFonts w:ascii="Times New Roman" w:hAnsi="Times New Roman"/>
        </w:rPr>
        <w:t xml:space="preserve">The </w:t>
      </w:r>
      <w:r w:rsidR="000E5521" w:rsidRPr="00166607">
        <w:rPr>
          <w:rFonts w:ascii="Times New Roman" w:hAnsi="Times New Roman"/>
        </w:rPr>
        <w:t>b</w:t>
      </w:r>
      <w:r w:rsidR="001642C6" w:rsidRPr="00166607">
        <w:rPr>
          <w:rFonts w:ascii="Times New Roman" w:hAnsi="Times New Roman"/>
        </w:rPr>
        <w:t>ase rate</w:t>
      </w:r>
      <w:r w:rsidR="00D71B82" w:rsidRPr="00166607">
        <w:rPr>
          <w:rFonts w:ascii="Times New Roman" w:hAnsi="Times New Roman"/>
        </w:rPr>
        <w:t xml:space="preserve"> is</w:t>
      </w:r>
      <w:r w:rsidRPr="00166607">
        <w:rPr>
          <w:rFonts w:ascii="Times New Roman" w:hAnsi="Times New Roman"/>
        </w:rPr>
        <w:t xml:space="preserve"> 38 percent)</w:t>
      </w:r>
      <w:r w:rsidR="000E5521" w:rsidRPr="00166607">
        <w:rPr>
          <w:rFonts w:ascii="Times New Roman" w:hAnsi="Times New Roman"/>
        </w:rPr>
        <w:t>.</w:t>
      </w:r>
      <w:r w:rsidR="00DD78E7" w:rsidRPr="00166607">
        <w:rPr>
          <w:rFonts w:ascii="Times New Roman" w:hAnsi="Times New Roman"/>
        </w:rPr>
        <w:t xml:space="preserve"> </w:t>
      </w:r>
    </w:p>
    <w:p w14:paraId="0E6E0130" w14:textId="7038B1DE" w:rsidR="006B1AF7" w:rsidRPr="00E76DC9" w:rsidRDefault="00847725" w:rsidP="00402892">
      <w:pPr>
        <w:pStyle w:val="ListParagraph"/>
        <w:autoSpaceDE w:val="0"/>
        <w:autoSpaceDN w:val="0"/>
        <w:adjustRightInd w:val="0"/>
        <w:spacing w:after="160" w:line="360" w:lineRule="auto"/>
        <w:ind w:left="0" w:firstLine="720"/>
        <w:jc w:val="both"/>
        <w:rPr>
          <w:rFonts w:ascii="Times New Roman" w:hAnsi="Times New Roman"/>
        </w:rPr>
      </w:pPr>
      <w:r w:rsidRPr="00643531">
        <w:rPr>
          <w:rFonts w:ascii="Times New Roman" w:hAnsi="Times New Roman"/>
        </w:rPr>
        <w:t>With a single experiment, it</w:t>
      </w:r>
      <w:r w:rsidR="000E5521" w:rsidRPr="00643531">
        <w:rPr>
          <w:rFonts w:ascii="Times New Roman" w:hAnsi="Times New Roman"/>
        </w:rPr>
        <w:t xml:space="preserve"> i</w:t>
      </w:r>
      <w:r w:rsidRPr="00643531">
        <w:rPr>
          <w:rFonts w:ascii="Times New Roman" w:hAnsi="Times New Roman"/>
        </w:rPr>
        <w:t>s impossible to fully disentangle the channels of program impact. However, gains at the tertiary education level and the labor market</w:t>
      </w:r>
      <w:r w:rsidR="00CA3A55" w:rsidRPr="00643531">
        <w:rPr>
          <w:rFonts w:ascii="Times New Roman" w:hAnsi="Times New Roman"/>
        </w:rPr>
        <w:t>, particularly among the sub-population of vocational school applicants,</w:t>
      </w:r>
      <w:r w:rsidRPr="00643531">
        <w:rPr>
          <w:rFonts w:ascii="Times New Roman" w:hAnsi="Times New Roman"/>
        </w:rPr>
        <w:t xml:space="preserve"> suggest that the impact of the program on secondary completion was not simply due to schools gaming </w:t>
      </w:r>
      <w:r w:rsidR="00930A43" w:rsidRPr="00643531">
        <w:rPr>
          <w:rFonts w:ascii="Times New Roman" w:hAnsi="Times New Roman"/>
        </w:rPr>
        <w:t xml:space="preserve">of </w:t>
      </w:r>
      <w:r w:rsidRPr="00643531">
        <w:rPr>
          <w:rFonts w:ascii="Times New Roman" w:hAnsi="Times New Roman"/>
        </w:rPr>
        <w:t>the system</w:t>
      </w:r>
      <w:r w:rsidR="00E62D28" w:rsidRPr="00643531">
        <w:rPr>
          <w:rFonts w:ascii="Times New Roman" w:hAnsi="Times New Roman"/>
        </w:rPr>
        <w:t xml:space="preserve"> </w:t>
      </w:r>
      <w:r w:rsidR="002A55CF" w:rsidRPr="00643531">
        <w:rPr>
          <w:rFonts w:ascii="Times New Roman" w:hAnsi="Times New Roman"/>
        </w:rPr>
        <w:t xml:space="preserve">by lowering the standards for </w:t>
      </w:r>
      <w:r w:rsidR="00930A43" w:rsidRPr="00643531">
        <w:rPr>
          <w:rFonts w:ascii="Times New Roman" w:hAnsi="Times New Roman"/>
        </w:rPr>
        <w:t>grade progression</w:t>
      </w:r>
      <w:r w:rsidR="002A55CF" w:rsidRPr="00643531">
        <w:rPr>
          <w:rFonts w:ascii="Times New Roman" w:hAnsi="Times New Roman"/>
        </w:rPr>
        <w:t xml:space="preserve">. </w:t>
      </w:r>
      <w:r w:rsidR="00CA3A55" w:rsidRPr="00643531">
        <w:rPr>
          <w:rFonts w:ascii="Times New Roman" w:hAnsi="Times New Roman"/>
        </w:rPr>
        <w:t xml:space="preserve"> Instead, our results suggest that private vocational </w:t>
      </w:r>
      <w:r w:rsidR="00CA3A55" w:rsidRPr="006B1AF7">
        <w:rPr>
          <w:rFonts w:ascii="Times New Roman" w:hAnsi="Times New Roman"/>
        </w:rPr>
        <w:t>education may improve long-term outcomes by helping students to more effectively transition from secondary school into advanced training and the labor force.</w:t>
      </w:r>
    </w:p>
    <w:p w14:paraId="3876BD21" w14:textId="5969C49B" w:rsidR="008D7737" w:rsidRPr="00E76DC9" w:rsidRDefault="00930A43" w:rsidP="00402892">
      <w:pPr>
        <w:pStyle w:val="ListParagraph"/>
        <w:autoSpaceDE w:val="0"/>
        <w:autoSpaceDN w:val="0"/>
        <w:adjustRightInd w:val="0"/>
        <w:spacing w:after="160" w:line="360" w:lineRule="auto"/>
        <w:ind w:left="0" w:firstLine="720"/>
        <w:jc w:val="both"/>
        <w:rPr>
          <w:rFonts w:ascii="Times New Roman" w:hAnsi="Times New Roman"/>
        </w:rPr>
      </w:pPr>
      <w:r w:rsidRPr="00E76DC9">
        <w:rPr>
          <w:rFonts w:ascii="Times New Roman" w:hAnsi="Times New Roman"/>
        </w:rPr>
        <w:t>The scholarship program combined elements of a private school scholarship program with elements of a merit scholarship program insofar as renewal of the scholarship was conditional on grade progression. However, as noted, it</w:t>
      </w:r>
      <w:r w:rsidR="000E5521" w:rsidRPr="00E76DC9">
        <w:rPr>
          <w:rFonts w:ascii="Times New Roman" w:hAnsi="Times New Roman"/>
        </w:rPr>
        <w:t xml:space="preserve"> i</w:t>
      </w:r>
      <w:r w:rsidRPr="00E76DC9">
        <w:rPr>
          <w:rFonts w:ascii="Times New Roman" w:hAnsi="Times New Roman"/>
        </w:rPr>
        <w:t xml:space="preserve">s not clear how strongly the later requirement was enforced in practice. </w:t>
      </w:r>
      <w:r w:rsidR="00945A89" w:rsidRPr="00E76DC9">
        <w:rPr>
          <w:rFonts w:ascii="Times New Roman" w:hAnsi="Times New Roman"/>
        </w:rPr>
        <w:t xml:space="preserve"> I</w:t>
      </w:r>
      <w:r w:rsidRPr="00E76DC9">
        <w:rPr>
          <w:rFonts w:ascii="Times New Roman" w:hAnsi="Times New Roman"/>
        </w:rPr>
        <w:t>f the effect</w:t>
      </w:r>
      <w:r w:rsidR="00EA4A61" w:rsidRPr="00E76DC9">
        <w:rPr>
          <w:rFonts w:ascii="Times New Roman" w:hAnsi="Times New Roman"/>
        </w:rPr>
        <w:t>s</w:t>
      </w:r>
      <w:r w:rsidRPr="00E76DC9">
        <w:rPr>
          <w:rFonts w:ascii="Times New Roman" w:hAnsi="Times New Roman"/>
        </w:rPr>
        <w:t xml:space="preserve"> of the program were solely due to its merit scholarship component</w:t>
      </w:r>
      <w:r w:rsidR="00EA4A61" w:rsidRPr="00E76DC9">
        <w:rPr>
          <w:rFonts w:ascii="Times New Roman" w:hAnsi="Times New Roman"/>
        </w:rPr>
        <w:t>,</w:t>
      </w:r>
      <w:r w:rsidRPr="00E76DC9">
        <w:rPr>
          <w:rFonts w:ascii="Times New Roman" w:hAnsi="Times New Roman"/>
        </w:rPr>
        <w:t xml:space="preserve"> then one would expect the strongest impacts to occur among those who are near the boundary of failing grades. In fact, it seems that many of the strongest impacts are at the top of the distributio</w:t>
      </w:r>
      <w:r w:rsidR="00E65EA0" w:rsidRPr="00E76DC9">
        <w:rPr>
          <w:rFonts w:ascii="Times New Roman" w:hAnsi="Times New Roman"/>
        </w:rPr>
        <w:t>n, such as on tertiary enrolment</w:t>
      </w:r>
      <w:r w:rsidR="007E0F28" w:rsidRPr="00E76DC9">
        <w:rPr>
          <w:rFonts w:ascii="Times New Roman" w:hAnsi="Times New Roman"/>
        </w:rPr>
        <w:t xml:space="preserve">—which only 19 percent of </w:t>
      </w:r>
      <w:r w:rsidR="004A17E0" w:rsidRPr="00E76DC9">
        <w:rPr>
          <w:rFonts w:ascii="Times New Roman" w:hAnsi="Times New Roman"/>
        </w:rPr>
        <w:t>lottery</w:t>
      </w:r>
      <w:r w:rsidR="007E0F28" w:rsidRPr="00E76DC9">
        <w:rPr>
          <w:rFonts w:ascii="Times New Roman" w:hAnsi="Times New Roman"/>
        </w:rPr>
        <w:t xml:space="preserve"> losers ever accomplish—</w:t>
      </w:r>
      <w:r w:rsidR="00E65EA0" w:rsidRPr="00E76DC9">
        <w:rPr>
          <w:rFonts w:ascii="Times New Roman" w:hAnsi="Times New Roman"/>
        </w:rPr>
        <w:t xml:space="preserve">and </w:t>
      </w:r>
      <w:r w:rsidR="007E0F28" w:rsidRPr="00E76DC9">
        <w:rPr>
          <w:rFonts w:ascii="Times New Roman" w:hAnsi="Times New Roman"/>
        </w:rPr>
        <w:t xml:space="preserve">on tertiary </w:t>
      </w:r>
      <w:r w:rsidR="00E65EA0" w:rsidRPr="00E76DC9">
        <w:rPr>
          <w:rFonts w:ascii="Times New Roman" w:hAnsi="Times New Roman"/>
        </w:rPr>
        <w:t>graduation</w:t>
      </w:r>
      <w:r w:rsidR="007E0F28" w:rsidRPr="00E76DC9">
        <w:rPr>
          <w:rFonts w:ascii="Times New Roman" w:hAnsi="Times New Roman"/>
        </w:rPr>
        <w:t xml:space="preserve">—which </w:t>
      </w:r>
      <w:r w:rsidR="00DB35FB" w:rsidRPr="00E76DC9">
        <w:rPr>
          <w:rFonts w:ascii="Times New Roman" w:hAnsi="Times New Roman"/>
        </w:rPr>
        <w:t>only</w:t>
      </w:r>
      <w:r w:rsidR="007E0F28" w:rsidRPr="00E76DC9">
        <w:rPr>
          <w:rFonts w:ascii="Times New Roman" w:hAnsi="Times New Roman"/>
        </w:rPr>
        <w:t xml:space="preserve"> 5 percent of losers accomplish</w:t>
      </w:r>
      <w:r w:rsidRPr="00E76DC9">
        <w:rPr>
          <w:rFonts w:ascii="Times New Roman" w:hAnsi="Times New Roman"/>
        </w:rPr>
        <w:t xml:space="preserve">. </w:t>
      </w:r>
      <w:r w:rsidR="008D7737" w:rsidRPr="00E76DC9">
        <w:rPr>
          <w:rFonts w:ascii="Times New Roman" w:hAnsi="Times New Roman"/>
        </w:rPr>
        <w:t xml:space="preserve">Effects </w:t>
      </w:r>
      <w:r w:rsidR="007E0F28" w:rsidRPr="00E76DC9">
        <w:rPr>
          <w:rFonts w:ascii="Times New Roman" w:hAnsi="Times New Roman"/>
        </w:rPr>
        <w:t xml:space="preserve">on </w:t>
      </w:r>
      <w:r w:rsidR="008D7737" w:rsidRPr="00E76DC9">
        <w:rPr>
          <w:rFonts w:ascii="Times New Roman" w:hAnsi="Times New Roman"/>
        </w:rPr>
        <w:t xml:space="preserve">formal sector earnings </w:t>
      </w:r>
      <w:r w:rsidR="007E0F28" w:rsidRPr="00E76DC9">
        <w:rPr>
          <w:rFonts w:ascii="Times New Roman" w:hAnsi="Times New Roman"/>
        </w:rPr>
        <w:t xml:space="preserve">are also </w:t>
      </w:r>
      <w:r w:rsidR="008D7737" w:rsidRPr="00E76DC9">
        <w:rPr>
          <w:rFonts w:ascii="Times New Roman" w:hAnsi="Times New Roman"/>
        </w:rPr>
        <w:t xml:space="preserve">relevant at the top of the distribution. </w:t>
      </w:r>
      <w:r w:rsidR="004A17E0" w:rsidRPr="00E76DC9">
        <w:rPr>
          <w:rFonts w:ascii="Times New Roman" w:hAnsi="Times New Roman"/>
        </w:rPr>
        <w:t>Moreover, w</w:t>
      </w:r>
      <w:r w:rsidR="002A55CF" w:rsidRPr="00E76DC9">
        <w:rPr>
          <w:rFonts w:ascii="Times New Roman" w:hAnsi="Times New Roman"/>
        </w:rPr>
        <w:t xml:space="preserve">e </w:t>
      </w:r>
      <w:r w:rsidR="002B2A63" w:rsidRPr="00E76DC9">
        <w:rPr>
          <w:rFonts w:ascii="Times New Roman" w:hAnsi="Times New Roman"/>
        </w:rPr>
        <w:t xml:space="preserve">do not observe any effects on the fraction of applicants who are </w:t>
      </w:r>
      <w:r w:rsidR="002B2A63" w:rsidRPr="00E76DC9">
        <w:rPr>
          <w:rFonts w:ascii="Times New Roman" w:hAnsi="Times New Roman"/>
        </w:rPr>
        <w:lastRenderedPageBreak/>
        <w:t>eligible to</w:t>
      </w:r>
      <w:r w:rsidR="002A55CF" w:rsidRPr="00E76DC9">
        <w:rPr>
          <w:rFonts w:ascii="Times New Roman" w:hAnsi="Times New Roman"/>
        </w:rPr>
        <w:t xml:space="preserve"> receive government subsidies. </w:t>
      </w:r>
      <w:r w:rsidR="00F7746F" w:rsidRPr="00E76DC9">
        <w:rPr>
          <w:rFonts w:ascii="Times New Roman" w:hAnsi="Times New Roman"/>
        </w:rPr>
        <w:t>The</w:t>
      </w:r>
      <w:r w:rsidR="008D7737" w:rsidRPr="00E76DC9">
        <w:rPr>
          <w:rFonts w:ascii="Times New Roman" w:hAnsi="Times New Roman"/>
        </w:rPr>
        <w:t xml:space="preserve"> main place we see an effect that might be at the bottom of the distribution is on teen fertility.</w:t>
      </w:r>
    </w:p>
    <w:p w14:paraId="0701FC65" w14:textId="6838BB9B" w:rsidR="001F4B7F" w:rsidRPr="00293537" w:rsidRDefault="001F4B7F" w:rsidP="00402892">
      <w:pPr>
        <w:spacing w:after="160" w:line="360" w:lineRule="auto"/>
        <w:ind w:firstLine="720"/>
        <w:contextualSpacing/>
        <w:jc w:val="both"/>
        <w:rPr>
          <w:rFonts w:ascii="Times New Roman" w:hAnsi="Times New Roman"/>
        </w:rPr>
      </w:pPr>
      <w:r w:rsidRPr="00166607">
        <w:rPr>
          <w:rFonts w:ascii="Times New Roman" w:hAnsi="Times New Roman"/>
        </w:rPr>
        <w:t xml:space="preserve">Our results paint a more favorable picture of private school scholarships relative to many of the results coming out of the US school choice literature.  </w:t>
      </w:r>
      <w:r w:rsidRPr="008233C3">
        <w:rPr>
          <w:rFonts w:ascii="Times New Roman" w:hAnsi="Times New Roman"/>
          <w:color w:val="222222"/>
        </w:rPr>
        <w:t xml:space="preserve">One possible explanation </w:t>
      </w:r>
      <w:r w:rsidRPr="00166607">
        <w:rPr>
          <w:rFonts w:ascii="Times New Roman" w:hAnsi="Times New Roman"/>
          <w:color w:val="222222"/>
        </w:rPr>
        <w:t>is program design, as PACES allowed households to augment scholarship amounts, potentially helping some students who would have attended private schools to trade up to better private schools.  Another explanation is contextual differences.  Since the program only partially covered costs, it attracted students whose families were willing to pay something for private school and the treatment effect of moving from public to private education in the subpopulation of those willing to pay for private education may be greater than in the population at large.</w:t>
      </w:r>
    </w:p>
    <w:p w14:paraId="3469DE5A" w14:textId="40115A4B" w:rsidR="00295052" w:rsidRPr="00166607" w:rsidRDefault="00945A89" w:rsidP="00402892">
      <w:pPr>
        <w:spacing w:after="160" w:line="360" w:lineRule="auto"/>
        <w:ind w:firstLine="720"/>
        <w:contextualSpacing/>
        <w:jc w:val="both"/>
        <w:rPr>
          <w:rFonts w:ascii="Times New Roman" w:hAnsi="Times New Roman"/>
          <w:b/>
        </w:rPr>
      </w:pPr>
      <w:r w:rsidRPr="00166607">
        <w:rPr>
          <w:rFonts w:ascii="Times New Roman" w:hAnsi="Times New Roman"/>
          <w:color w:val="222222"/>
        </w:rPr>
        <w:t xml:space="preserve">Our fiscal calculations suggest that the net </w:t>
      </w:r>
      <w:r w:rsidR="00947B46" w:rsidRPr="00166607">
        <w:rPr>
          <w:rFonts w:ascii="Times New Roman" w:hAnsi="Times New Roman"/>
          <w:color w:val="222222"/>
        </w:rPr>
        <w:t xml:space="preserve">fiscal </w:t>
      </w:r>
      <w:r w:rsidRPr="008233C3">
        <w:rPr>
          <w:rFonts w:ascii="Times New Roman" w:hAnsi="Times New Roman"/>
          <w:color w:val="222222"/>
        </w:rPr>
        <w:t xml:space="preserve">cost of </w:t>
      </w:r>
      <w:r w:rsidR="00947B46" w:rsidRPr="00166607">
        <w:rPr>
          <w:rFonts w:ascii="Times New Roman" w:hAnsi="Times New Roman"/>
          <w:color w:val="222222"/>
        </w:rPr>
        <w:t>the program</w:t>
      </w:r>
      <w:r w:rsidRPr="00166607">
        <w:rPr>
          <w:rFonts w:ascii="Times New Roman" w:hAnsi="Times New Roman"/>
          <w:color w:val="222222"/>
        </w:rPr>
        <w:t xml:space="preserve"> is negative due to the indirect effect of scholarship receipt on government expenditure and revenue.</w:t>
      </w:r>
      <w:r w:rsidR="00CF6F10" w:rsidRPr="00166607">
        <w:rPr>
          <w:rFonts w:ascii="Times New Roman" w:hAnsi="Times New Roman"/>
        </w:rPr>
        <w:t xml:space="preserve">  </w:t>
      </w:r>
      <w:r w:rsidR="000F1D10" w:rsidRPr="00166607">
        <w:rPr>
          <w:rFonts w:ascii="Times New Roman" w:hAnsi="Times New Roman"/>
        </w:rPr>
        <w:t>S</w:t>
      </w:r>
      <w:r w:rsidR="00295052" w:rsidRPr="00166607">
        <w:rPr>
          <w:rFonts w:ascii="Times New Roman" w:hAnsi="Times New Roman"/>
        </w:rPr>
        <w:t xml:space="preserve">ome features of the program </w:t>
      </w:r>
      <w:r w:rsidR="008D7737" w:rsidRPr="00166607">
        <w:rPr>
          <w:rFonts w:ascii="Times New Roman" w:hAnsi="Times New Roman"/>
        </w:rPr>
        <w:t>design minimized the fiscal cost of the program</w:t>
      </w:r>
      <w:r w:rsidR="00255653" w:rsidRPr="00166607">
        <w:rPr>
          <w:rFonts w:ascii="Times New Roman" w:hAnsi="Times New Roman"/>
        </w:rPr>
        <w:t xml:space="preserve">. </w:t>
      </w:r>
      <w:r w:rsidR="00891BFF" w:rsidRPr="00293537">
        <w:rPr>
          <w:rFonts w:ascii="Times New Roman" w:hAnsi="Times New Roman"/>
        </w:rPr>
        <w:t>First, scholarships covered only part of the cost of private school and applicants had to cover the rest of the costs. Indeed, t</w:t>
      </w:r>
      <w:r w:rsidR="008D395C" w:rsidRPr="00166607">
        <w:rPr>
          <w:rFonts w:ascii="Times New Roman" w:hAnsi="Times New Roman"/>
        </w:rPr>
        <w:t>he scholarships crowded-in educational expenses as households invested more total resources in education (Angrist et al 2002).</w:t>
      </w:r>
      <w:r w:rsidR="00A7419D" w:rsidRPr="00166607">
        <w:rPr>
          <w:rFonts w:ascii="Times New Roman" w:eastAsia="Times New Roman" w:hAnsi="Times New Roman"/>
          <w:color w:val="222222"/>
          <w:shd w:val="clear" w:color="auto" w:fill="FFFFFF"/>
        </w:rPr>
        <w:t xml:space="preserve">  </w:t>
      </w:r>
      <w:r w:rsidR="00131CBB" w:rsidRPr="00293537">
        <w:rPr>
          <w:rFonts w:ascii="Times New Roman" w:eastAsia="Times New Roman" w:hAnsi="Times New Roman"/>
          <w:color w:val="222222"/>
          <w:shd w:val="clear" w:color="auto" w:fill="FFFFFF"/>
        </w:rPr>
        <w:t>The</w:t>
      </w:r>
      <w:r w:rsidR="00891BFF" w:rsidRPr="00293537">
        <w:rPr>
          <w:rFonts w:ascii="Times New Roman" w:eastAsia="Times New Roman" w:hAnsi="Times New Roman"/>
          <w:color w:val="222222"/>
          <w:shd w:val="clear" w:color="auto" w:fill="FFFFFF"/>
        </w:rPr>
        <w:t xml:space="preserve"> conditioning of scholarship renewal created incentives that reduced grade repetition (Angrist et al 2002). </w:t>
      </w:r>
      <w:r w:rsidR="00131CBB" w:rsidRPr="00293537">
        <w:rPr>
          <w:rFonts w:ascii="Times New Roman" w:eastAsia="Times New Roman" w:hAnsi="Times New Roman"/>
          <w:color w:val="222222"/>
          <w:shd w:val="clear" w:color="auto" w:fill="FFFFFF"/>
        </w:rPr>
        <w:t xml:space="preserve">The scholarship program was targeted to the poor and </w:t>
      </w:r>
      <w:r w:rsidR="00CF6F10" w:rsidRPr="00293537">
        <w:rPr>
          <w:rFonts w:ascii="Times New Roman" w:eastAsia="Times New Roman" w:hAnsi="Times New Roman"/>
          <w:color w:val="222222"/>
          <w:shd w:val="clear" w:color="auto" w:fill="FFFFFF"/>
        </w:rPr>
        <w:t>the</w:t>
      </w:r>
      <w:r w:rsidR="00131CBB" w:rsidRPr="00293537">
        <w:rPr>
          <w:rFonts w:ascii="Times New Roman" w:eastAsia="Times New Roman" w:hAnsi="Times New Roman"/>
          <w:color w:val="222222"/>
          <w:shd w:val="clear" w:color="auto" w:fill="FFFFFF"/>
        </w:rPr>
        <w:t xml:space="preserve"> poor typically don’t obtain admission to public universities. The increased tertiary education </w:t>
      </w:r>
      <w:r w:rsidR="00CF6F10" w:rsidRPr="00293537">
        <w:rPr>
          <w:rFonts w:ascii="Times New Roman" w:eastAsia="Times New Roman" w:hAnsi="Times New Roman"/>
          <w:color w:val="222222"/>
          <w:shd w:val="clear" w:color="auto" w:fill="FFFFFF"/>
        </w:rPr>
        <w:t>induced by the scholarship</w:t>
      </w:r>
      <w:r w:rsidR="00131CBB" w:rsidRPr="00293537">
        <w:rPr>
          <w:rFonts w:ascii="Times New Roman" w:eastAsia="Times New Roman" w:hAnsi="Times New Roman"/>
          <w:color w:val="222222"/>
          <w:shd w:val="clear" w:color="auto" w:fill="FFFFFF"/>
        </w:rPr>
        <w:t xml:space="preserve"> was mainly at the expense of households themselves rather than the Colombian treasury.</w:t>
      </w:r>
      <w:r w:rsidR="009A5955" w:rsidRPr="00166607">
        <w:rPr>
          <w:rFonts w:ascii="Times New Roman" w:hAnsi="Times New Roman"/>
        </w:rPr>
        <w:t xml:space="preserve">  </w:t>
      </w:r>
      <w:r w:rsidR="00131CBB" w:rsidRPr="00293537">
        <w:rPr>
          <w:rFonts w:ascii="Times New Roman" w:hAnsi="Times New Roman"/>
        </w:rPr>
        <w:t xml:space="preserve">Additional financial (as opposed to time) investments by households in education </w:t>
      </w:r>
      <w:r w:rsidR="008D395C" w:rsidRPr="00166607">
        <w:rPr>
          <w:rFonts w:ascii="Times New Roman" w:hAnsi="Times New Roman"/>
        </w:rPr>
        <w:t xml:space="preserve">generate positive fiscal externalities if the additional human capital of </w:t>
      </w:r>
      <w:r w:rsidR="00FF345E" w:rsidRPr="008233C3">
        <w:rPr>
          <w:rFonts w:ascii="Times New Roman" w:hAnsi="Times New Roman"/>
        </w:rPr>
        <w:t>scholarship lottery winner</w:t>
      </w:r>
      <w:r w:rsidR="008D395C" w:rsidRPr="00166607">
        <w:rPr>
          <w:rFonts w:ascii="Times New Roman" w:hAnsi="Times New Roman"/>
        </w:rPr>
        <w:t xml:space="preserve">s increases </w:t>
      </w:r>
      <w:r w:rsidR="00684F66" w:rsidRPr="00166607">
        <w:rPr>
          <w:rFonts w:ascii="Times New Roman" w:hAnsi="Times New Roman"/>
        </w:rPr>
        <w:t>long-run</w:t>
      </w:r>
      <w:r w:rsidR="008D395C" w:rsidRPr="00166607">
        <w:rPr>
          <w:rFonts w:ascii="Times New Roman" w:hAnsi="Times New Roman"/>
        </w:rPr>
        <w:t xml:space="preserve"> earnings.  Moreover, there is no offsetting reduction on </w:t>
      </w:r>
      <w:r w:rsidR="00684F66" w:rsidRPr="00166607">
        <w:rPr>
          <w:rFonts w:ascii="Times New Roman" w:hAnsi="Times New Roman"/>
        </w:rPr>
        <w:t>short-run</w:t>
      </w:r>
      <w:r w:rsidR="008D395C" w:rsidRPr="00166607">
        <w:rPr>
          <w:rFonts w:ascii="Times New Roman" w:hAnsi="Times New Roman"/>
        </w:rPr>
        <w:t xml:space="preserve"> labor supply (and hence </w:t>
      </w:r>
      <w:r w:rsidR="00684F66" w:rsidRPr="00166607">
        <w:rPr>
          <w:rFonts w:ascii="Times New Roman" w:hAnsi="Times New Roman"/>
        </w:rPr>
        <w:t>short-run</w:t>
      </w:r>
      <w:r w:rsidR="008D395C" w:rsidRPr="00166607">
        <w:rPr>
          <w:rFonts w:ascii="Times New Roman" w:hAnsi="Times New Roman"/>
        </w:rPr>
        <w:t xml:space="preserve"> tax collection).</w:t>
      </w:r>
      <w:r w:rsidR="00131CBB" w:rsidRPr="00166607">
        <w:rPr>
          <w:rStyle w:val="FootnoteReference"/>
          <w:rFonts w:ascii="Times New Roman" w:hAnsi="Times New Roman"/>
        </w:rPr>
        <w:footnoteReference w:id="41"/>
      </w:r>
      <w:r w:rsidR="008D395C" w:rsidRPr="00166607">
        <w:rPr>
          <w:rFonts w:ascii="Times New Roman" w:hAnsi="Times New Roman"/>
        </w:rPr>
        <w:t xml:space="preserve"> </w:t>
      </w:r>
    </w:p>
    <w:p w14:paraId="606FE9E0" w14:textId="4CADE55D" w:rsidR="003D7172" w:rsidRPr="00166607" w:rsidRDefault="00EF0A7E" w:rsidP="00402892">
      <w:pPr>
        <w:spacing w:after="160" w:line="360" w:lineRule="auto"/>
        <w:jc w:val="both"/>
        <w:rPr>
          <w:rFonts w:ascii="Times New Roman" w:hAnsi="Times New Roman"/>
        </w:rPr>
      </w:pPr>
      <w:r w:rsidRPr="00166607">
        <w:tab/>
      </w:r>
      <w:r w:rsidR="003D7172" w:rsidRPr="00166607">
        <w:rPr>
          <w:rFonts w:ascii="Times New Roman" w:hAnsi="Times New Roman"/>
        </w:rPr>
        <w:t xml:space="preserve">The Colombian government has a number of transfer programs designed to support people at the bottom of the income distribution, such as </w:t>
      </w:r>
      <w:r w:rsidR="000B1B5E" w:rsidRPr="00166607">
        <w:rPr>
          <w:rFonts w:ascii="Times New Roman" w:hAnsi="Times New Roman"/>
          <w:i/>
        </w:rPr>
        <w:t>Familias en A</w:t>
      </w:r>
      <w:r w:rsidR="00874292" w:rsidRPr="00166607">
        <w:rPr>
          <w:rFonts w:ascii="Times New Roman" w:hAnsi="Times New Roman"/>
          <w:i/>
        </w:rPr>
        <w:t>cción</w:t>
      </w:r>
      <w:r w:rsidR="003D7172" w:rsidRPr="00166607">
        <w:rPr>
          <w:rFonts w:ascii="Times New Roman" w:hAnsi="Times New Roman"/>
        </w:rPr>
        <w:t>.</w:t>
      </w:r>
      <w:r w:rsidR="00C82907" w:rsidRPr="00166607">
        <w:rPr>
          <w:rFonts w:ascii="Times New Roman" w:hAnsi="Times New Roman"/>
        </w:rPr>
        <w:t xml:space="preserve">  </w:t>
      </w:r>
      <w:r w:rsidR="003D7172" w:rsidRPr="00166607">
        <w:rPr>
          <w:rFonts w:ascii="Times New Roman" w:hAnsi="Times New Roman"/>
        </w:rPr>
        <w:t xml:space="preserve">One natural </w:t>
      </w:r>
      <w:r w:rsidR="003D7172" w:rsidRPr="00166607">
        <w:rPr>
          <w:rFonts w:ascii="Times New Roman" w:hAnsi="Times New Roman"/>
        </w:rPr>
        <w:lastRenderedPageBreak/>
        <w:t xml:space="preserve">question is whether it costs more or less to redistribute to </w:t>
      </w:r>
      <w:r w:rsidR="00C82907" w:rsidRPr="00166607">
        <w:rPr>
          <w:rFonts w:ascii="Times New Roman" w:hAnsi="Times New Roman"/>
        </w:rPr>
        <w:t>s</w:t>
      </w:r>
      <w:r w:rsidR="003D7172" w:rsidRPr="00166607">
        <w:rPr>
          <w:rFonts w:ascii="Times New Roman" w:hAnsi="Times New Roman"/>
        </w:rPr>
        <w:t>trata 1 and 2 households through the P</w:t>
      </w:r>
      <w:r w:rsidR="00C82907" w:rsidRPr="00166607">
        <w:rPr>
          <w:rFonts w:ascii="Times New Roman" w:hAnsi="Times New Roman"/>
        </w:rPr>
        <w:t>ACES private school scholarship</w:t>
      </w:r>
      <w:r w:rsidR="003D7172" w:rsidRPr="00166607">
        <w:rPr>
          <w:rFonts w:ascii="Times New Roman" w:hAnsi="Times New Roman"/>
        </w:rPr>
        <w:t xml:space="preserve"> program than through alternative means. It seems reasonable to assume that the social cost of transferring one dollar per household through </w:t>
      </w:r>
      <w:r w:rsidR="00CF557D" w:rsidRPr="00166607">
        <w:rPr>
          <w:rFonts w:ascii="Times New Roman" w:hAnsi="Times New Roman"/>
        </w:rPr>
        <w:t xml:space="preserve">conditional cash </w:t>
      </w:r>
      <w:r w:rsidR="003D7172" w:rsidRPr="00166607">
        <w:rPr>
          <w:rFonts w:ascii="Times New Roman" w:hAnsi="Times New Roman"/>
        </w:rPr>
        <w:t>transfers is more than one dollar because such programs may distort labor supply or the economic activity among those taxed to pay for the program and among beneficiaries who may seek to remain eligible.</w:t>
      </w:r>
      <w:r w:rsidR="00516E0B" w:rsidRPr="00166607">
        <w:rPr>
          <w:rFonts w:ascii="Times New Roman" w:hAnsi="Times New Roman"/>
        </w:rPr>
        <w:t xml:space="preserve"> </w:t>
      </w:r>
      <w:r w:rsidR="003D7172" w:rsidRPr="00166607">
        <w:rPr>
          <w:rFonts w:ascii="Times New Roman" w:hAnsi="Times New Roman"/>
        </w:rPr>
        <w:t xml:space="preserve">The evidence </w:t>
      </w:r>
      <w:r w:rsidR="00CF557D" w:rsidRPr="00166607">
        <w:rPr>
          <w:rFonts w:ascii="Times New Roman" w:hAnsi="Times New Roman"/>
        </w:rPr>
        <w:t xml:space="preserve">presented </w:t>
      </w:r>
      <w:r w:rsidR="003D7172" w:rsidRPr="00166607">
        <w:rPr>
          <w:rFonts w:ascii="Times New Roman" w:hAnsi="Times New Roman"/>
        </w:rPr>
        <w:t>here suggests that it likely cost</w:t>
      </w:r>
      <w:r w:rsidR="007F03C8" w:rsidRPr="00166607">
        <w:rPr>
          <w:rFonts w:ascii="Times New Roman" w:hAnsi="Times New Roman"/>
        </w:rPr>
        <w:t>s</w:t>
      </w:r>
      <w:r w:rsidR="003D7172" w:rsidRPr="00166607">
        <w:rPr>
          <w:rFonts w:ascii="Times New Roman" w:hAnsi="Times New Roman"/>
        </w:rPr>
        <w:t xml:space="preserve"> substantially less than a dollar to transfer one dollar in net pre</w:t>
      </w:r>
      <w:r w:rsidR="0097475F" w:rsidRPr="00166607">
        <w:rPr>
          <w:rFonts w:ascii="Times New Roman" w:hAnsi="Times New Roman"/>
        </w:rPr>
        <w:t>sent value to children born in s</w:t>
      </w:r>
      <w:r w:rsidR="003D7172" w:rsidRPr="00166607">
        <w:rPr>
          <w:rFonts w:ascii="Times New Roman" w:hAnsi="Times New Roman"/>
        </w:rPr>
        <w:t>trata 1 and 2 households through private scholarships.</w:t>
      </w:r>
    </w:p>
    <w:p w14:paraId="0AD488AC" w14:textId="1CC77B8D" w:rsidR="00775E47" w:rsidRPr="00166607" w:rsidRDefault="00220CC9" w:rsidP="00402892">
      <w:pPr>
        <w:spacing w:after="160" w:line="360" w:lineRule="auto"/>
        <w:ind w:firstLine="720"/>
        <w:contextualSpacing/>
        <w:jc w:val="both"/>
        <w:rPr>
          <w:rFonts w:ascii="Times New Roman" w:hAnsi="Times New Roman"/>
        </w:rPr>
      </w:pPr>
      <w:r w:rsidRPr="00166607">
        <w:rPr>
          <w:rFonts w:ascii="Times New Roman" w:hAnsi="Times New Roman"/>
        </w:rPr>
        <w:t>The results on</w:t>
      </w:r>
      <w:r w:rsidR="00775E47" w:rsidRPr="00166607">
        <w:rPr>
          <w:rFonts w:ascii="Times New Roman" w:hAnsi="Times New Roman"/>
        </w:rPr>
        <w:t xml:space="preserve"> vocational school applicants suggest that, at least in the Colombian context</w:t>
      </w:r>
      <w:r w:rsidR="008E5F4D" w:rsidRPr="00166607">
        <w:rPr>
          <w:rFonts w:ascii="Times New Roman" w:hAnsi="Times New Roman"/>
        </w:rPr>
        <w:t>,</w:t>
      </w:r>
      <w:r w:rsidR="00775E47" w:rsidRPr="00166607">
        <w:rPr>
          <w:rFonts w:ascii="Times New Roman" w:hAnsi="Times New Roman"/>
        </w:rPr>
        <w:t xml:space="preserve"> private vocational schools are a potentially promising and cost-effective educational alternative to improve </w:t>
      </w:r>
      <w:r w:rsidR="004925C2" w:rsidRPr="00166607">
        <w:rPr>
          <w:rFonts w:ascii="Times New Roman" w:hAnsi="Times New Roman"/>
        </w:rPr>
        <w:t xml:space="preserve">educational attainment, </w:t>
      </w:r>
      <w:r w:rsidR="00775E47" w:rsidRPr="00166607">
        <w:rPr>
          <w:rFonts w:ascii="Times New Roman" w:hAnsi="Times New Roman"/>
        </w:rPr>
        <w:t>employability and school-to-work transitions</w:t>
      </w:r>
      <w:r w:rsidR="004925C2" w:rsidRPr="00166607">
        <w:rPr>
          <w:rFonts w:ascii="Times New Roman" w:hAnsi="Times New Roman"/>
        </w:rPr>
        <w:t xml:space="preserve">.  Colombian private vocational schools, if anything, complement tertiary education investments and the needs of the formal labor market </w:t>
      </w:r>
      <w:r w:rsidR="00775E47" w:rsidRPr="00166607">
        <w:rPr>
          <w:rFonts w:ascii="Times New Roman" w:hAnsi="Times New Roman"/>
        </w:rPr>
        <w:t xml:space="preserve">(see also Kugler, Kugler, Saavedra and Herrera 2015). </w:t>
      </w:r>
      <w:r w:rsidR="008E5F4D" w:rsidRPr="00166607">
        <w:rPr>
          <w:rFonts w:ascii="Times New Roman" w:hAnsi="Times New Roman"/>
        </w:rPr>
        <w:t xml:space="preserve"> </w:t>
      </w:r>
      <w:r w:rsidR="00F01BB7" w:rsidRPr="00166607">
        <w:rPr>
          <w:rFonts w:ascii="Times New Roman" w:hAnsi="Times New Roman"/>
        </w:rPr>
        <w:t xml:space="preserve">(Of course one cannot draw the policy conclusion that a program limited to vocational schools would have effects similar to that we estimate for the effect of PACES on applicants to vocational schools since </w:t>
      </w:r>
      <w:r w:rsidR="000D338F" w:rsidRPr="00166607">
        <w:rPr>
          <w:rFonts w:ascii="Times New Roman" w:hAnsi="Times New Roman"/>
        </w:rPr>
        <w:t xml:space="preserve">such a program might well have induced very different types of students to apply to vocational schools.) </w:t>
      </w:r>
      <w:r w:rsidR="008E5F4D" w:rsidRPr="00166607">
        <w:rPr>
          <w:rFonts w:ascii="Times New Roman" w:hAnsi="Times New Roman"/>
        </w:rPr>
        <w:t xml:space="preserve"> </w:t>
      </w:r>
    </w:p>
    <w:p w14:paraId="5DA66BC9" w14:textId="10E7BEFD" w:rsidR="007A2AC9" w:rsidRPr="00166607" w:rsidRDefault="0080559A" w:rsidP="00402892">
      <w:pPr>
        <w:spacing w:after="160" w:line="360" w:lineRule="auto"/>
        <w:ind w:firstLine="720"/>
        <w:contextualSpacing/>
        <w:jc w:val="both"/>
        <w:rPr>
          <w:rFonts w:ascii="Times New Roman" w:hAnsi="Times New Roman"/>
        </w:rPr>
      </w:pPr>
      <w:r w:rsidRPr="00166607">
        <w:rPr>
          <w:rFonts w:ascii="Times New Roman" w:hAnsi="Times New Roman"/>
        </w:rPr>
        <w:t>The external validity of our results to other Colombian cities, or other cities in other countries of the region, would heavily rely on the variation of the quality of public and private education. Guarín</w:t>
      </w:r>
      <w:r w:rsidR="005F30EA" w:rsidRPr="00166607">
        <w:rPr>
          <w:rFonts w:ascii="Times New Roman" w:hAnsi="Times New Roman"/>
        </w:rPr>
        <w:t>,</w:t>
      </w:r>
      <w:r w:rsidRPr="00166607">
        <w:rPr>
          <w:rFonts w:ascii="Times New Roman" w:hAnsi="Times New Roman"/>
        </w:rPr>
        <w:t xml:space="preserve"> Medina </w:t>
      </w:r>
      <w:r w:rsidR="005F30EA" w:rsidRPr="00166607">
        <w:rPr>
          <w:rFonts w:ascii="Times New Roman" w:hAnsi="Times New Roman"/>
        </w:rPr>
        <w:t xml:space="preserve">and Posso </w:t>
      </w:r>
      <w:r w:rsidRPr="00166607">
        <w:rPr>
          <w:rFonts w:ascii="Times New Roman" w:hAnsi="Times New Roman"/>
        </w:rPr>
        <w:t xml:space="preserve">(2016) show there are large variations in the quality of public </w:t>
      </w:r>
      <w:r w:rsidR="00F31336" w:rsidRPr="00166607">
        <w:rPr>
          <w:rFonts w:ascii="Times New Roman" w:hAnsi="Times New Roman"/>
        </w:rPr>
        <w:t xml:space="preserve">and private </w:t>
      </w:r>
      <w:r w:rsidRPr="00166607">
        <w:rPr>
          <w:rFonts w:ascii="Times New Roman" w:hAnsi="Times New Roman"/>
        </w:rPr>
        <w:t>education across Colombian cities, based on which one could expect that besides Bogotá, our results are likely to hold in cities like Medellín and Cartagena, but less likely to hold in others like Bucaramanga, Tunja or Pasto, which have much higher quality public schools.</w:t>
      </w:r>
      <w:r w:rsidR="0075228A" w:rsidRPr="00166607">
        <w:br w:type="page"/>
      </w:r>
    </w:p>
    <w:p w14:paraId="17E391E5" w14:textId="77777777" w:rsidR="00815A8B" w:rsidRPr="00166607" w:rsidRDefault="00EA7360" w:rsidP="00254BEF">
      <w:pPr>
        <w:rPr>
          <w:rFonts w:ascii="Times New Roman" w:hAnsi="Times New Roman"/>
          <w:b/>
        </w:rPr>
      </w:pPr>
      <w:r w:rsidRPr="00166607">
        <w:rPr>
          <w:rFonts w:ascii="Times New Roman" w:hAnsi="Times New Roman"/>
          <w:b/>
        </w:rPr>
        <w:lastRenderedPageBreak/>
        <w:t>References</w:t>
      </w:r>
    </w:p>
    <w:p w14:paraId="2F8DF05C" w14:textId="77777777" w:rsidR="00815A8B" w:rsidRPr="00166607" w:rsidRDefault="00815A8B" w:rsidP="00254BEF">
      <w:pPr>
        <w:widowControl w:val="0"/>
        <w:autoSpaceDE w:val="0"/>
        <w:autoSpaceDN w:val="0"/>
        <w:adjustRightInd w:val="0"/>
        <w:rPr>
          <w:rFonts w:ascii="Times New Roman" w:hAnsi="Times New Roman"/>
        </w:rPr>
      </w:pPr>
    </w:p>
    <w:p w14:paraId="734AB882" w14:textId="77777777" w:rsidR="00815A8B" w:rsidRPr="00166607" w:rsidRDefault="00815A8B" w:rsidP="006A3216">
      <w:pPr>
        <w:pStyle w:val="EndnoteText"/>
        <w:ind w:left="720" w:hanging="720"/>
        <w:jc w:val="both"/>
        <w:rPr>
          <w:rFonts w:ascii="Times New Roman" w:hAnsi="Times New Roman"/>
        </w:rPr>
      </w:pPr>
      <w:r w:rsidRPr="00166607">
        <w:rPr>
          <w:rFonts w:ascii="Times New Roman" w:hAnsi="Times New Roman"/>
        </w:rPr>
        <w:t xml:space="preserve">Angrist, Joshua, Eric Bettinger, Eric Bloom, Michael Kremer, and Elizabeth King. 2002. “Vouchers for private schooling in Colombia: Evidence from a randomized natural experiment.” </w:t>
      </w:r>
      <w:r w:rsidRPr="00166607">
        <w:rPr>
          <w:rFonts w:ascii="Times New Roman" w:hAnsi="Times New Roman"/>
          <w:i/>
          <w:iCs/>
        </w:rPr>
        <w:t xml:space="preserve">American Economic Review </w:t>
      </w:r>
      <w:r w:rsidRPr="00166607">
        <w:rPr>
          <w:rFonts w:ascii="Times New Roman" w:hAnsi="Times New Roman"/>
          <w:iCs/>
        </w:rPr>
        <w:t>92 (5)</w:t>
      </w:r>
      <w:r w:rsidRPr="00166607">
        <w:rPr>
          <w:rFonts w:ascii="Times New Roman" w:hAnsi="Times New Roman"/>
        </w:rPr>
        <w:t>: 1535-1558.</w:t>
      </w:r>
    </w:p>
    <w:p w14:paraId="1495512F" w14:textId="77777777" w:rsidR="00815A8B" w:rsidRPr="00166607" w:rsidRDefault="00815A8B" w:rsidP="006A3216">
      <w:pPr>
        <w:pStyle w:val="EndnoteText"/>
        <w:ind w:left="720" w:hanging="720"/>
        <w:jc w:val="both"/>
        <w:rPr>
          <w:rFonts w:ascii="Times New Roman" w:hAnsi="Times New Roman"/>
        </w:rPr>
      </w:pPr>
    </w:p>
    <w:p w14:paraId="3F583896" w14:textId="77777777" w:rsidR="00815A8B" w:rsidRPr="00F27DCF" w:rsidRDefault="00815A8B" w:rsidP="006A3216">
      <w:pPr>
        <w:pStyle w:val="EndnoteText"/>
        <w:ind w:left="720" w:hanging="720"/>
        <w:jc w:val="both"/>
        <w:rPr>
          <w:rFonts w:ascii="Times New Roman" w:hAnsi="Times New Roman"/>
        </w:rPr>
      </w:pPr>
      <w:r w:rsidRPr="00166607">
        <w:rPr>
          <w:rFonts w:ascii="Times New Roman" w:hAnsi="Times New Roman"/>
        </w:rPr>
        <w:t>Angrist, Joshua, Eric Bettinger, and Michael Kremer. 2006. “</w:t>
      </w:r>
      <w:r w:rsidR="00684F66" w:rsidRPr="00166607">
        <w:rPr>
          <w:rFonts w:ascii="Times New Roman" w:hAnsi="Times New Roman"/>
        </w:rPr>
        <w:t>Long-</w:t>
      </w:r>
      <w:r w:rsidR="00583FFF" w:rsidRPr="00166607">
        <w:rPr>
          <w:rFonts w:ascii="Times New Roman" w:hAnsi="Times New Roman"/>
        </w:rPr>
        <w:t>term</w:t>
      </w:r>
      <w:r w:rsidRPr="00166607">
        <w:rPr>
          <w:rFonts w:ascii="Times New Roman" w:hAnsi="Times New Roman"/>
        </w:rPr>
        <w:t xml:space="preserve"> educational consequences of secondary school vouchers: evidence from administrative records in Colombia.” </w:t>
      </w:r>
      <w:r w:rsidRPr="00F27DCF">
        <w:rPr>
          <w:rFonts w:ascii="Times New Roman" w:hAnsi="Times New Roman"/>
          <w:i/>
          <w:iCs/>
        </w:rPr>
        <w:t>American Economic Review</w:t>
      </w:r>
      <w:r w:rsidRPr="00F27DCF">
        <w:rPr>
          <w:rFonts w:ascii="Times New Roman" w:hAnsi="Times New Roman"/>
        </w:rPr>
        <w:t xml:space="preserve"> 96 (3): 847-862.</w:t>
      </w:r>
    </w:p>
    <w:p w14:paraId="367FBB65" w14:textId="77777777" w:rsidR="00D26FCC" w:rsidRPr="00F27DCF" w:rsidRDefault="00D26FCC" w:rsidP="006A3216">
      <w:pPr>
        <w:pStyle w:val="EndnoteText"/>
        <w:ind w:left="720" w:hanging="720"/>
        <w:jc w:val="both"/>
        <w:rPr>
          <w:rFonts w:ascii="Times New Roman" w:hAnsi="Times New Roman"/>
        </w:rPr>
      </w:pPr>
    </w:p>
    <w:p w14:paraId="5D44D08E" w14:textId="33AD9451" w:rsidR="00DE2414" w:rsidRPr="008233C3" w:rsidRDefault="00D26FCC" w:rsidP="006A3216">
      <w:pPr>
        <w:pStyle w:val="EndnoteText"/>
        <w:ind w:left="720" w:hanging="720"/>
        <w:jc w:val="both"/>
        <w:rPr>
          <w:rFonts w:ascii="Times New Roman" w:hAnsi="Times New Roman"/>
        </w:rPr>
      </w:pPr>
      <w:r w:rsidRPr="00166607">
        <w:rPr>
          <w:rFonts w:ascii="Times New Roman" w:hAnsi="Times New Roman"/>
        </w:rPr>
        <w:t>Baird, Sarah</w:t>
      </w:r>
      <w:r w:rsidR="006F39E1" w:rsidRPr="00166607">
        <w:rPr>
          <w:rFonts w:ascii="Times New Roman" w:hAnsi="Times New Roman"/>
        </w:rPr>
        <w:t>, Joan Hamory Hicks, Michael Kremer and Edward Miguel. 2013. “Worms at work: Public finance implications of a child health investment” unpublished manuscript, Harvard University.</w:t>
      </w:r>
    </w:p>
    <w:p w14:paraId="3401C0A3" w14:textId="77777777" w:rsidR="00694C0A" w:rsidRPr="00166607" w:rsidRDefault="00694C0A" w:rsidP="006A3216">
      <w:pPr>
        <w:pStyle w:val="EndnoteText"/>
        <w:ind w:left="720" w:hanging="720"/>
        <w:jc w:val="both"/>
        <w:rPr>
          <w:rFonts w:ascii="Times New Roman" w:hAnsi="Times New Roman"/>
        </w:rPr>
      </w:pPr>
    </w:p>
    <w:p w14:paraId="4247FA04" w14:textId="77777777" w:rsidR="00D26FCC" w:rsidRPr="00166607" w:rsidRDefault="00694C0A" w:rsidP="006A3216">
      <w:pPr>
        <w:pStyle w:val="EndnoteText"/>
        <w:ind w:left="720" w:hanging="720"/>
        <w:jc w:val="both"/>
        <w:rPr>
          <w:rFonts w:ascii="Times New Roman" w:hAnsi="Times New Roman"/>
        </w:rPr>
      </w:pPr>
      <w:r w:rsidRPr="00F27DCF">
        <w:rPr>
          <w:rFonts w:ascii="Times New Roman" w:hAnsi="Times New Roman"/>
        </w:rPr>
        <w:t xml:space="preserve">Barrera-Osorio, Felipe, Marianne Bertrand, Leigh Linden and Francisco Perez-Calle. </w:t>
      </w:r>
      <w:r w:rsidRPr="00166607">
        <w:rPr>
          <w:rFonts w:ascii="Times New Roman" w:hAnsi="Times New Roman"/>
        </w:rPr>
        <w:t>2011. “Improving the design of condition</w:t>
      </w:r>
      <w:r w:rsidRPr="008233C3">
        <w:rPr>
          <w:rFonts w:ascii="Times New Roman" w:hAnsi="Times New Roman"/>
        </w:rPr>
        <w:t xml:space="preserve">al transfer programs: Evidence from a randomized education experiment in Colombia.” </w:t>
      </w:r>
      <w:r w:rsidRPr="00166607">
        <w:rPr>
          <w:rFonts w:ascii="Times New Roman" w:hAnsi="Times New Roman"/>
          <w:i/>
        </w:rPr>
        <w:t>American Economic Journal: Applied Economics</w:t>
      </w:r>
      <w:r w:rsidRPr="00166607">
        <w:rPr>
          <w:rFonts w:ascii="Times New Roman" w:hAnsi="Times New Roman"/>
        </w:rPr>
        <w:t xml:space="preserve"> 3(2): 167-195.  </w:t>
      </w:r>
    </w:p>
    <w:p w14:paraId="5E4F4C42" w14:textId="77777777" w:rsidR="00815A8B" w:rsidRPr="00166607" w:rsidRDefault="00815A8B" w:rsidP="006A3216">
      <w:pPr>
        <w:pStyle w:val="EndnoteText"/>
        <w:ind w:left="720" w:hanging="720"/>
        <w:jc w:val="both"/>
        <w:rPr>
          <w:rFonts w:ascii="Times New Roman" w:hAnsi="Times New Roman"/>
        </w:rPr>
      </w:pPr>
    </w:p>
    <w:p w14:paraId="232D73E5" w14:textId="77777777" w:rsidR="00220E5C" w:rsidRPr="00166607" w:rsidRDefault="00815A8B" w:rsidP="006A3216">
      <w:pPr>
        <w:pStyle w:val="EndnoteText"/>
        <w:ind w:left="720" w:hanging="720"/>
        <w:jc w:val="both"/>
        <w:rPr>
          <w:rFonts w:ascii="Times New Roman" w:hAnsi="Times New Roman"/>
        </w:rPr>
      </w:pPr>
      <w:r w:rsidRPr="00166607">
        <w:rPr>
          <w:rFonts w:ascii="Times New Roman" w:hAnsi="Times New Roman"/>
        </w:rPr>
        <w:t xml:space="preserve">Barrow, Lissa and Cecilia Elena Rouse. 2008. “School Vouchers: Recent Findings and Unanswered Questions.” </w:t>
      </w:r>
      <w:r w:rsidRPr="00166607">
        <w:rPr>
          <w:rFonts w:ascii="Times New Roman" w:hAnsi="Times New Roman"/>
          <w:i/>
        </w:rPr>
        <w:t>Economic Perspectives</w:t>
      </w:r>
      <w:r w:rsidRPr="00166607">
        <w:rPr>
          <w:rFonts w:ascii="Times New Roman" w:hAnsi="Times New Roman"/>
        </w:rPr>
        <w:t>, Federal Reserve Bank of Chicago.</w:t>
      </w:r>
    </w:p>
    <w:p w14:paraId="21C3CB98" w14:textId="77777777" w:rsidR="00815A8B" w:rsidRPr="00166607" w:rsidRDefault="00815A8B" w:rsidP="006A3216">
      <w:pPr>
        <w:pStyle w:val="EndnoteText"/>
        <w:ind w:left="720" w:hanging="720"/>
        <w:jc w:val="both"/>
        <w:rPr>
          <w:rFonts w:ascii="Times New Roman" w:hAnsi="Times New Roman"/>
        </w:rPr>
      </w:pPr>
    </w:p>
    <w:p w14:paraId="6F6650EB" w14:textId="77777777" w:rsidR="00815A8B" w:rsidRPr="00166607" w:rsidRDefault="00815A8B" w:rsidP="006A3216">
      <w:pPr>
        <w:ind w:left="720" w:hanging="720"/>
        <w:jc w:val="both"/>
        <w:rPr>
          <w:rFonts w:ascii="Times New Roman" w:hAnsi="Times New Roman"/>
        </w:rPr>
      </w:pPr>
      <w:r w:rsidRPr="00166607">
        <w:rPr>
          <w:rFonts w:ascii="Times New Roman" w:hAnsi="Times New Roman"/>
        </w:rPr>
        <w:t>Bettinger,</w:t>
      </w:r>
      <w:r w:rsidR="00090EA0" w:rsidRPr="00166607">
        <w:rPr>
          <w:rFonts w:ascii="Times New Roman" w:hAnsi="Times New Roman"/>
        </w:rPr>
        <w:t xml:space="preserve"> </w:t>
      </w:r>
      <w:r w:rsidRPr="00166607">
        <w:rPr>
          <w:rFonts w:ascii="Times New Roman" w:hAnsi="Times New Roman"/>
        </w:rPr>
        <w:t xml:space="preserve">Eric, Michael Kremer, and Juan E. Saavedra. 2010. “Are Educational Vouchers Only Redistributive?” </w:t>
      </w:r>
      <w:r w:rsidRPr="00166607">
        <w:rPr>
          <w:rFonts w:ascii="Times New Roman" w:hAnsi="Times New Roman"/>
          <w:i/>
        </w:rPr>
        <w:t xml:space="preserve">The Economic Journal </w:t>
      </w:r>
      <w:r w:rsidRPr="00166607">
        <w:rPr>
          <w:rFonts w:ascii="Times New Roman" w:hAnsi="Times New Roman"/>
        </w:rPr>
        <w:t>120(546): F204-F228.</w:t>
      </w:r>
    </w:p>
    <w:p w14:paraId="433B4B3F" w14:textId="77777777" w:rsidR="003025E8" w:rsidRPr="00166607" w:rsidRDefault="003025E8" w:rsidP="006A3216">
      <w:pPr>
        <w:pStyle w:val="EndnoteText"/>
        <w:jc w:val="both"/>
        <w:rPr>
          <w:rFonts w:ascii="Times New Roman" w:hAnsi="Times New Roman"/>
        </w:rPr>
      </w:pPr>
    </w:p>
    <w:p w14:paraId="54C27DBC" w14:textId="77777777" w:rsidR="003025E8" w:rsidRPr="008233C3" w:rsidRDefault="003025E8" w:rsidP="006A3216">
      <w:pPr>
        <w:pStyle w:val="EndnoteText"/>
        <w:ind w:left="720" w:hanging="720"/>
        <w:jc w:val="both"/>
        <w:rPr>
          <w:rFonts w:ascii="Times New Roman" w:hAnsi="Times New Roman"/>
        </w:rPr>
      </w:pPr>
      <w:r w:rsidRPr="00F27DCF">
        <w:rPr>
          <w:rFonts w:ascii="Times New Roman" w:hAnsi="Times New Roman"/>
        </w:rPr>
        <w:t>Breierova</w:t>
      </w:r>
      <w:r w:rsidR="00367E89" w:rsidRPr="00F27DCF">
        <w:rPr>
          <w:rFonts w:ascii="Times New Roman" w:hAnsi="Times New Roman"/>
        </w:rPr>
        <w:t>, Lucia</w:t>
      </w:r>
      <w:r w:rsidRPr="00F27DCF">
        <w:rPr>
          <w:rFonts w:ascii="Times New Roman" w:hAnsi="Times New Roman"/>
        </w:rPr>
        <w:t xml:space="preserve"> and Esther Duflo. </w:t>
      </w:r>
      <w:r w:rsidRPr="00166607">
        <w:rPr>
          <w:rFonts w:ascii="Times New Roman" w:hAnsi="Times New Roman"/>
        </w:rPr>
        <w:t xml:space="preserve">2004. </w:t>
      </w:r>
      <w:r w:rsidR="00D64867" w:rsidRPr="00166607">
        <w:rPr>
          <w:rFonts w:ascii="Times New Roman" w:hAnsi="Times New Roman"/>
        </w:rPr>
        <w:t xml:space="preserve">“The impact of education on fertility and child mortality: Do fathers really matter less than mothers?” National Bureau of Economic Research Working Paper 10513. </w:t>
      </w:r>
    </w:p>
    <w:p w14:paraId="445E8AEF" w14:textId="77777777" w:rsidR="00E56F90" w:rsidRPr="00166607" w:rsidRDefault="00E56F90" w:rsidP="006A3216">
      <w:pPr>
        <w:pStyle w:val="EndnoteText"/>
        <w:ind w:left="720" w:hanging="720"/>
        <w:jc w:val="both"/>
        <w:rPr>
          <w:rFonts w:ascii="Times New Roman" w:hAnsi="Times New Roman"/>
        </w:rPr>
      </w:pPr>
    </w:p>
    <w:p w14:paraId="7A04D367" w14:textId="77777777" w:rsidR="00AA1E82" w:rsidRPr="00166607" w:rsidRDefault="00E56F90" w:rsidP="006A3216">
      <w:pPr>
        <w:pStyle w:val="EndnoteText"/>
        <w:ind w:left="720" w:hanging="720"/>
        <w:jc w:val="both"/>
        <w:rPr>
          <w:rFonts w:ascii="Times New Roman" w:hAnsi="Times New Roman"/>
        </w:rPr>
      </w:pPr>
      <w:r w:rsidRPr="00166607">
        <w:rPr>
          <w:rFonts w:ascii="Times New Roman" w:hAnsi="Times New Roman"/>
        </w:rPr>
        <w:t>Calderón, Alberto. 1996 “Voucher programs for secondary schools: The Colombian experience.” World Bank Human Capital Development Working Paper 66.</w:t>
      </w:r>
    </w:p>
    <w:p w14:paraId="491C3D2B" w14:textId="77777777" w:rsidR="00815A8B" w:rsidRPr="00166607" w:rsidRDefault="00815A8B" w:rsidP="006A3216">
      <w:pPr>
        <w:pStyle w:val="EndnoteText"/>
        <w:jc w:val="both"/>
        <w:rPr>
          <w:rFonts w:ascii="Times New Roman" w:hAnsi="Times New Roman"/>
        </w:rPr>
      </w:pPr>
    </w:p>
    <w:p w14:paraId="5B6382D8" w14:textId="77777777" w:rsidR="00815A8B" w:rsidRPr="00166607" w:rsidRDefault="00815A8B" w:rsidP="006A3216">
      <w:pPr>
        <w:widowControl w:val="0"/>
        <w:autoSpaceDE w:val="0"/>
        <w:autoSpaceDN w:val="0"/>
        <w:adjustRightInd w:val="0"/>
        <w:ind w:left="720" w:hanging="720"/>
        <w:jc w:val="both"/>
        <w:rPr>
          <w:rStyle w:val="Emphasis"/>
        </w:rPr>
      </w:pPr>
      <w:r w:rsidRPr="00F27DCF">
        <w:rPr>
          <w:rFonts w:ascii="Times New Roman" w:hAnsi="Times New Roman"/>
        </w:rPr>
        <w:t xml:space="preserve">Chetty, Raj, John N. Friedman, Nathaniel Hilger, Emmanuel Saez, Diane Schanzenbach, and Danny Yagan. 2011. “How Does Your Kindergarten Classroom Affect Your Earnings? Evidence from Project STAR.” </w:t>
      </w:r>
      <w:r w:rsidRPr="00166607">
        <w:rPr>
          <w:rStyle w:val="Emphasis"/>
          <w:rFonts w:ascii="Times New Roman" w:hAnsi="Times New Roman"/>
          <w:bCs/>
        </w:rPr>
        <w:t xml:space="preserve">Quarterly Journal of Economics </w:t>
      </w:r>
      <w:r w:rsidRPr="00166607">
        <w:rPr>
          <w:rStyle w:val="Emphasis"/>
          <w:rFonts w:ascii="Times New Roman" w:hAnsi="Times New Roman"/>
          <w:bCs/>
          <w:i w:val="0"/>
        </w:rPr>
        <w:t xml:space="preserve">126 (4): </w:t>
      </w:r>
      <w:r w:rsidRPr="00166607">
        <w:rPr>
          <w:rStyle w:val="st"/>
          <w:rFonts w:ascii="Times New Roman" w:eastAsia="Times New Roman" w:hAnsi="Times New Roman"/>
        </w:rPr>
        <w:t>1593-1660.</w:t>
      </w:r>
    </w:p>
    <w:p w14:paraId="139F8BB6" w14:textId="77777777" w:rsidR="00815A8B" w:rsidRPr="00166607" w:rsidRDefault="00815A8B" w:rsidP="006A3216">
      <w:pPr>
        <w:widowControl w:val="0"/>
        <w:autoSpaceDE w:val="0"/>
        <w:autoSpaceDN w:val="0"/>
        <w:adjustRightInd w:val="0"/>
        <w:ind w:left="720" w:hanging="720"/>
        <w:jc w:val="both"/>
        <w:rPr>
          <w:rStyle w:val="Emphasis"/>
        </w:rPr>
      </w:pPr>
    </w:p>
    <w:p w14:paraId="6ABF8687" w14:textId="77777777" w:rsidR="00815A8B" w:rsidRPr="00166607" w:rsidRDefault="00815A8B" w:rsidP="006A3216">
      <w:pPr>
        <w:widowControl w:val="0"/>
        <w:autoSpaceDE w:val="0"/>
        <w:autoSpaceDN w:val="0"/>
        <w:adjustRightInd w:val="0"/>
        <w:ind w:left="720" w:hanging="720"/>
        <w:jc w:val="both"/>
        <w:rPr>
          <w:rStyle w:val="Emphasis"/>
        </w:rPr>
      </w:pPr>
      <w:r w:rsidRPr="00F27DCF">
        <w:rPr>
          <w:rStyle w:val="Emphasis"/>
          <w:rFonts w:ascii="Times New Roman" w:hAnsi="Times New Roman"/>
          <w:bCs/>
          <w:i w:val="0"/>
        </w:rPr>
        <w:t xml:space="preserve">Cortés, Darwin, Juan Miguel Gallego, and Darío Maldonado. </w:t>
      </w:r>
      <w:r w:rsidRPr="00166607">
        <w:rPr>
          <w:rStyle w:val="Emphasis"/>
          <w:rFonts w:ascii="Times New Roman" w:hAnsi="Times New Roman"/>
          <w:bCs/>
          <w:i w:val="0"/>
        </w:rPr>
        <w:t>2010. “On the Design of Education Conditional Cash Transfer Programs and Non-Education Outcomes: The Case of Teen Pregnancy.” Working Paper 100, Economics Depa</w:t>
      </w:r>
      <w:r w:rsidRPr="008233C3">
        <w:rPr>
          <w:rStyle w:val="Emphasis"/>
          <w:rFonts w:ascii="Times New Roman" w:hAnsi="Times New Roman"/>
          <w:bCs/>
          <w:i w:val="0"/>
        </w:rPr>
        <w:t xml:space="preserve">rtment Universidad del Rosario, Bogotá.  </w:t>
      </w:r>
    </w:p>
    <w:p w14:paraId="5098D8D6" w14:textId="77777777" w:rsidR="00815A8B" w:rsidRPr="00166607" w:rsidRDefault="00815A8B" w:rsidP="006A3216">
      <w:pPr>
        <w:widowControl w:val="0"/>
        <w:autoSpaceDE w:val="0"/>
        <w:autoSpaceDN w:val="0"/>
        <w:adjustRightInd w:val="0"/>
        <w:ind w:left="720" w:hanging="720"/>
        <w:jc w:val="both"/>
        <w:rPr>
          <w:rStyle w:val="Emphasis"/>
        </w:rPr>
      </w:pPr>
    </w:p>
    <w:p w14:paraId="12C363E2" w14:textId="77777777" w:rsidR="001D40C9" w:rsidRPr="00166607" w:rsidRDefault="00815A8B" w:rsidP="006A3216">
      <w:pPr>
        <w:widowControl w:val="0"/>
        <w:autoSpaceDE w:val="0"/>
        <w:autoSpaceDN w:val="0"/>
        <w:adjustRightInd w:val="0"/>
        <w:ind w:left="720" w:hanging="720"/>
        <w:jc w:val="both"/>
        <w:rPr>
          <w:rStyle w:val="Emphasis"/>
          <w:rFonts w:ascii="Times New Roman" w:hAnsi="Times New Roman"/>
          <w:bCs/>
          <w:i w:val="0"/>
        </w:rPr>
      </w:pPr>
      <w:r w:rsidRPr="00166607">
        <w:rPr>
          <w:rStyle w:val="Emphasis"/>
          <w:rFonts w:ascii="Times New Roman" w:hAnsi="Times New Roman"/>
          <w:bCs/>
          <w:i w:val="0"/>
        </w:rPr>
        <w:t>Cowen, Joshua, David Fleming, John Witte, Patrick Wolf, and Brian Kisida. 2012. “Student Attainment and the Milwaukee Parental Choice Program: Final follow-up Analysis.” SCDP Milwaukee Evaluation Report # 30.</w:t>
      </w:r>
    </w:p>
    <w:p w14:paraId="6CDB9C48" w14:textId="77777777" w:rsidR="001D40C9" w:rsidRPr="00166607" w:rsidRDefault="001D40C9" w:rsidP="006A3216">
      <w:pPr>
        <w:widowControl w:val="0"/>
        <w:autoSpaceDE w:val="0"/>
        <w:autoSpaceDN w:val="0"/>
        <w:adjustRightInd w:val="0"/>
        <w:ind w:left="720" w:hanging="720"/>
        <w:jc w:val="both"/>
        <w:rPr>
          <w:rStyle w:val="Emphasis"/>
          <w:rFonts w:ascii="Times New Roman" w:hAnsi="Times New Roman"/>
          <w:bCs/>
          <w:i w:val="0"/>
        </w:rPr>
      </w:pPr>
    </w:p>
    <w:p w14:paraId="4007656D" w14:textId="77777777" w:rsidR="00815A8B" w:rsidRPr="00166607" w:rsidRDefault="001D40C9" w:rsidP="006A3216">
      <w:pPr>
        <w:widowControl w:val="0"/>
        <w:autoSpaceDE w:val="0"/>
        <w:autoSpaceDN w:val="0"/>
        <w:adjustRightInd w:val="0"/>
        <w:ind w:left="720" w:hanging="720"/>
        <w:jc w:val="both"/>
        <w:rPr>
          <w:rStyle w:val="Emphasis"/>
        </w:rPr>
      </w:pPr>
      <w:r w:rsidRPr="00F27DCF">
        <w:rPr>
          <w:rFonts w:ascii="Times New Roman" w:hAnsi="Times New Roman"/>
        </w:rPr>
        <w:lastRenderedPageBreak/>
        <w:t>Cunha, Flavio, James J. Heckman, Lance Lochner and Dimitri</w:t>
      </w:r>
      <w:r w:rsidR="003454CE" w:rsidRPr="00166607">
        <w:rPr>
          <w:rFonts w:ascii="Times New Roman" w:hAnsi="Times New Roman"/>
        </w:rPr>
        <w:t>y</w:t>
      </w:r>
      <w:r w:rsidRPr="00166607">
        <w:rPr>
          <w:rFonts w:ascii="Times New Roman" w:hAnsi="Times New Roman"/>
        </w:rPr>
        <w:t xml:space="preserve"> Masterov. 2006. “Interpreting the evidence on life cycle skill formation,” in </w:t>
      </w:r>
      <w:r w:rsidRPr="00166607">
        <w:rPr>
          <w:rFonts w:ascii="Times New Roman" w:hAnsi="Times New Roman"/>
          <w:i/>
        </w:rPr>
        <w:t>Handbook of Economics of Education</w:t>
      </w:r>
      <w:r w:rsidRPr="00166607">
        <w:rPr>
          <w:rStyle w:val="Emphasis"/>
          <w:rFonts w:ascii="Times New Roman" w:hAnsi="Times New Roman"/>
          <w:bCs/>
          <w:i w:val="0"/>
        </w:rPr>
        <w:t xml:space="preserve"> edited by E</w:t>
      </w:r>
      <w:r w:rsidR="00D94AE3" w:rsidRPr="00166607">
        <w:rPr>
          <w:rStyle w:val="Emphasis"/>
          <w:rFonts w:ascii="Times New Roman" w:hAnsi="Times New Roman"/>
          <w:bCs/>
          <w:i w:val="0"/>
        </w:rPr>
        <w:t>ric A. Hanushek and Finis Welch.</w:t>
      </w:r>
      <w:r w:rsidRPr="00166607">
        <w:rPr>
          <w:rStyle w:val="Emphasis"/>
          <w:rFonts w:ascii="Times New Roman" w:hAnsi="Times New Roman"/>
          <w:bCs/>
          <w:i w:val="0"/>
        </w:rPr>
        <w:t xml:space="preserve"> Amsterdam: North Holland. </w:t>
      </w:r>
    </w:p>
    <w:p w14:paraId="76CAD665" w14:textId="77777777" w:rsidR="00815A8B" w:rsidRPr="00166607" w:rsidRDefault="00815A8B" w:rsidP="006A3216">
      <w:pPr>
        <w:pStyle w:val="EndnoteText"/>
        <w:ind w:left="720" w:hanging="720"/>
        <w:jc w:val="both"/>
        <w:rPr>
          <w:rFonts w:ascii="Times New Roman" w:hAnsi="Times New Roman"/>
        </w:rPr>
      </w:pPr>
    </w:p>
    <w:p w14:paraId="18664ABF" w14:textId="0273A4B6" w:rsidR="00B121AF" w:rsidRPr="00166607" w:rsidRDefault="00815A8B" w:rsidP="006A3216">
      <w:pPr>
        <w:pStyle w:val="EndnoteText"/>
        <w:ind w:left="720" w:hanging="720"/>
        <w:jc w:val="both"/>
        <w:rPr>
          <w:rFonts w:ascii="Times New Roman" w:hAnsi="Times New Roman"/>
        </w:rPr>
      </w:pPr>
      <w:r w:rsidRPr="00166607">
        <w:rPr>
          <w:rFonts w:ascii="Times New Roman" w:hAnsi="Times New Roman"/>
        </w:rPr>
        <w:t xml:space="preserve">Deming, David, Justine Hastings, Thomas Kane, and Doug Staiger. </w:t>
      </w:r>
      <w:r w:rsidR="00E56F90" w:rsidRPr="00166607">
        <w:rPr>
          <w:rFonts w:ascii="Times New Roman" w:hAnsi="Times New Roman"/>
        </w:rPr>
        <w:t>Forthcoming</w:t>
      </w:r>
      <w:r w:rsidRPr="00166607">
        <w:rPr>
          <w:rFonts w:ascii="Times New Roman" w:hAnsi="Times New Roman"/>
        </w:rPr>
        <w:t xml:space="preserve">. “School Choice, School Quality and Postsecondary Attainment.” </w:t>
      </w:r>
      <w:r w:rsidR="00E56F90" w:rsidRPr="00166607">
        <w:rPr>
          <w:rFonts w:ascii="Times New Roman" w:hAnsi="Times New Roman"/>
          <w:i/>
        </w:rPr>
        <w:t>American Economic Review.</w:t>
      </w:r>
    </w:p>
    <w:p w14:paraId="4D860776" w14:textId="77777777" w:rsidR="005903DF" w:rsidRPr="00166607" w:rsidRDefault="005903DF" w:rsidP="006A3216">
      <w:pPr>
        <w:pStyle w:val="EndnoteText"/>
        <w:ind w:left="720" w:hanging="720"/>
        <w:jc w:val="both"/>
        <w:rPr>
          <w:rFonts w:ascii="Times New Roman" w:hAnsi="Times New Roman"/>
          <w:i/>
        </w:rPr>
      </w:pPr>
    </w:p>
    <w:p w14:paraId="29D9229E" w14:textId="77777777" w:rsidR="00815A8B" w:rsidRPr="00166607" w:rsidRDefault="005903DF" w:rsidP="006A3216">
      <w:pPr>
        <w:pStyle w:val="EndnoteText"/>
        <w:ind w:left="720" w:hanging="720"/>
        <w:jc w:val="both"/>
        <w:rPr>
          <w:rFonts w:ascii="Times New Roman" w:hAnsi="Times New Roman"/>
          <w:i/>
        </w:rPr>
      </w:pPr>
      <w:r w:rsidRPr="00166607">
        <w:rPr>
          <w:rFonts w:ascii="Times New Roman" w:hAnsi="Times New Roman"/>
        </w:rPr>
        <w:t xml:space="preserve">Dynarski, Susan. 2000. “Hope for whom? Financial aid for the middle class and its impact on college attendance.” </w:t>
      </w:r>
      <w:r w:rsidRPr="00166607">
        <w:rPr>
          <w:rFonts w:ascii="Times New Roman" w:hAnsi="Times New Roman"/>
          <w:i/>
        </w:rPr>
        <w:t xml:space="preserve">National Tax Journal </w:t>
      </w:r>
      <w:r w:rsidRPr="00166607">
        <w:rPr>
          <w:rFonts w:ascii="Times New Roman" w:hAnsi="Times New Roman"/>
        </w:rPr>
        <w:t xml:space="preserve">53(3): 629-661. </w:t>
      </w:r>
      <w:r w:rsidR="00E56F90" w:rsidRPr="00166607">
        <w:rPr>
          <w:rFonts w:ascii="Times New Roman" w:hAnsi="Times New Roman"/>
          <w:i/>
        </w:rPr>
        <w:t xml:space="preserve"> </w:t>
      </w:r>
    </w:p>
    <w:p w14:paraId="0A11DEB2" w14:textId="77777777" w:rsidR="00815A8B" w:rsidRPr="00166607" w:rsidRDefault="00815A8B" w:rsidP="006A3216">
      <w:pPr>
        <w:pStyle w:val="EndnoteText"/>
        <w:jc w:val="both"/>
        <w:rPr>
          <w:rFonts w:ascii="Times New Roman" w:hAnsi="Times New Roman"/>
        </w:rPr>
      </w:pPr>
    </w:p>
    <w:p w14:paraId="6A98F73A" w14:textId="77777777" w:rsidR="001B0BFD" w:rsidRPr="00166607" w:rsidRDefault="00815A8B" w:rsidP="006A3216">
      <w:pPr>
        <w:pStyle w:val="EndnoteText"/>
        <w:ind w:left="720" w:hanging="720"/>
        <w:jc w:val="both"/>
        <w:rPr>
          <w:rFonts w:ascii="Times New Roman" w:hAnsi="Times New Roman"/>
        </w:rPr>
      </w:pPr>
      <w:r w:rsidRPr="00166607">
        <w:rPr>
          <w:rFonts w:ascii="Times New Roman" w:hAnsi="Times New Roman"/>
        </w:rPr>
        <w:t>Dynarski, Susan, Joshua Hyman, and Diane Schanzenbach. 2011. “Experimental Evidence on the Effects of Childhood Investments on Postsecondary Attainment and Degree Completion.” Mimeo University of Michigan.</w:t>
      </w:r>
    </w:p>
    <w:p w14:paraId="09515E7D" w14:textId="77777777" w:rsidR="00685F7E" w:rsidRPr="00166607" w:rsidRDefault="00685F7E" w:rsidP="006A3216">
      <w:pPr>
        <w:pStyle w:val="EndnoteText"/>
        <w:ind w:left="720" w:hanging="720"/>
        <w:jc w:val="both"/>
        <w:rPr>
          <w:rFonts w:ascii="Times New Roman" w:hAnsi="Times New Roman"/>
        </w:rPr>
      </w:pPr>
    </w:p>
    <w:p w14:paraId="50351763" w14:textId="7FA157E3" w:rsidR="00A61ED7" w:rsidRPr="00F27DCF" w:rsidRDefault="00685F7E" w:rsidP="006A3216">
      <w:pPr>
        <w:pStyle w:val="EndnoteText"/>
        <w:ind w:left="720" w:hanging="720"/>
        <w:jc w:val="both"/>
        <w:rPr>
          <w:rFonts w:ascii="Times New Roman" w:hAnsi="Times New Roman"/>
        </w:rPr>
      </w:pPr>
      <w:r w:rsidRPr="00166607">
        <w:rPr>
          <w:rFonts w:ascii="Times New Roman" w:hAnsi="Times New Roman"/>
        </w:rPr>
        <w:t xml:space="preserve">Duflo, Esther, Pascaline Dupas and Michael Kremer. </w:t>
      </w:r>
      <w:r w:rsidR="00493CCE" w:rsidRPr="00166607">
        <w:rPr>
          <w:rFonts w:ascii="Times New Roman" w:hAnsi="Times New Roman"/>
        </w:rPr>
        <w:t>2015</w:t>
      </w:r>
      <w:r w:rsidRPr="00166607">
        <w:rPr>
          <w:rFonts w:ascii="Times New Roman" w:hAnsi="Times New Roman"/>
        </w:rPr>
        <w:t xml:space="preserve">. “Education, HIV and early fertility: Experimental evidence from Kenya.” </w:t>
      </w:r>
      <w:r w:rsidR="00493CCE" w:rsidRPr="00F27DCF">
        <w:rPr>
          <w:rFonts w:ascii="Times New Roman" w:hAnsi="Times New Roman"/>
        </w:rPr>
        <w:t>American Economic Review, American Economic Association, vol. 105(9), pages 2757-97, September</w:t>
      </w:r>
      <w:r w:rsidRPr="00F27DCF">
        <w:rPr>
          <w:rFonts w:ascii="Times New Roman" w:hAnsi="Times New Roman"/>
        </w:rPr>
        <w:t>.</w:t>
      </w:r>
    </w:p>
    <w:p w14:paraId="3B526E02" w14:textId="77777777" w:rsidR="00A61ED7" w:rsidRPr="00F27DCF" w:rsidRDefault="00A61ED7" w:rsidP="006A3216">
      <w:pPr>
        <w:pStyle w:val="EndnoteText"/>
        <w:ind w:left="720" w:hanging="720"/>
        <w:jc w:val="both"/>
        <w:rPr>
          <w:rFonts w:ascii="Times New Roman" w:hAnsi="Times New Roman"/>
        </w:rPr>
      </w:pPr>
    </w:p>
    <w:p w14:paraId="11A2A2E7" w14:textId="41A8B621" w:rsidR="00685F7E" w:rsidRPr="00166607" w:rsidRDefault="00A61ED7" w:rsidP="006A3216">
      <w:pPr>
        <w:pStyle w:val="EndnoteText"/>
        <w:ind w:left="720" w:hanging="720"/>
        <w:jc w:val="both"/>
        <w:rPr>
          <w:rFonts w:ascii="Times New Roman" w:hAnsi="Times New Roman"/>
        </w:rPr>
      </w:pPr>
      <w:r w:rsidRPr="00F27DCF">
        <w:rPr>
          <w:rFonts w:ascii="Times New Roman" w:hAnsi="Times New Roman"/>
        </w:rPr>
        <w:t xml:space="preserve">Encuesta Nacional de Calidad de Vida. 2010. </w:t>
      </w:r>
      <w:r w:rsidRPr="00166607">
        <w:rPr>
          <w:rFonts w:ascii="Times New Roman" w:hAnsi="Times New Roman"/>
        </w:rPr>
        <w:t xml:space="preserve">Data source available at: </w:t>
      </w:r>
      <w:hyperlink r:id="rId18" w:history="1">
        <w:r w:rsidRPr="00166607">
          <w:rPr>
            <w:rStyle w:val="Hyperlink"/>
            <w:rFonts w:ascii="Times New Roman" w:hAnsi="Times New Roman"/>
          </w:rPr>
          <w:t>http://190.25.231.249/metadatos/index.php/catalog</w:t>
        </w:r>
      </w:hyperlink>
      <w:r w:rsidRPr="00166607">
        <w:rPr>
          <w:rFonts w:ascii="Times New Roman" w:hAnsi="Times New Roman"/>
        </w:rPr>
        <w:t xml:space="preserve">. Retrieved on March 25, 2014. </w:t>
      </w:r>
      <w:r w:rsidR="00685F7E" w:rsidRPr="00166607">
        <w:rPr>
          <w:rFonts w:ascii="Times New Roman" w:hAnsi="Times New Roman"/>
        </w:rPr>
        <w:t xml:space="preserve"> </w:t>
      </w:r>
    </w:p>
    <w:p w14:paraId="275021F4" w14:textId="77777777" w:rsidR="001B0BFD" w:rsidRPr="008233C3" w:rsidRDefault="001B0BFD" w:rsidP="006A3216">
      <w:pPr>
        <w:pStyle w:val="EndnoteText"/>
        <w:ind w:left="720" w:hanging="720"/>
        <w:jc w:val="both"/>
        <w:rPr>
          <w:rFonts w:ascii="Times New Roman" w:hAnsi="Times New Roman"/>
        </w:rPr>
      </w:pPr>
    </w:p>
    <w:p w14:paraId="483363A8" w14:textId="77777777" w:rsidR="00815A8B" w:rsidRPr="00F27DCF" w:rsidRDefault="001B0BFD" w:rsidP="006A3216">
      <w:pPr>
        <w:pStyle w:val="EndnoteText"/>
        <w:ind w:left="720" w:hanging="720"/>
        <w:jc w:val="both"/>
        <w:rPr>
          <w:rFonts w:ascii="Times New Roman" w:hAnsi="Times New Roman"/>
        </w:rPr>
      </w:pPr>
      <w:r w:rsidRPr="00166607">
        <w:rPr>
          <w:rFonts w:ascii="Times New Roman" w:hAnsi="Times New Roman"/>
        </w:rPr>
        <w:t xml:space="preserve">Epple, Dennis and Richard Romano. 1998. “Competition between private and public schools, vouchers and peer-group effects.” </w:t>
      </w:r>
      <w:r w:rsidRPr="00F27DCF">
        <w:rPr>
          <w:rFonts w:ascii="Times New Roman" w:hAnsi="Times New Roman"/>
          <w:i/>
        </w:rPr>
        <w:t xml:space="preserve">American Economic Review </w:t>
      </w:r>
      <w:r w:rsidRPr="00F27DCF">
        <w:rPr>
          <w:rFonts w:ascii="Times New Roman" w:hAnsi="Times New Roman"/>
        </w:rPr>
        <w:t>88(1): 33-62.</w:t>
      </w:r>
      <w:r w:rsidR="00815A8B" w:rsidRPr="00F27DCF">
        <w:rPr>
          <w:rFonts w:ascii="Times New Roman" w:hAnsi="Times New Roman"/>
        </w:rPr>
        <w:t xml:space="preserve"> </w:t>
      </w:r>
    </w:p>
    <w:p w14:paraId="5D7C8AD8" w14:textId="77777777" w:rsidR="006F66ED" w:rsidRPr="00F27DCF" w:rsidRDefault="006F66ED" w:rsidP="006A3216">
      <w:pPr>
        <w:pStyle w:val="EndnoteText"/>
        <w:ind w:left="720" w:hanging="720"/>
        <w:jc w:val="both"/>
        <w:rPr>
          <w:rFonts w:ascii="Times New Roman" w:hAnsi="Times New Roman"/>
        </w:rPr>
      </w:pPr>
    </w:p>
    <w:p w14:paraId="6BE0F357" w14:textId="2A9723A7" w:rsidR="0080559A" w:rsidRPr="00F27DCF" w:rsidRDefault="0080559A" w:rsidP="006A3216">
      <w:pPr>
        <w:pStyle w:val="EndnoteText"/>
        <w:ind w:left="720" w:hanging="720"/>
        <w:jc w:val="both"/>
        <w:rPr>
          <w:rFonts w:ascii="Times New Roman" w:hAnsi="Times New Roman"/>
        </w:rPr>
      </w:pPr>
      <w:r w:rsidRPr="00F27DCF">
        <w:rPr>
          <w:rFonts w:ascii="Times New Roman" w:hAnsi="Times New Roman"/>
        </w:rPr>
        <w:t>Guarín, Arlen</w:t>
      </w:r>
      <w:r w:rsidR="005F30EA" w:rsidRPr="00F27DCF">
        <w:rPr>
          <w:rFonts w:ascii="Times New Roman" w:hAnsi="Times New Roman"/>
        </w:rPr>
        <w:t>,</w:t>
      </w:r>
      <w:r w:rsidR="00493CCE" w:rsidRPr="00F27DCF">
        <w:rPr>
          <w:rFonts w:ascii="Times New Roman" w:hAnsi="Times New Roman"/>
        </w:rPr>
        <w:t xml:space="preserve"> </w:t>
      </w:r>
      <w:r w:rsidR="005F30EA" w:rsidRPr="00F27DCF">
        <w:rPr>
          <w:rFonts w:ascii="Times New Roman" w:hAnsi="Times New Roman"/>
        </w:rPr>
        <w:t xml:space="preserve">Carlos Medina </w:t>
      </w:r>
      <w:r w:rsidRPr="00F27DCF">
        <w:rPr>
          <w:rFonts w:ascii="Times New Roman" w:hAnsi="Times New Roman"/>
        </w:rPr>
        <w:t xml:space="preserve">and </w:t>
      </w:r>
      <w:r w:rsidR="005F30EA" w:rsidRPr="00F27DCF">
        <w:rPr>
          <w:rFonts w:ascii="Times New Roman" w:hAnsi="Times New Roman"/>
        </w:rPr>
        <w:t xml:space="preserve">Christian Posso </w:t>
      </w:r>
      <w:r w:rsidRPr="00F27DCF">
        <w:rPr>
          <w:rFonts w:ascii="Times New Roman" w:hAnsi="Times New Roman"/>
        </w:rPr>
        <w:t>(2016) “Calidad y Cobertura de la Educación Pública y Privada en Colombia, y sus Costos Ocultos” mimeo.</w:t>
      </w:r>
    </w:p>
    <w:p w14:paraId="63FA3295" w14:textId="77777777" w:rsidR="0080559A" w:rsidRPr="00F27DCF" w:rsidRDefault="0080559A" w:rsidP="006A3216">
      <w:pPr>
        <w:pStyle w:val="EndnoteText"/>
        <w:ind w:left="720" w:hanging="720"/>
        <w:jc w:val="both"/>
        <w:rPr>
          <w:rFonts w:ascii="Times New Roman" w:hAnsi="Times New Roman"/>
        </w:rPr>
      </w:pPr>
    </w:p>
    <w:p w14:paraId="0DE755F7" w14:textId="2FE44A11" w:rsidR="006F66ED" w:rsidRPr="00F27DCF" w:rsidRDefault="006F66ED" w:rsidP="006A3216">
      <w:pPr>
        <w:pStyle w:val="EndnoteText"/>
        <w:ind w:left="720" w:hanging="720"/>
        <w:jc w:val="both"/>
        <w:rPr>
          <w:rFonts w:ascii="Times New Roman" w:hAnsi="Times New Roman"/>
        </w:rPr>
      </w:pPr>
      <w:r w:rsidRPr="00F27DCF">
        <w:rPr>
          <w:rFonts w:ascii="Times New Roman" w:hAnsi="Times New Roman"/>
        </w:rPr>
        <w:t>Gutié</w:t>
      </w:r>
      <w:r w:rsidR="006E377D" w:rsidRPr="00F27DCF">
        <w:rPr>
          <w:rFonts w:ascii="Times New Roman" w:hAnsi="Times New Roman"/>
        </w:rPr>
        <w:t xml:space="preserve">rrez, Catalina, </w:t>
      </w:r>
      <w:r w:rsidRPr="00F27DCF">
        <w:rPr>
          <w:rFonts w:ascii="Times New Roman" w:hAnsi="Times New Roman"/>
        </w:rPr>
        <w:t>O</w:t>
      </w:r>
      <w:r w:rsidR="006E377D" w:rsidRPr="00F27DCF">
        <w:rPr>
          <w:rFonts w:ascii="Times New Roman" w:hAnsi="Times New Roman"/>
        </w:rPr>
        <w:t>lga Lucía Acosta and Eduardo Alfonso. 2013. “Financiación del sistema de salud: retos y perspectivas.”</w:t>
      </w:r>
      <w:r w:rsidR="00B20994" w:rsidRPr="00F27DCF">
        <w:rPr>
          <w:rFonts w:ascii="Times New Roman" w:hAnsi="Times New Roman"/>
        </w:rPr>
        <w:t xml:space="preserve"> </w:t>
      </w:r>
      <w:r w:rsidR="00B20994" w:rsidRPr="00F27DCF">
        <w:rPr>
          <w:rFonts w:ascii="Times New Roman" w:hAnsi="Times New Roman"/>
          <w:i/>
        </w:rPr>
        <w:t xml:space="preserve">Notas de Política </w:t>
      </w:r>
      <w:r w:rsidR="00B20994" w:rsidRPr="00F27DCF">
        <w:rPr>
          <w:rFonts w:ascii="Times New Roman" w:hAnsi="Times New Roman"/>
        </w:rPr>
        <w:t xml:space="preserve">13 (April), Bogotá: Universidad de los Andes. </w:t>
      </w:r>
    </w:p>
    <w:p w14:paraId="768311F3" w14:textId="77777777" w:rsidR="00815A8B" w:rsidRPr="00F27DCF" w:rsidRDefault="00815A8B" w:rsidP="006A3216">
      <w:pPr>
        <w:widowControl w:val="0"/>
        <w:autoSpaceDE w:val="0"/>
        <w:autoSpaceDN w:val="0"/>
        <w:adjustRightInd w:val="0"/>
        <w:jc w:val="both"/>
        <w:rPr>
          <w:rFonts w:ascii="Times New Roman" w:hAnsi="Times New Roman"/>
        </w:rPr>
      </w:pPr>
    </w:p>
    <w:p w14:paraId="1D548307" w14:textId="77777777" w:rsidR="00815A8B" w:rsidRPr="00166607" w:rsidRDefault="00815A8B" w:rsidP="006A3216">
      <w:pPr>
        <w:pStyle w:val="NoSpacing"/>
        <w:ind w:left="706" w:hanging="706"/>
        <w:jc w:val="both"/>
        <w:rPr>
          <w:rFonts w:ascii="Times New Roman" w:eastAsiaTheme="minorEastAsia" w:hAnsi="Times New Roman" w:cs="Times New Roman"/>
          <w:sz w:val="24"/>
          <w:szCs w:val="24"/>
          <w:lang w:val="en-US"/>
        </w:rPr>
      </w:pPr>
      <w:r w:rsidRPr="00F27DCF">
        <w:rPr>
          <w:rFonts w:ascii="Times New Roman" w:eastAsiaTheme="minorEastAsia" w:hAnsi="Times New Roman" w:cs="Times New Roman"/>
          <w:sz w:val="24"/>
          <w:szCs w:val="24"/>
          <w:lang w:val="en-US"/>
        </w:rPr>
        <w:t xml:space="preserve">Heckman, James. </w:t>
      </w:r>
      <w:r w:rsidRPr="00166607">
        <w:rPr>
          <w:rFonts w:ascii="Times New Roman" w:eastAsiaTheme="minorEastAsia" w:hAnsi="Times New Roman" w:cs="Times New Roman"/>
          <w:sz w:val="24"/>
          <w:szCs w:val="24"/>
          <w:lang w:val="en-US"/>
        </w:rPr>
        <w:t xml:space="preserve">2008. "Schools, Skills, and Synapses." </w:t>
      </w:r>
      <w:r w:rsidRPr="00166607">
        <w:rPr>
          <w:rFonts w:ascii="Times New Roman" w:eastAsiaTheme="minorEastAsia" w:hAnsi="Times New Roman" w:cs="Times New Roman"/>
          <w:i/>
          <w:sz w:val="24"/>
          <w:szCs w:val="24"/>
          <w:lang w:val="en-US"/>
        </w:rPr>
        <w:t>Economic Inquiry</w:t>
      </w:r>
      <w:r w:rsidRPr="00166607">
        <w:rPr>
          <w:rFonts w:ascii="Times New Roman" w:eastAsiaTheme="minorEastAsia" w:hAnsi="Times New Roman" w:cs="Times New Roman"/>
          <w:sz w:val="24"/>
          <w:szCs w:val="24"/>
          <w:lang w:val="en-US"/>
        </w:rPr>
        <w:t xml:space="preserve"> 46 (3): 289-324. </w:t>
      </w:r>
    </w:p>
    <w:p w14:paraId="4E335ED0" w14:textId="77777777" w:rsidR="00815A8B" w:rsidRPr="008233C3" w:rsidRDefault="00815A8B" w:rsidP="006A3216">
      <w:pPr>
        <w:pStyle w:val="NoSpacing"/>
        <w:ind w:left="706" w:hanging="706"/>
        <w:jc w:val="both"/>
        <w:rPr>
          <w:rFonts w:ascii="Times New Roman" w:eastAsiaTheme="minorEastAsia" w:hAnsi="Times New Roman" w:cs="Times New Roman"/>
          <w:sz w:val="24"/>
          <w:szCs w:val="24"/>
          <w:lang w:val="en-US"/>
        </w:rPr>
      </w:pPr>
    </w:p>
    <w:p w14:paraId="23C91F0A" w14:textId="77777777" w:rsidR="00815A8B" w:rsidRPr="00166607" w:rsidRDefault="00815A8B" w:rsidP="006A3216">
      <w:pPr>
        <w:widowControl w:val="0"/>
        <w:autoSpaceDE w:val="0"/>
        <w:autoSpaceDN w:val="0"/>
        <w:adjustRightInd w:val="0"/>
        <w:ind w:left="720" w:hanging="720"/>
        <w:jc w:val="both"/>
        <w:rPr>
          <w:rFonts w:ascii="Times New Roman" w:eastAsiaTheme="minorEastAsia" w:hAnsi="Times New Roman"/>
        </w:rPr>
      </w:pPr>
      <w:r w:rsidRPr="00166607">
        <w:rPr>
          <w:rFonts w:ascii="Times New Roman" w:eastAsiaTheme="minorEastAsia" w:hAnsi="Times New Roman"/>
        </w:rPr>
        <w:t xml:space="preserve">Heckman, James and </w:t>
      </w:r>
      <w:r w:rsidR="003454CE" w:rsidRPr="00166607">
        <w:rPr>
          <w:rFonts w:ascii="Times New Roman" w:eastAsiaTheme="minorEastAsia" w:hAnsi="Times New Roman"/>
        </w:rPr>
        <w:t xml:space="preserve">Dimitriy </w:t>
      </w:r>
      <w:r w:rsidRPr="00166607">
        <w:rPr>
          <w:rFonts w:ascii="Times New Roman" w:eastAsiaTheme="minorEastAsia" w:hAnsi="Times New Roman"/>
        </w:rPr>
        <w:t>Masterov</w:t>
      </w:r>
      <w:r w:rsidR="003454CE" w:rsidRPr="00166607">
        <w:rPr>
          <w:rFonts w:ascii="Times New Roman" w:eastAsiaTheme="minorEastAsia" w:hAnsi="Times New Roman"/>
        </w:rPr>
        <w:t>.</w:t>
      </w:r>
      <w:r w:rsidRPr="00166607">
        <w:rPr>
          <w:rFonts w:ascii="Times New Roman" w:eastAsiaTheme="minorEastAsia" w:hAnsi="Times New Roman"/>
        </w:rPr>
        <w:t xml:space="preserve"> 2007. "The Productivity Argument for Investing in Young Children." </w:t>
      </w:r>
      <w:r w:rsidRPr="00166607">
        <w:rPr>
          <w:rFonts w:ascii="Times New Roman" w:eastAsiaTheme="minorEastAsia" w:hAnsi="Times New Roman"/>
          <w:i/>
        </w:rPr>
        <w:t>Review of Agricultural Economics</w:t>
      </w:r>
      <w:r w:rsidRPr="00166607">
        <w:rPr>
          <w:rFonts w:ascii="Times New Roman" w:eastAsiaTheme="minorEastAsia" w:hAnsi="Times New Roman"/>
        </w:rPr>
        <w:t xml:space="preserve"> 29 (3): 446-493.</w:t>
      </w:r>
    </w:p>
    <w:p w14:paraId="75B8956D" w14:textId="77777777" w:rsidR="004012AD" w:rsidRPr="00166607" w:rsidRDefault="004012AD" w:rsidP="006A3216">
      <w:pPr>
        <w:widowControl w:val="0"/>
        <w:autoSpaceDE w:val="0"/>
        <w:autoSpaceDN w:val="0"/>
        <w:adjustRightInd w:val="0"/>
        <w:ind w:left="720" w:hanging="720"/>
        <w:jc w:val="both"/>
        <w:rPr>
          <w:rFonts w:ascii="Times New Roman" w:hAnsi="Times New Roman"/>
        </w:rPr>
      </w:pPr>
    </w:p>
    <w:p w14:paraId="45496BC9" w14:textId="77777777" w:rsidR="00EF2072" w:rsidRPr="00166607" w:rsidRDefault="004012AD"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Hendren, Nathaniel. </w:t>
      </w:r>
      <w:r w:rsidR="00007A9D" w:rsidRPr="00166607">
        <w:rPr>
          <w:rFonts w:ascii="Times New Roman" w:hAnsi="Times New Roman"/>
        </w:rPr>
        <w:t>2013</w:t>
      </w:r>
      <w:r w:rsidRPr="00166607">
        <w:rPr>
          <w:rFonts w:ascii="Times New Roman" w:hAnsi="Times New Roman"/>
        </w:rPr>
        <w:t xml:space="preserve">. </w:t>
      </w:r>
      <w:r w:rsidR="00EF2072" w:rsidRPr="00166607">
        <w:rPr>
          <w:rFonts w:ascii="Times New Roman" w:hAnsi="Times New Roman"/>
        </w:rPr>
        <w:t>“The Policy E</w:t>
      </w:r>
      <w:r w:rsidR="00427CBE" w:rsidRPr="00166607">
        <w:rPr>
          <w:rFonts w:ascii="Times New Roman" w:hAnsi="Times New Roman"/>
        </w:rPr>
        <w:t>lasticity.” Unpublished manuscript, Harvard University.</w:t>
      </w:r>
    </w:p>
    <w:p w14:paraId="2CB8DB28" w14:textId="77777777" w:rsidR="00EF2072" w:rsidRPr="00166607" w:rsidRDefault="00EF2072" w:rsidP="006A3216">
      <w:pPr>
        <w:widowControl w:val="0"/>
        <w:autoSpaceDE w:val="0"/>
        <w:autoSpaceDN w:val="0"/>
        <w:adjustRightInd w:val="0"/>
        <w:ind w:left="720" w:hanging="720"/>
        <w:jc w:val="both"/>
        <w:rPr>
          <w:rFonts w:ascii="Times New Roman" w:hAnsi="Times New Roman"/>
        </w:rPr>
      </w:pPr>
    </w:p>
    <w:p w14:paraId="1D0F4AA2" w14:textId="77777777" w:rsidR="00641CC8" w:rsidRPr="00166607" w:rsidRDefault="00EF2072"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Hoffman, Saul. 2006. “By the numbers: The Public Costs of Teen Childbearing.” Washington D.C.: The National Campaign to Prevent Teen Pregnancy.</w:t>
      </w:r>
    </w:p>
    <w:p w14:paraId="3868B1EF" w14:textId="77777777" w:rsidR="00641CC8" w:rsidRPr="00166607" w:rsidRDefault="00641CC8" w:rsidP="006A3216">
      <w:pPr>
        <w:widowControl w:val="0"/>
        <w:autoSpaceDE w:val="0"/>
        <w:autoSpaceDN w:val="0"/>
        <w:adjustRightInd w:val="0"/>
        <w:ind w:left="720" w:hanging="720"/>
        <w:jc w:val="both"/>
        <w:rPr>
          <w:rFonts w:ascii="Times New Roman" w:hAnsi="Times New Roman"/>
        </w:rPr>
      </w:pPr>
    </w:p>
    <w:p w14:paraId="4ABC5EE7" w14:textId="09122FD6" w:rsidR="004012AD" w:rsidRPr="00166607" w:rsidRDefault="00641CC8"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Hoxby, Caroline. 2003. “School choice and school competition: evidence from the United States.” </w:t>
      </w:r>
      <w:r w:rsidRPr="00166607">
        <w:rPr>
          <w:rFonts w:ascii="Times New Roman" w:hAnsi="Times New Roman"/>
          <w:i/>
        </w:rPr>
        <w:t>Swedish Economic Policy Review</w:t>
      </w:r>
      <w:r w:rsidRPr="00166607">
        <w:rPr>
          <w:rFonts w:ascii="Times New Roman" w:hAnsi="Times New Roman"/>
        </w:rPr>
        <w:t>, 10: 9–65.</w:t>
      </w:r>
      <w:r w:rsidR="00427CBE" w:rsidRPr="00166607">
        <w:rPr>
          <w:rFonts w:ascii="Times New Roman" w:hAnsi="Times New Roman"/>
        </w:rPr>
        <w:t xml:space="preserve"> </w:t>
      </w:r>
    </w:p>
    <w:p w14:paraId="3791A7CC" w14:textId="77777777" w:rsidR="00815A8B" w:rsidRPr="00166607" w:rsidRDefault="00815A8B" w:rsidP="006A3216">
      <w:pPr>
        <w:widowControl w:val="0"/>
        <w:autoSpaceDE w:val="0"/>
        <w:autoSpaceDN w:val="0"/>
        <w:adjustRightInd w:val="0"/>
        <w:ind w:left="720" w:hanging="720"/>
        <w:jc w:val="both"/>
        <w:rPr>
          <w:rFonts w:ascii="Times New Roman" w:hAnsi="Times New Roman"/>
        </w:rPr>
      </w:pPr>
    </w:p>
    <w:p w14:paraId="69DF1BD1" w14:textId="77777777" w:rsidR="00815A8B" w:rsidRPr="00166607" w:rsidRDefault="00815A8B" w:rsidP="006A3216">
      <w:pPr>
        <w:widowControl w:val="0"/>
        <w:autoSpaceDE w:val="0"/>
        <w:autoSpaceDN w:val="0"/>
        <w:adjustRightInd w:val="0"/>
        <w:ind w:left="720" w:hanging="720"/>
        <w:jc w:val="both"/>
        <w:rPr>
          <w:rFonts w:ascii="Times New Roman" w:eastAsia="Times New Roman" w:hAnsi="Times New Roman"/>
        </w:rPr>
      </w:pPr>
      <w:r w:rsidRPr="00166607">
        <w:rPr>
          <w:rFonts w:ascii="Times New Roman" w:hAnsi="Times New Roman"/>
        </w:rPr>
        <w:t xml:space="preserve">Hsieh, Chang-Tai and Miguel Urquiola. 2006. “The Effects of Generalized School Choice on </w:t>
      </w:r>
      <w:r w:rsidRPr="00166607">
        <w:rPr>
          <w:rFonts w:ascii="Times New Roman" w:hAnsi="Times New Roman"/>
        </w:rPr>
        <w:lastRenderedPageBreak/>
        <w:t xml:space="preserve">Achievement and Stratification: Evidence from Chile’s School Voucher Program.” </w:t>
      </w:r>
      <w:r w:rsidRPr="00166607">
        <w:rPr>
          <w:rFonts w:ascii="Times New Roman" w:hAnsi="Times New Roman"/>
          <w:i/>
        </w:rPr>
        <w:t>Journal of Public Economics</w:t>
      </w:r>
      <w:r w:rsidRPr="00166607">
        <w:rPr>
          <w:rFonts w:ascii="Times New Roman" w:hAnsi="Times New Roman"/>
        </w:rPr>
        <w:t xml:space="preserve"> </w:t>
      </w:r>
      <w:r w:rsidRPr="00166607">
        <w:rPr>
          <w:rFonts w:ascii="Times New Roman" w:eastAsia="Times New Roman" w:hAnsi="Times New Roman"/>
        </w:rPr>
        <w:t>90: 1477-1503.</w:t>
      </w:r>
    </w:p>
    <w:p w14:paraId="55BF3530" w14:textId="77777777" w:rsidR="00C520DB" w:rsidRPr="00166607" w:rsidRDefault="00C520DB" w:rsidP="006A3216">
      <w:pPr>
        <w:widowControl w:val="0"/>
        <w:autoSpaceDE w:val="0"/>
        <w:autoSpaceDN w:val="0"/>
        <w:adjustRightInd w:val="0"/>
        <w:ind w:left="720" w:hanging="720"/>
        <w:jc w:val="both"/>
        <w:rPr>
          <w:rFonts w:ascii="Times New Roman" w:eastAsia="Times New Roman" w:hAnsi="Times New Roman"/>
        </w:rPr>
      </w:pPr>
    </w:p>
    <w:p w14:paraId="60A561AC" w14:textId="1D52C5A6" w:rsidR="00C520DB" w:rsidRPr="00166607" w:rsidRDefault="00C520DB" w:rsidP="006A3216">
      <w:pPr>
        <w:widowControl w:val="0"/>
        <w:autoSpaceDE w:val="0"/>
        <w:autoSpaceDN w:val="0"/>
        <w:adjustRightInd w:val="0"/>
        <w:ind w:left="720" w:hanging="720"/>
        <w:jc w:val="both"/>
        <w:rPr>
          <w:rFonts w:ascii="Times New Roman" w:eastAsia="Times New Roman" w:hAnsi="Times New Roman"/>
          <w:i/>
        </w:rPr>
      </w:pPr>
      <w:r w:rsidRPr="00166607">
        <w:rPr>
          <w:rFonts w:ascii="Times New Roman" w:eastAsia="Times New Roman" w:hAnsi="Times New Roman"/>
        </w:rPr>
        <w:t xml:space="preserve">ICETEX. 2014. </w:t>
      </w:r>
      <w:r w:rsidRPr="00166607">
        <w:rPr>
          <w:rFonts w:ascii="Times New Roman" w:eastAsia="Times New Roman" w:hAnsi="Times New Roman"/>
          <w:i/>
        </w:rPr>
        <w:t>Subsidio y sostenimiento</w:t>
      </w:r>
      <w:r w:rsidR="00F300B0" w:rsidRPr="00166607">
        <w:rPr>
          <w:rFonts w:ascii="Times New Roman" w:eastAsia="Times New Roman" w:hAnsi="Times New Roman"/>
          <w:i/>
        </w:rPr>
        <w:t>,</w:t>
      </w:r>
      <w:r w:rsidR="00F300B0" w:rsidRPr="00166607">
        <w:t xml:space="preserve"> </w:t>
      </w:r>
      <w:r w:rsidR="00F300B0" w:rsidRPr="00166607">
        <w:rPr>
          <w:rFonts w:ascii="Times New Roman" w:eastAsia="Times New Roman" w:hAnsi="Times New Roman"/>
        </w:rPr>
        <w:t>http://www.icetex.gov.co/dnnpro5/es-co/cr%C3%A9ditoeducativo/estudiost%C3%A9cnicostecnol%C3%B3gicosyuniversitarios/largoplazoacces.aspx</w:t>
      </w:r>
      <w:r w:rsidRPr="00166607">
        <w:rPr>
          <w:rFonts w:ascii="Times New Roman" w:hAnsi="Times New Roman"/>
          <w:color w:val="000000"/>
        </w:rPr>
        <w:t xml:space="preserve">. Retrieved </w:t>
      </w:r>
      <w:r w:rsidR="00F300B0" w:rsidRPr="00166607">
        <w:rPr>
          <w:rFonts w:ascii="Times New Roman" w:hAnsi="Times New Roman"/>
          <w:color w:val="000000"/>
        </w:rPr>
        <w:t>October</w:t>
      </w:r>
      <w:r w:rsidRPr="00166607">
        <w:rPr>
          <w:rFonts w:ascii="Times New Roman" w:hAnsi="Times New Roman"/>
          <w:color w:val="000000"/>
        </w:rPr>
        <w:t xml:space="preserve"> </w:t>
      </w:r>
      <w:r w:rsidR="00F300B0" w:rsidRPr="00166607">
        <w:rPr>
          <w:rFonts w:ascii="Times New Roman" w:hAnsi="Times New Roman"/>
          <w:color w:val="000000"/>
        </w:rPr>
        <w:t>17</w:t>
      </w:r>
      <w:r w:rsidRPr="00166607">
        <w:rPr>
          <w:rFonts w:ascii="Times New Roman" w:hAnsi="Times New Roman"/>
          <w:color w:val="000000"/>
        </w:rPr>
        <w:t xml:space="preserve">, 2014. </w:t>
      </w:r>
    </w:p>
    <w:p w14:paraId="2F3B118B" w14:textId="77777777" w:rsidR="00060FB6" w:rsidRPr="00166607" w:rsidRDefault="00060FB6" w:rsidP="006A3216">
      <w:pPr>
        <w:widowControl w:val="0"/>
        <w:autoSpaceDE w:val="0"/>
        <w:autoSpaceDN w:val="0"/>
        <w:adjustRightInd w:val="0"/>
        <w:ind w:left="720" w:hanging="720"/>
        <w:jc w:val="both"/>
        <w:rPr>
          <w:rFonts w:ascii="Times New Roman" w:eastAsia="Times New Roman" w:hAnsi="Times New Roman"/>
        </w:rPr>
      </w:pPr>
    </w:p>
    <w:p w14:paraId="081CDB90" w14:textId="77777777" w:rsidR="005B6BFD" w:rsidRPr="00166607" w:rsidRDefault="00060FB6"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ICFES. 2013. Pers</w:t>
      </w:r>
      <w:r w:rsidR="003B0E47" w:rsidRPr="00166607">
        <w:rPr>
          <w:rFonts w:ascii="Times New Roman" w:hAnsi="Times New Roman"/>
        </w:rPr>
        <w:t>onal email communication. May 6 of 2013.</w:t>
      </w:r>
    </w:p>
    <w:p w14:paraId="682D9252" w14:textId="77777777" w:rsidR="003C683A" w:rsidRPr="00166607" w:rsidRDefault="003C683A" w:rsidP="006A3216">
      <w:pPr>
        <w:widowControl w:val="0"/>
        <w:autoSpaceDE w:val="0"/>
        <w:autoSpaceDN w:val="0"/>
        <w:adjustRightInd w:val="0"/>
        <w:ind w:left="720" w:hanging="720"/>
        <w:jc w:val="both"/>
        <w:rPr>
          <w:rFonts w:ascii="Times New Roman" w:hAnsi="Times New Roman"/>
        </w:rPr>
      </w:pPr>
    </w:p>
    <w:p w14:paraId="6D24B75B" w14:textId="2DF2EC1D" w:rsidR="003C683A" w:rsidRPr="00166607" w:rsidRDefault="003C683A"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Jaramillo, Christian and Jorge Tovar. </w:t>
      </w:r>
      <w:r w:rsidRPr="00F27DCF">
        <w:rPr>
          <w:rFonts w:ascii="Times New Roman" w:hAnsi="Times New Roman"/>
        </w:rPr>
        <w:t xml:space="preserve">2008. “El impacto de impuesto al valor agregado sobre el gasto en Colombia. </w:t>
      </w:r>
      <w:r w:rsidRPr="00166607">
        <w:rPr>
          <w:rFonts w:ascii="Times New Roman" w:hAnsi="Times New Roman"/>
          <w:i/>
        </w:rPr>
        <w:t xml:space="preserve">Lecturas de Economía </w:t>
      </w:r>
      <w:r w:rsidRPr="00166607">
        <w:rPr>
          <w:rFonts w:ascii="Times New Roman" w:hAnsi="Times New Roman"/>
        </w:rPr>
        <w:t>68 (enero-junio): 67-93.</w:t>
      </w:r>
    </w:p>
    <w:p w14:paraId="561FE386" w14:textId="77777777" w:rsidR="005B6BFD" w:rsidRPr="008233C3" w:rsidRDefault="005B6BFD" w:rsidP="006A3216">
      <w:pPr>
        <w:widowControl w:val="0"/>
        <w:autoSpaceDE w:val="0"/>
        <w:autoSpaceDN w:val="0"/>
        <w:adjustRightInd w:val="0"/>
        <w:ind w:left="720" w:hanging="720"/>
        <w:jc w:val="both"/>
        <w:rPr>
          <w:rFonts w:ascii="Times New Roman" w:hAnsi="Times New Roman"/>
        </w:rPr>
      </w:pPr>
    </w:p>
    <w:p w14:paraId="25EFC34A" w14:textId="77777777" w:rsidR="00024A1B" w:rsidRPr="00166607" w:rsidRDefault="005B6BFD"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Kane, Thomas. 2003. “A quasi-experimental estimate of the impact of financial aid on college-going.” NBER working paper # 9703. Cambridge: National Bureau of Economic Research.</w:t>
      </w:r>
    </w:p>
    <w:p w14:paraId="471F937F" w14:textId="77777777" w:rsidR="00024A1B" w:rsidRPr="00166607" w:rsidRDefault="00024A1B" w:rsidP="006A3216">
      <w:pPr>
        <w:widowControl w:val="0"/>
        <w:autoSpaceDE w:val="0"/>
        <w:autoSpaceDN w:val="0"/>
        <w:adjustRightInd w:val="0"/>
        <w:ind w:left="720" w:hanging="720"/>
        <w:jc w:val="both"/>
        <w:rPr>
          <w:rFonts w:ascii="Times New Roman" w:hAnsi="Times New Roman"/>
        </w:rPr>
      </w:pPr>
    </w:p>
    <w:p w14:paraId="20687F12" w14:textId="2906B6B5" w:rsidR="00060FB6" w:rsidRPr="00166607" w:rsidRDefault="00024A1B"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Kugler, Adriana, Maurice </w:t>
      </w:r>
      <w:r w:rsidR="002268EA" w:rsidRPr="00166607">
        <w:rPr>
          <w:rFonts w:ascii="Times New Roman" w:hAnsi="Times New Roman"/>
        </w:rPr>
        <w:t xml:space="preserve">Kugler, Juan E. Saavedra and Luis O. Herrera. 2015. “Long term direct and spillover effects of job training: Experimental evidence from Colombia.” NBER working paper # 21607. Cambridge: National Bureau of Economic Research. </w:t>
      </w:r>
      <w:r w:rsidR="005B6BFD" w:rsidRPr="00166607">
        <w:rPr>
          <w:rFonts w:ascii="Times New Roman" w:hAnsi="Times New Roman"/>
        </w:rPr>
        <w:t xml:space="preserve">  </w:t>
      </w:r>
      <w:r w:rsidR="003B0E47" w:rsidRPr="00166607">
        <w:rPr>
          <w:rFonts w:ascii="Times New Roman" w:hAnsi="Times New Roman"/>
        </w:rPr>
        <w:t xml:space="preserve"> </w:t>
      </w:r>
      <w:r w:rsidR="00060FB6" w:rsidRPr="00166607">
        <w:rPr>
          <w:rFonts w:ascii="Times New Roman" w:hAnsi="Times New Roman"/>
        </w:rPr>
        <w:t xml:space="preserve">  </w:t>
      </w:r>
    </w:p>
    <w:p w14:paraId="63DFA4E3" w14:textId="77777777" w:rsidR="00815A8B" w:rsidRPr="00166607" w:rsidRDefault="00815A8B" w:rsidP="006A3216">
      <w:pPr>
        <w:widowControl w:val="0"/>
        <w:autoSpaceDE w:val="0"/>
        <w:autoSpaceDN w:val="0"/>
        <w:adjustRightInd w:val="0"/>
        <w:ind w:left="720" w:hanging="720"/>
        <w:jc w:val="both"/>
        <w:rPr>
          <w:rFonts w:ascii="Times New Roman" w:hAnsi="Times New Roman"/>
        </w:rPr>
      </w:pPr>
    </w:p>
    <w:p w14:paraId="15C58005" w14:textId="77777777" w:rsidR="00815A8B" w:rsidRPr="00166607" w:rsidRDefault="00815A8B"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Kemple, James J. 2004. </w:t>
      </w:r>
      <w:r w:rsidRPr="00166607">
        <w:rPr>
          <w:rFonts w:ascii="Times New Roman" w:hAnsi="Times New Roman"/>
          <w:i/>
          <w:iCs/>
        </w:rPr>
        <w:t xml:space="preserve">Career Academies: Impacts on labor market outcomes and educational attainment. </w:t>
      </w:r>
      <w:r w:rsidRPr="00166607">
        <w:rPr>
          <w:rFonts w:ascii="Times New Roman" w:hAnsi="Times New Roman"/>
        </w:rPr>
        <w:t>New York: Manpower Demonstration Research Corporation.</w:t>
      </w:r>
    </w:p>
    <w:p w14:paraId="54CCF457" w14:textId="77777777" w:rsidR="00815A8B" w:rsidRPr="00166607" w:rsidRDefault="00815A8B" w:rsidP="006A3216">
      <w:pPr>
        <w:widowControl w:val="0"/>
        <w:autoSpaceDE w:val="0"/>
        <w:autoSpaceDN w:val="0"/>
        <w:adjustRightInd w:val="0"/>
        <w:ind w:left="720" w:hanging="720"/>
        <w:jc w:val="both"/>
        <w:rPr>
          <w:rFonts w:ascii="Times New Roman" w:hAnsi="Times New Roman"/>
        </w:rPr>
      </w:pPr>
    </w:p>
    <w:p w14:paraId="55C6941B" w14:textId="77777777" w:rsidR="00815A8B" w:rsidRPr="00166607" w:rsidRDefault="00815A8B"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King Elizabeth, Laura Rawlings, Marybell Gutierrez M, Carlos Pardo, and Carlos Torres. 1997. “Colombia’s Targeted Education Voucher Program: Features, Coverage, and Participation.” Impact Evaluation of Education Reforms Working Paper 3, Development Economics Research Group, World Bank.</w:t>
      </w:r>
    </w:p>
    <w:p w14:paraId="3E2CBC3B" w14:textId="77777777" w:rsidR="00B775FB" w:rsidRPr="00166607" w:rsidRDefault="00B775FB" w:rsidP="006A3216">
      <w:pPr>
        <w:widowControl w:val="0"/>
        <w:autoSpaceDE w:val="0"/>
        <w:autoSpaceDN w:val="0"/>
        <w:adjustRightInd w:val="0"/>
        <w:ind w:left="720" w:hanging="720"/>
        <w:jc w:val="both"/>
        <w:rPr>
          <w:rFonts w:ascii="Times New Roman" w:hAnsi="Times New Roman"/>
        </w:rPr>
      </w:pPr>
    </w:p>
    <w:p w14:paraId="553DF6E7" w14:textId="77777777" w:rsidR="00B775FB" w:rsidRPr="00166607" w:rsidRDefault="00B775FB"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Kremer, Michael, Edward Miguel and Rebecca Thornton. 2009. “Incentives to learn.” </w:t>
      </w:r>
      <w:r w:rsidRPr="00166607">
        <w:rPr>
          <w:rFonts w:ascii="Times New Roman" w:hAnsi="Times New Roman"/>
          <w:i/>
        </w:rPr>
        <w:t>Review of Economics and Statistics</w:t>
      </w:r>
      <w:r w:rsidRPr="00166607">
        <w:rPr>
          <w:rFonts w:ascii="Times New Roman" w:hAnsi="Times New Roman"/>
        </w:rPr>
        <w:t xml:space="preserve"> 91(3): 437-456. </w:t>
      </w:r>
    </w:p>
    <w:p w14:paraId="4535E318" w14:textId="77777777" w:rsidR="00190ADB" w:rsidRPr="00166607" w:rsidRDefault="00190ADB" w:rsidP="006A3216">
      <w:pPr>
        <w:widowControl w:val="0"/>
        <w:autoSpaceDE w:val="0"/>
        <w:autoSpaceDN w:val="0"/>
        <w:adjustRightInd w:val="0"/>
        <w:ind w:left="720" w:hanging="720"/>
        <w:jc w:val="both"/>
        <w:rPr>
          <w:rFonts w:ascii="Times New Roman" w:hAnsi="Times New Roman"/>
        </w:rPr>
      </w:pPr>
    </w:p>
    <w:p w14:paraId="3F55EE21" w14:textId="77777777" w:rsidR="00190ADB" w:rsidRPr="00166607" w:rsidRDefault="00190ADB"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Ladd, Helen. 2002. “School vouchers: A critical review.” </w:t>
      </w:r>
      <w:r w:rsidRPr="00166607">
        <w:rPr>
          <w:rFonts w:ascii="Times New Roman" w:hAnsi="Times New Roman"/>
          <w:i/>
        </w:rPr>
        <w:t>Journal of Economic Perspectives</w:t>
      </w:r>
      <w:r w:rsidRPr="00166607">
        <w:rPr>
          <w:rFonts w:ascii="Times New Roman" w:hAnsi="Times New Roman"/>
        </w:rPr>
        <w:t>, 16(4): 3-24.</w:t>
      </w:r>
    </w:p>
    <w:p w14:paraId="2F5E9FC3" w14:textId="77777777" w:rsidR="0089343C" w:rsidRPr="00166607" w:rsidRDefault="0089343C" w:rsidP="006A3216">
      <w:pPr>
        <w:widowControl w:val="0"/>
        <w:autoSpaceDE w:val="0"/>
        <w:autoSpaceDN w:val="0"/>
        <w:adjustRightInd w:val="0"/>
        <w:jc w:val="both"/>
        <w:rPr>
          <w:rFonts w:ascii="Times New Roman" w:hAnsi="Times New Roman"/>
        </w:rPr>
      </w:pPr>
    </w:p>
    <w:p w14:paraId="5C23D6F4" w14:textId="77777777" w:rsidR="00815A8B" w:rsidRPr="00166607" w:rsidRDefault="0089343C"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MacLeod, W. Bentley and Miguel Urquiola. 2013. “Competition and educational productivity: Incentives writ large” in </w:t>
      </w:r>
      <w:r w:rsidRPr="00166607">
        <w:rPr>
          <w:rFonts w:ascii="Times New Roman" w:hAnsi="Times New Roman"/>
          <w:i/>
        </w:rPr>
        <w:t xml:space="preserve">Education Policy in Developing Countries, </w:t>
      </w:r>
      <w:r w:rsidRPr="00166607">
        <w:rPr>
          <w:rFonts w:ascii="Times New Roman" w:hAnsi="Times New Roman"/>
        </w:rPr>
        <w:t xml:space="preserve">edited by Paul Glewwe, Chicago: University of Chicago Press. </w:t>
      </w:r>
      <w:r w:rsidRPr="00166607">
        <w:rPr>
          <w:rFonts w:ascii="Times New Roman" w:hAnsi="Times New Roman"/>
          <w:i/>
        </w:rPr>
        <w:t xml:space="preserve"> </w:t>
      </w:r>
    </w:p>
    <w:p w14:paraId="65FA23AF" w14:textId="77777777" w:rsidR="004D557A" w:rsidRPr="00166607" w:rsidRDefault="004D557A" w:rsidP="006A3216">
      <w:pPr>
        <w:widowControl w:val="0"/>
        <w:autoSpaceDE w:val="0"/>
        <w:autoSpaceDN w:val="0"/>
        <w:adjustRightInd w:val="0"/>
        <w:jc w:val="both"/>
        <w:rPr>
          <w:rFonts w:ascii="Times New Roman" w:hAnsi="Times New Roman"/>
        </w:rPr>
      </w:pPr>
    </w:p>
    <w:p w14:paraId="4837D0A2" w14:textId="77777777" w:rsidR="0016360C" w:rsidRPr="00F27DCF" w:rsidRDefault="0016360C" w:rsidP="006A3216">
      <w:pPr>
        <w:widowControl w:val="0"/>
        <w:autoSpaceDE w:val="0"/>
        <w:autoSpaceDN w:val="0"/>
        <w:adjustRightInd w:val="0"/>
        <w:ind w:left="720" w:hanging="720"/>
        <w:jc w:val="both"/>
        <w:rPr>
          <w:rFonts w:ascii="Times New Roman" w:hAnsi="Times New Roman"/>
        </w:rPr>
      </w:pPr>
      <w:r w:rsidRPr="00F27DCF">
        <w:rPr>
          <w:rFonts w:ascii="Times New Roman" w:hAnsi="Times New Roman"/>
        </w:rPr>
        <w:t>Ministerio de Educación Nacional. 2010.</w:t>
      </w:r>
      <w:r w:rsidR="007A7E82" w:rsidRPr="00F27DCF">
        <w:rPr>
          <w:rFonts w:ascii="Times New Roman" w:hAnsi="Times New Roman"/>
        </w:rPr>
        <w:t xml:space="preserve"> “Resumen de estadísticas de las universidades pú</w:t>
      </w:r>
      <w:r w:rsidR="00ED2A2D" w:rsidRPr="00F27DCF">
        <w:rPr>
          <w:rFonts w:ascii="Times New Roman" w:hAnsi="Times New Roman"/>
        </w:rPr>
        <w:t>blicas 2003</w:t>
      </w:r>
      <w:r w:rsidR="007A7E82" w:rsidRPr="00F27DCF">
        <w:rPr>
          <w:rFonts w:ascii="Times New Roman" w:hAnsi="Times New Roman"/>
        </w:rPr>
        <w:t>-2010.”</w:t>
      </w:r>
      <w:r w:rsidR="00F614C8" w:rsidRPr="00F27DCF">
        <w:rPr>
          <w:rFonts w:ascii="Times New Roman" w:hAnsi="Times New Roman"/>
        </w:rPr>
        <w:t xml:space="preserve"> Sistema Nacional de Información sobre la Educación Superior. </w:t>
      </w:r>
    </w:p>
    <w:p w14:paraId="204BAB73" w14:textId="77777777" w:rsidR="0016360C" w:rsidRPr="00F27DCF" w:rsidRDefault="0016360C" w:rsidP="006A3216">
      <w:pPr>
        <w:widowControl w:val="0"/>
        <w:autoSpaceDE w:val="0"/>
        <w:autoSpaceDN w:val="0"/>
        <w:adjustRightInd w:val="0"/>
        <w:ind w:left="720" w:hanging="720"/>
        <w:jc w:val="both"/>
        <w:rPr>
          <w:rFonts w:ascii="Times New Roman" w:hAnsi="Times New Roman"/>
        </w:rPr>
      </w:pPr>
    </w:p>
    <w:p w14:paraId="11FD1107" w14:textId="77777777" w:rsidR="004D557A" w:rsidRPr="00166607" w:rsidRDefault="004D557A" w:rsidP="006A3216">
      <w:pPr>
        <w:widowControl w:val="0"/>
        <w:autoSpaceDE w:val="0"/>
        <w:autoSpaceDN w:val="0"/>
        <w:adjustRightInd w:val="0"/>
        <w:ind w:left="720" w:hanging="720"/>
        <w:jc w:val="both"/>
        <w:rPr>
          <w:rFonts w:ascii="Times New Roman" w:hAnsi="Times New Roman"/>
        </w:rPr>
      </w:pPr>
      <w:r w:rsidRPr="00F27DCF">
        <w:rPr>
          <w:rFonts w:ascii="Times New Roman" w:hAnsi="Times New Roman"/>
        </w:rPr>
        <w:t>Ministerio de Educación Nacional. 2014</w:t>
      </w:r>
      <w:r w:rsidR="001A151F" w:rsidRPr="00F27DCF">
        <w:rPr>
          <w:rFonts w:ascii="Times New Roman" w:hAnsi="Times New Roman"/>
        </w:rPr>
        <w:t>a</w:t>
      </w:r>
      <w:r w:rsidRPr="00F27DCF">
        <w:rPr>
          <w:rFonts w:ascii="Times New Roman" w:hAnsi="Times New Roman"/>
        </w:rPr>
        <w:t xml:space="preserve">. Estadísticas sectoriales educación básica y media. </w:t>
      </w:r>
      <w:hyperlink r:id="rId19" w:history="1">
        <w:r w:rsidRPr="00166607">
          <w:rPr>
            <w:rStyle w:val="Hyperlink"/>
            <w:rFonts w:ascii="Times New Roman" w:hAnsi="Times New Roman"/>
          </w:rPr>
          <w:t>http://menweb.mineducacion.gov.co/seguimiento/estadisticas/principal.php?seccion=2&amp;consulta_detalle=et&amp;id_categoria=2&amp;nivel=2&amp;et=&amp;consulta=mat_sector</w:t>
        </w:r>
      </w:hyperlink>
      <w:r w:rsidRPr="00166607">
        <w:rPr>
          <w:rFonts w:ascii="Times New Roman" w:hAnsi="Times New Roman"/>
        </w:rPr>
        <w:t xml:space="preserve">, retrieved on February 20, 2014. </w:t>
      </w:r>
    </w:p>
    <w:p w14:paraId="34830080" w14:textId="77777777" w:rsidR="001A151F" w:rsidRPr="008233C3" w:rsidRDefault="001A151F" w:rsidP="006A3216">
      <w:pPr>
        <w:widowControl w:val="0"/>
        <w:autoSpaceDE w:val="0"/>
        <w:autoSpaceDN w:val="0"/>
        <w:adjustRightInd w:val="0"/>
        <w:ind w:left="720" w:hanging="720"/>
        <w:jc w:val="both"/>
        <w:rPr>
          <w:rFonts w:ascii="Times New Roman" w:hAnsi="Times New Roman"/>
        </w:rPr>
      </w:pPr>
    </w:p>
    <w:p w14:paraId="20B708DE" w14:textId="77777777" w:rsidR="001A151F" w:rsidRPr="00166607" w:rsidRDefault="001A151F" w:rsidP="006A3216">
      <w:pPr>
        <w:widowControl w:val="0"/>
        <w:autoSpaceDE w:val="0"/>
        <w:autoSpaceDN w:val="0"/>
        <w:adjustRightInd w:val="0"/>
        <w:ind w:left="720" w:hanging="720"/>
        <w:jc w:val="both"/>
        <w:rPr>
          <w:rFonts w:ascii="Times New Roman" w:hAnsi="Times New Roman"/>
        </w:rPr>
      </w:pPr>
      <w:r w:rsidRPr="00F27DCF">
        <w:rPr>
          <w:rFonts w:ascii="Times New Roman" w:hAnsi="Times New Roman"/>
        </w:rPr>
        <w:lastRenderedPageBreak/>
        <w:t xml:space="preserve">Ministerio de Educación Nacional. 2014b. Estadísticas sectoriales educación básica y media. </w:t>
      </w:r>
      <w:hyperlink r:id="rId20" w:history="1">
        <w:r w:rsidRPr="00166607">
          <w:rPr>
            <w:rStyle w:val="Hyperlink"/>
            <w:rFonts w:ascii="Times New Roman" w:hAnsi="Times New Roman"/>
          </w:rPr>
          <w:t>http://menweb.mineducacion.gov.co/seguimiento/estadisticas/principal.php?seccion=9&amp;id_categoria=2&amp;consulta=coberturan_nivel&amp;nivel=9&amp;dpto=&amp;et=&amp;mun=&amp;</w:t>
        </w:r>
        <w:r w:rsidRPr="008233C3">
          <w:rPr>
            <w:rStyle w:val="Hyperlink"/>
            <w:rFonts w:ascii="Times New Roman" w:hAnsi="Times New Roman"/>
          </w:rPr>
          <w:t>ins=&amp;sede=&amp;consulta_detalle=et</w:t>
        </w:r>
      </w:hyperlink>
      <w:r w:rsidRPr="00166607">
        <w:rPr>
          <w:rFonts w:ascii="Times New Roman" w:hAnsi="Times New Roman"/>
        </w:rPr>
        <w:t>, retrieved on February 20, 2014.</w:t>
      </w:r>
    </w:p>
    <w:p w14:paraId="28DBE260" w14:textId="77777777" w:rsidR="007F50D4" w:rsidRPr="008233C3" w:rsidRDefault="007F50D4" w:rsidP="006A3216">
      <w:pPr>
        <w:widowControl w:val="0"/>
        <w:autoSpaceDE w:val="0"/>
        <w:autoSpaceDN w:val="0"/>
        <w:adjustRightInd w:val="0"/>
        <w:ind w:left="720" w:hanging="720"/>
        <w:jc w:val="both"/>
        <w:rPr>
          <w:rFonts w:ascii="Times New Roman" w:hAnsi="Times New Roman"/>
        </w:rPr>
      </w:pPr>
    </w:p>
    <w:p w14:paraId="1688396B" w14:textId="77777777" w:rsidR="007F50D4" w:rsidRPr="00166607" w:rsidRDefault="007F50D4"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Muralidharan, Karthik and Venkatesh Sundararaman. 2013. “The aggregate effect of school choice: Evidence from a two-stage experiment in India.” Unpublished manuscript, University of California, San Diego. </w:t>
      </w:r>
    </w:p>
    <w:p w14:paraId="4DDC65E5" w14:textId="77777777" w:rsidR="00CB6323" w:rsidRPr="00166607" w:rsidRDefault="00CB6323" w:rsidP="006A3216">
      <w:pPr>
        <w:widowControl w:val="0"/>
        <w:autoSpaceDE w:val="0"/>
        <w:autoSpaceDN w:val="0"/>
        <w:adjustRightInd w:val="0"/>
        <w:jc w:val="both"/>
        <w:rPr>
          <w:rFonts w:ascii="Times New Roman" w:hAnsi="Times New Roman"/>
        </w:rPr>
      </w:pPr>
    </w:p>
    <w:p w14:paraId="1B3DE0D2" w14:textId="77777777" w:rsidR="00695D69" w:rsidRPr="00F27DCF" w:rsidRDefault="00695D69"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Parada-Baños, Arturo José. 2005. </w:t>
      </w:r>
      <w:r w:rsidRPr="00F27DCF">
        <w:rPr>
          <w:rFonts w:ascii="Times New Roman" w:hAnsi="Times New Roman"/>
        </w:rPr>
        <w:t xml:space="preserve">“El embarazo adolescente le cuesta al pais.” UN Periódico </w:t>
      </w:r>
      <w:hyperlink r:id="rId21" w:history="1">
        <w:r w:rsidRPr="00F27DCF">
          <w:rPr>
            <w:rStyle w:val="Hyperlink"/>
            <w:rFonts w:ascii="Times New Roman" w:hAnsi="Times New Roman"/>
          </w:rPr>
          <w:t>http://historico.unperiodico.unal.edu.co/Ediciones/72/05.htm</w:t>
        </w:r>
      </w:hyperlink>
      <w:r w:rsidR="00B8417A" w:rsidRPr="00F27DCF">
        <w:rPr>
          <w:rFonts w:ascii="Times New Roman" w:hAnsi="Times New Roman"/>
        </w:rPr>
        <w:t>, retrieved March 1, 2014.</w:t>
      </w:r>
    </w:p>
    <w:p w14:paraId="2FE68C4A" w14:textId="77777777" w:rsidR="00B8417A" w:rsidRPr="00F27DCF" w:rsidRDefault="00B8417A" w:rsidP="006A3216">
      <w:pPr>
        <w:widowControl w:val="0"/>
        <w:autoSpaceDE w:val="0"/>
        <w:autoSpaceDN w:val="0"/>
        <w:adjustRightInd w:val="0"/>
        <w:ind w:left="720" w:hanging="720"/>
        <w:jc w:val="both"/>
        <w:rPr>
          <w:rFonts w:ascii="Times New Roman" w:hAnsi="Times New Roman"/>
        </w:rPr>
      </w:pPr>
    </w:p>
    <w:p w14:paraId="3AA0CEF8" w14:textId="77777777" w:rsidR="00311301" w:rsidRPr="00F27DCF" w:rsidRDefault="00CB6323"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Ribero, Rocio and Jorge Tenjo. </w:t>
      </w:r>
      <w:r w:rsidRPr="00F27DCF">
        <w:rPr>
          <w:rFonts w:ascii="Times New Roman" w:hAnsi="Times New Roman"/>
        </w:rPr>
        <w:t>1997. “Evaluación del programa de becas PACES.” Unpublished manuscript, Universidad de los Andes, Bogotá, Colombia.</w:t>
      </w:r>
    </w:p>
    <w:p w14:paraId="7AFA143F" w14:textId="77777777" w:rsidR="0097044A" w:rsidRPr="00F27DCF" w:rsidRDefault="0097044A" w:rsidP="006A3216">
      <w:pPr>
        <w:widowControl w:val="0"/>
        <w:autoSpaceDE w:val="0"/>
        <w:autoSpaceDN w:val="0"/>
        <w:adjustRightInd w:val="0"/>
        <w:ind w:left="720" w:hanging="720"/>
        <w:jc w:val="both"/>
        <w:rPr>
          <w:rFonts w:ascii="Times New Roman" w:hAnsi="Times New Roman"/>
        </w:rPr>
      </w:pPr>
    </w:p>
    <w:p w14:paraId="3377C798" w14:textId="6C3021B2" w:rsidR="0097044A" w:rsidRPr="00F27DCF" w:rsidRDefault="0097044A" w:rsidP="006A3216">
      <w:pPr>
        <w:widowControl w:val="0"/>
        <w:autoSpaceDE w:val="0"/>
        <w:autoSpaceDN w:val="0"/>
        <w:adjustRightInd w:val="0"/>
        <w:ind w:left="720" w:hanging="720"/>
        <w:jc w:val="both"/>
        <w:rPr>
          <w:rFonts w:ascii="Times New Roman" w:hAnsi="Times New Roman"/>
        </w:rPr>
      </w:pPr>
      <w:r w:rsidRPr="00F27DCF">
        <w:rPr>
          <w:rFonts w:ascii="Times New Roman" w:hAnsi="Times New Roman"/>
        </w:rPr>
        <w:t xml:space="preserve">Sánchez, Fabio and Jairo Núñez. 1995. “Por qué los niños pobres no van a la escuela? (Determinantes de la asistencia escolar en Colombia).” </w:t>
      </w:r>
      <w:r w:rsidR="00C431C1" w:rsidRPr="00F27DCF">
        <w:rPr>
          <w:rFonts w:ascii="Times New Roman" w:hAnsi="Times New Roman"/>
          <w:i/>
        </w:rPr>
        <w:t xml:space="preserve">Archivos de Macroeconomía </w:t>
      </w:r>
      <w:r w:rsidR="00C431C1" w:rsidRPr="00F27DCF">
        <w:rPr>
          <w:rFonts w:ascii="Times New Roman" w:hAnsi="Times New Roman"/>
        </w:rPr>
        <w:t xml:space="preserve"># 39. </w:t>
      </w:r>
      <w:r w:rsidRPr="00F27DCF">
        <w:rPr>
          <w:rFonts w:ascii="Times New Roman" w:hAnsi="Times New Roman"/>
        </w:rPr>
        <w:t xml:space="preserve">Departmento Nacional de Planeación, República de Colombia. </w:t>
      </w:r>
    </w:p>
    <w:p w14:paraId="66AE294B" w14:textId="77777777" w:rsidR="00C87531" w:rsidRPr="00F27DCF" w:rsidRDefault="00C87531" w:rsidP="006A3216">
      <w:pPr>
        <w:widowControl w:val="0"/>
        <w:autoSpaceDE w:val="0"/>
        <w:autoSpaceDN w:val="0"/>
        <w:adjustRightInd w:val="0"/>
        <w:jc w:val="both"/>
        <w:rPr>
          <w:rFonts w:ascii="Times New Roman" w:hAnsi="Times New Roman"/>
        </w:rPr>
      </w:pPr>
    </w:p>
    <w:p w14:paraId="42731DCE" w14:textId="77777777" w:rsidR="00C87531" w:rsidRPr="00166607" w:rsidRDefault="00C87531" w:rsidP="006A3216">
      <w:pPr>
        <w:widowControl w:val="0"/>
        <w:autoSpaceDE w:val="0"/>
        <w:autoSpaceDN w:val="0"/>
        <w:adjustRightInd w:val="0"/>
        <w:ind w:left="720" w:hanging="720"/>
        <w:jc w:val="both"/>
        <w:rPr>
          <w:rFonts w:ascii="Times New Roman" w:hAnsi="Times New Roman"/>
        </w:rPr>
      </w:pPr>
      <w:r w:rsidRPr="00F27DCF">
        <w:rPr>
          <w:rFonts w:ascii="Times New Roman" w:hAnsi="Times New Roman"/>
        </w:rPr>
        <w:t xml:space="preserve">Secretaría de Desarrollo Económico de Bogotá. 2012. “Disminuye la informalidad laboral en Bogotá durante el segundo trimestre de 2012.” </w:t>
      </w:r>
      <w:r w:rsidRPr="00166607">
        <w:rPr>
          <w:rFonts w:ascii="Times New Roman" w:hAnsi="Times New Roman"/>
        </w:rPr>
        <w:t xml:space="preserve">DESR # 73, August. </w:t>
      </w:r>
    </w:p>
    <w:p w14:paraId="11A45347" w14:textId="77777777" w:rsidR="006737D9" w:rsidRPr="008233C3" w:rsidRDefault="006737D9" w:rsidP="006A3216">
      <w:pPr>
        <w:widowControl w:val="0"/>
        <w:autoSpaceDE w:val="0"/>
        <w:autoSpaceDN w:val="0"/>
        <w:adjustRightInd w:val="0"/>
        <w:jc w:val="both"/>
        <w:rPr>
          <w:rFonts w:ascii="Times New Roman" w:hAnsi="Times New Roman"/>
        </w:rPr>
      </w:pPr>
    </w:p>
    <w:p w14:paraId="681B8AB4" w14:textId="77777777" w:rsidR="00CB6323" w:rsidRPr="00166607" w:rsidRDefault="006737D9"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United Nations. 2000. </w:t>
      </w:r>
      <w:r w:rsidRPr="00166607">
        <w:rPr>
          <w:rFonts w:ascii="Times New Roman" w:hAnsi="Times New Roman"/>
          <w:i/>
        </w:rPr>
        <w:t xml:space="preserve">World marriage patterns. </w:t>
      </w:r>
      <w:hyperlink r:id="rId22" w:history="1">
        <w:r w:rsidRPr="00166607">
          <w:rPr>
            <w:rStyle w:val="Hyperlink"/>
            <w:rFonts w:ascii="Times New Roman" w:hAnsi="Times New Roman"/>
          </w:rPr>
          <w:t>http://www.un.org/esa/population/publications/worldmarriage/worldmarriagepatterns2000.pdf</w:t>
        </w:r>
      </w:hyperlink>
      <w:r w:rsidRPr="00166607">
        <w:rPr>
          <w:rFonts w:ascii="Times New Roman" w:hAnsi="Times New Roman"/>
        </w:rPr>
        <w:t xml:space="preserve">, retrieved February 23, 2014. </w:t>
      </w:r>
    </w:p>
    <w:p w14:paraId="03A51946" w14:textId="77777777" w:rsidR="00815A8B" w:rsidRPr="008233C3" w:rsidRDefault="00815A8B" w:rsidP="006A3216">
      <w:pPr>
        <w:widowControl w:val="0"/>
        <w:autoSpaceDE w:val="0"/>
        <w:autoSpaceDN w:val="0"/>
        <w:adjustRightInd w:val="0"/>
        <w:jc w:val="both"/>
        <w:rPr>
          <w:rFonts w:ascii="Times New Roman" w:hAnsi="Times New Roman"/>
        </w:rPr>
      </w:pPr>
    </w:p>
    <w:p w14:paraId="6FC74BE6" w14:textId="77777777" w:rsidR="00815A8B" w:rsidRPr="00166607" w:rsidRDefault="00815A8B"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Urquiola, Miguel. 2005. “Does School Choice Lead to Sorting? Evidence from Tiebout Variation.” </w:t>
      </w:r>
      <w:r w:rsidRPr="00166607">
        <w:rPr>
          <w:rFonts w:ascii="Times New Roman" w:hAnsi="Times New Roman"/>
          <w:i/>
        </w:rPr>
        <w:t>American Economic Review</w:t>
      </w:r>
      <w:r w:rsidRPr="00166607">
        <w:rPr>
          <w:rFonts w:ascii="Times New Roman" w:hAnsi="Times New Roman"/>
        </w:rPr>
        <w:t xml:space="preserve"> </w:t>
      </w:r>
      <w:r w:rsidRPr="00166607">
        <w:rPr>
          <w:rFonts w:ascii="Times New Roman" w:eastAsia="Times New Roman" w:hAnsi="Times New Roman"/>
        </w:rPr>
        <w:t>95 (4): 1310-1326.</w:t>
      </w:r>
    </w:p>
    <w:p w14:paraId="4BB79C9B" w14:textId="77777777" w:rsidR="00815A8B" w:rsidRPr="00166607" w:rsidRDefault="00815A8B" w:rsidP="006A3216">
      <w:pPr>
        <w:widowControl w:val="0"/>
        <w:autoSpaceDE w:val="0"/>
        <w:autoSpaceDN w:val="0"/>
        <w:adjustRightInd w:val="0"/>
        <w:ind w:left="720" w:hanging="720"/>
        <w:jc w:val="both"/>
        <w:rPr>
          <w:rFonts w:ascii="Times New Roman" w:hAnsi="Times New Roman"/>
        </w:rPr>
      </w:pPr>
    </w:p>
    <w:p w14:paraId="5DFFCF6E" w14:textId="6CCC89E7" w:rsidR="00982E3B" w:rsidRPr="00166607" w:rsidRDefault="001B68C5" w:rsidP="006A3216">
      <w:pPr>
        <w:widowControl w:val="0"/>
        <w:autoSpaceDE w:val="0"/>
        <w:autoSpaceDN w:val="0"/>
        <w:adjustRightInd w:val="0"/>
        <w:ind w:left="720" w:hanging="720"/>
        <w:jc w:val="both"/>
        <w:rPr>
          <w:rFonts w:ascii="Times New Roman" w:hAnsi="Times New Roman"/>
        </w:rPr>
      </w:pPr>
      <w:r w:rsidRPr="00166607">
        <w:rPr>
          <w:rFonts w:ascii="Times New Roman" w:hAnsi="Times New Roman"/>
        </w:rPr>
        <w:t xml:space="preserve">Wolf, </w:t>
      </w:r>
      <w:r w:rsidR="00815A8B" w:rsidRPr="00166607">
        <w:rPr>
          <w:rFonts w:ascii="Times New Roman" w:hAnsi="Times New Roman"/>
        </w:rPr>
        <w:t>Patrick, Babette Gutmann, Michael Puma, Brian Kisida, Lou Rizzo, Nada Eissa, and Matthew Carr. 2010. “Evaluation of the D.C. Opportunity Scholarship Program: Final Evaluation Report.” U.S. Department of Education, Institute of Education Science, NCEE 2000-4023.</w:t>
      </w:r>
    </w:p>
    <w:p w14:paraId="1F0F56B6" w14:textId="77777777" w:rsidR="007B0C6F" w:rsidRPr="00166607" w:rsidRDefault="007B0C6F" w:rsidP="006A3216">
      <w:pPr>
        <w:widowControl w:val="0"/>
        <w:autoSpaceDE w:val="0"/>
        <w:autoSpaceDN w:val="0"/>
        <w:adjustRightInd w:val="0"/>
        <w:ind w:left="720" w:hanging="720"/>
        <w:jc w:val="both"/>
        <w:rPr>
          <w:rFonts w:ascii="Times New Roman" w:hAnsi="Times New Roman"/>
        </w:rPr>
      </w:pPr>
    </w:p>
    <w:p w14:paraId="78EDEC57" w14:textId="05AFC037" w:rsidR="003C6D39" w:rsidRPr="00166607" w:rsidRDefault="007B0C6F" w:rsidP="006A3216">
      <w:pPr>
        <w:widowControl w:val="0"/>
        <w:autoSpaceDE w:val="0"/>
        <w:autoSpaceDN w:val="0"/>
        <w:adjustRightInd w:val="0"/>
        <w:ind w:left="720" w:hanging="720"/>
        <w:jc w:val="both"/>
        <w:rPr>
          <w:rFonts w:ascii="Times New Roman" w:hAnsi="Times New Roman"/>
        </w:rPr>
        <w:sectPr w:rsidR="003C6D39" w:rsidRPr="00166607" w:rsidSect="00402892">
          <w:footerReference w:type="even" r:id="rId23"/>
          <w:footerReference w:type="default" r:id="rId24"/>
          <w:endnotePr>
            <w:numFmt w:val="decimal"/>
          </w:endnotePr>
          <w:type w:val="continuous"/>
          <w:pgSz w:w="12240" w:h="15840"/>
          <w:pgMar w:top="1440" w:right="1584" w:bottom="1440" w:left="1584" w:header="720" w:footer="720" w:gutter="0"/>
          <w:cols w:space="720"/>
          <w:docGrid w:linePitch="360"/>
        </w:sectPr>
      </w:pPr>
      <w:r w:rsidRPr="00166607">
        <w:rPr>
          <w:rFonts w:ascii="Times New Roman" w:hAnsi="Times New Roman"/>
        </w:rPr>
        <w:t>World Bank. 2003. “Tertiary Education in Colombia: Paving the Way for Reform.” World Bank Country Study # 26289. Washington D.C.: The World Bank.</w:t>
      </w:r>
      <w:r w:rsidR="00982E3B" w:rsidRPr="00166607">
        <w:rPr>
          <w:rFonts w:ascii="Times New Roman" w:hAnsi="Times New Roman"/>
        </w:rPr>
        <w:br w:type="page"/>
      </w:r>
    </w:p>
    <w:p w14:paraId="6EF4DA67" w14:textId="77777777" w:rsidR="007734E7" w:rsidRPr="00166607" w:rsidRDefault="007734E7" w:rsidP="00712640">
      <w:pPr>
        <w:rPr>
          <w:rFonts w:ascii="Times New Roman" w:hAnsi="Times New Roman"/>
          <w:color w:val="000000"/>
        </w:rPr>
      </w:pPr>
      <w:r w:rsidRPr="00166607">
        <w:rPr>
          <w:rFonts w:ascii="Times New Roman" w:hAnsi="Times New Roman"/>
          <w:color w:val="000000"/>
        </w:rPr>
        <w:lastRenderedPageBreak/>
        <w:t>Table 1. Descriptive statistics of the Bogotá 1995 PACES scholarship applicant cohort</w:t>
      </w:r>
    </w:p>
    <w:tbl>
      <w:tblPr>
        <w:tblW w:w="12532" w:type="dxa"/>
        <w:tblInd w:w="93" w:type="dxa"/>
        <w:tblCellMar>
          <w:left w:w="0" w:type="dxa"/>
          <w:right w:w="0" w:type="dxa"/>
        </w:tblCellMar>
        <w:tblLook w:val="04A0" w:firstRow="1" w:lastRow="0" w:firstColumn="1" w:lastColumn="0" w:noHBand="0" w:noVBand="1"/>
      </w:tblPr>
      <w:tblGrid>
        <w:gridCol w:w="3072"/>
        <w:gridCol w:w="1400"/>
        <w:gridCol w:w="1030"/>
        <w:gridCol w:w="1530"/>
        <w:gridCol w:w="360"/>
        <w:gridCol w:w="1120"/>
        <w:gridCol w:w="1220"/>
        <w:gridCol w:w="360"/>
        <w:gridCol w:w="1030"/>
        <w:gridCol w:w="1400"/>
        <w:gridCol w:w="10"/>
      </w:tblGrid>
      <w:tr w:rsidR="005C394B" w:rsidRPr="00166607" w14:paraId="2307EF9F" w14:textId="77777777" w:rsidTr="005C394B">
        <w:trPr>
          <w:trHeight w:val="320"/>
        </w:trPr>
        <w:tc>
          <w:tcPr>
            <w:tcW w:w="3072" w:type="dxa"/>
            <w:tcBorders>
              <w:top w:val="double" w:sz="6" w:space="0" w:color="auto"/>
              <w:left w:val="nil"/>
              <w:bottom w:val="nil"/>
              <w:right w:val="nil"/>
            </w:tcBorders>
            <w:shd w:val="clear" w:color="000000" w:fill="FFFFFF"/>
            <w:tcMar>
              <w:top w:w="15" w:type="dxa"/>
              <w:left w:w="15" w:type="dxa"/>
              <w:bottom w:w="0" w:type="dxa"/>
              <w:right w:w="15" w:type="dxa"/>
            </w:tcMar>
            <w:vAlign w:val="center"/>
            <w:hideMark/>
          </w:tcPr>
          <w:p w14:paraId="49674205" w14:textId="77777777" w:rsidR="005C394B" w:rsidRPr="00166607" w:rsidRDefault="005C394B" w:rsidP="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3960" w:type="dxa"/>
            <w:gridSpan w:val="3"/>
            <w:tcBorders>
              <w:top w:val="double" w:sz="6" w:space="0" w:color="auto"/>
              <w:left w:val="nil"/>
              <w:bottom w:val="single" w:sz="8" w:space="0" w:color="auto"/>
              <w:right w:val="nil"/>
            </w:tcBorders>
            <w:shd w:val="clear" w:color="000000" w:fill="FFFFFF"/>
            <w:noWrap/>
            <w:tcMar>
              <w:top w:w="15" w:type="dxa"/>
              <w:left w:w="15" w:type="dxa"/>
              <w:bottom w:w="0" w:type="dxa"/>
              <w:right w:w="15" w:type="dxa"/>
            </w:tcMar>
            <w:vAlign w:val="center"/>
            <w:hideMark/>
          </w:tcPr>
          <w:p w14:paraId="195C9E99"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All</w:t>
            </w:r>
          </w:p>
        </w:tc>
        <w:tc>
          <w:tcPr>
            <w:tcW w:w="360" w:type="dxa"/>
            <w:tcBorders>
              <w:top w:val="double" w:sz="6" w:space="0" w:color="auto"/>
              <w:left w:val="nil"/>
              <w:bottom w:val="nil"/>
              <w:right w:val="nil"/>
            </w:tcBorders>
            <w:shd w:val="clear" w:color="000000" w:fill="FFFFFF"/>
            <w:noWrap/>
            <w:tcMar>
              <w:top w:w="15" w:type="dxa"/>
              <w:left w:w="15" w:type="dxa"/>
              <w:bottom w:w="0" w:type="dxa"/>
              <w:right w:w="15" w:type="dxa"/>
            </w:tcMar>
            <w:vAlign w:val="center"/>
            <w:hideMark/>
          </w:tcPr>
          <w:p w14:paraId="113D12D3"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2340" w:type="dxa"/>
            <w:gridSpan w:val="2"/>
            <w:tcBorders>
              <w:top w:val="double" w:sz="6" w:space="0" w:color="auto"/>
              <w:left w:val="nil"/>
              <w:bottom w:val="single" w:sz="8" w:space="0" w:color="auto"/>
              <w:right w:val="nil"/>
            </w:tcBorders>
            <w:shd w:val="clear" w:color="000000" w:fill="FFFFFF"/>
            <w:noWrap/>
            <w:tcMar>
              <w:top w:w="15" w:type="dxa"/>
              <w:left w:w="15" w:type="dxa"/>
              <w:bottom w:w="0" w:type="dxa"/>
              <w:right w:w="15" w:type="dxa"/>
            </w:tcMar>
            <w:vAlign w:val="center"/>
            <w:hideMark/>
          </w:tcPr>
          <w:p w14:paraId="6F07E7D0"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Academic School Applicants</w:t>
            </w:r>
          </w:p>
        </w:tc>
        <w:tc>
          <w:tcPr>
            <w:tcW w:w="360" w:type="dxa"/>
            <w:tcBorders>
              <w:top w:val="double" w:sz="6" w:space="0" w:color="auto"/>
              <w:left w:val="nil"/>
              <w:bottom w:val="nil"/>
              <w:right w:val="nil"/>
            </w:tcBorders>
            <w:shd w:val="clear" w:color="000000" w:fill="FFFFFF"/>
            <w:noWrap/>
            <w:tcMar>
              <w:top w:w="15" w:type="dxa"/>
              <w:left w:w="15" w:type="dxa"/>
              <w:bottom w:w="0" w:type="dxa"/>
              <w:right w:w="15" w:type="dxa"/>
            </w:tcMar>
            <w:vAlign w:val="center"/>
            <w:hideMark/>
          </w:tcPr>
          <w:p w14:paraId="1D551B7D"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2440" w:type="dxa"/>
            <w:gridSpan w:val="3"/>
            <w:tcBorders>
              <w:top w:val="double" w:sz="6" w:space="0" w:color="auto"/>
              <w:left w:val="nil"/>
              <w:bottom w:val="single" w:sz="8" w:space="0" w:color="auto"/>
              <w:right w:val="nil"/>
            </w:tcBorders>
            <w:shd w:val="clear" w:color="000000" w:fill="FFFFFF"/>
            <w:noWrap/>
            <w:tcMar>
              <w:top w:w="15" w:type="dxa"/>
              <w:left w:w="15" w:type="dxa"/>
              <w:bottom w:w="0" w:type="dxa"/>
              <w:right w:w="15" w:type="dxa"/>
            </w:tcMar>
            <w:vAlign w:val="center"/>
            <w:hideMark/>
          </w:tcPr>
          <w:p w14:paraId="650C46E0"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Vocational School Applicants</w:t>
            </w:r>
          </w:p>
        </w:tc>
      </w:tr>
      <w:tr w:rsidR="005C394B" w:rsidRPr="00166607" w14:paraId="13FBF68F" w14:textId="77777777" w:rsidTr="005C394B">
        <w:trPr>
          <w:gridAfter w:val="1"/>
          <w:wAfter w:w="10" w:type="dxa"/>
          <w:trHeight w:val="1095"/>
        </w:trPr>
        <w:tc>
          <w:tcPr>
            <w:tcW w:w="3072" w:type="dxa"/>
            <w:tcBorders>
              <w:top w:val="nil"/>
              <w:left w:val="nil"/>
              <w:bottom w:val="nil"/>
              <w:right w:val="nil"/>
            </w:tcBorders>
            <w:shd w:val="clear" w:color="000000" w:fill="FFFFFF"/>
            <w:tcMar>
              <w:top w:w="15" w:type="dxa"/>
              <w:left w:w="15" w:type="dxa"/>
              <w:bottom w:w="0" w:type="dxa"/>
              <w:right w:w="15" w:type="dxa"/>
            </w:tcMar>
            <w:vAlign w:val="center"/>
            <w:hideMark/>
          </w:tcPr>
          <w:p w14:paraId="02805DFD"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1400" w:type="dxa"/>
            <w:tcBorders>
              <w:top w:val="nil"/>
              <w:left w:val="nil"/>
              <w:bottom w:val="nil"/>
              <w:right w:val="nil"/>
            </w:tcBorders>
            <w:shd w:val="clear" w:color="000000" w:fill="FFFFFF"/>
            <w:tcMar>
              <w:top w:w="15" w:type="dxa"/>
              <w:left w:w="15" w:type="dxa"/>
              <w:bottom w:w="0" w:type="dxa"/>
              <w:right w:w="15" w:type="dxa"/>
            </w:tcMar>
            <w:vAlign w:val="center"/>
            <w:hideMark/>
          </w:tcPr>
          <w:p w14:paraId="11A2615E"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Loser's Mean</w:t>
            </w:r>
          </w:p>
        </w:tc>
        <w:tc>
          <w:tcPr>
            <w:tcW w:w="1030" w:type="dxa"/>
            <w:tcBorders>
              <w:top w:val="nil"/>
              <w:left w:val="nil"/>
              <w:bottom w:val="nil"/>
              <w:right w:val="nil"/>
            </w:tcBorders>
            <w:shd w:val="clear" w:color="000000" w:fill="FFFFFF"/>
            <w:tcMar>
              <w:top w:w="15" w:type="dxa"/>
              <w:left w:w="15" w:type="dxa"/>
              <w:bottom w:w="0" w:type="dxa"/>
              <w:right w:w="15" w:type="dxa"/>
            </w:tcMar>
            <w:vAlign w:val="center"/>
            <w:hideMark/>
          </w:tcPr>
          <w:p w14:paraId="1D7E1E4E"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xml:space="preserve">Winning Voucher </w:t>
            </w:r>
          </w:p>
        </w:tc>
        <w:tc>
          <w:tcPr>
            <w:tcW w:w="1530" w:type="dxa"/>
            <w:tcBorders>
              <w:top w:val="nil"/>
              <w:left w:val="nil"/>
              <w:bottom w:val="nil"/>
              <w:right w:val="nil"/>
            </w:tcBorders>
            <w:shd w:val="clear" w:color="000000" w:fill="FFFFFF"/>
            <w:tcMar>
              <w:top w:w="15" w:type="dxa"/>
              <w:left w:w="15" w:type="dxa"/>
              <w:bottom w:w="0" w:type="dxa"/>
              <w:right w:w="15" w:type="dxa"/>
            </w:tcMar>
            <w:vAlign w:val="center"/>
            <w:hideMark/>
          </w:tcPr>
          <w:p w14:paraId="0A5D67F0"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Winning Voucher, Valid School Type Info</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3C690E3F"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tcMar>
              <w:top w:w="15" w:type="dxa"/>
              <w:left w:w="15" w:type="dxa"/>
              <w:bottom w:w="0" w:type="dxa"/>
              <w:right w:w="15" w:type="dxa"/>
            </w:tcMar>
            <w:vAlign w:val="center"/>
            <w:hideMark/>
          </w:tcPr>
          <w:p w14:paraId="2554593C"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xml:space="preserve">Loser's Mean    </w:t>
            </w:r>
          </w:p>
        </w:tc>
        <w:tc>
          <w:tcPr>
            <w:tcW w:w="1220" w:type="dxa"/>
            <w:tcBorders>
              <w:top w:val="nil"/>
              <w:left w:val="nil"/>
              <w:bottom w:val="nil"/>
              <w:right w:val="nil"/>
            </w:tcBorders>
            <w:shd w:val="clear" w:color="000000" w:fill="FFFFFF"/>
            <w:tcMar>
              <w:top w:w="15" w:type="dxa"/>
              <w:left w:w="15" w:type="dxa"/>
              <w:bottom w:w="0" w:type="dxa"/>
              <w:right w:w="15" w:type="dxa"/>
            </w:tcMar>
            <w:vAlign w:val="center"/>
            <w:hideMark/>
          </w:tcPr>
          <w:p w14:paraId="2FF01E2D"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xml:space="preserve"> Winning Voucher</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29C273D9"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tcMar>
              <w:top w:w="15" w:type="dxa"/>
              <w:left w:w="15" w:type="dxa"/>
              <w:bottom w:w="0" w:type="dxa"/>
              <w:right w:w="15" w:type="dxa"/>
            </w:tcMar>
            <w:vAlign w:val="center"/>
            <w:hideMark/>
          </w:tcPr>
          <w:p w14:paraId="23E31AF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Loser's Mean</w:t>
            </w:r>
          </w:p>
        </w:tc>
        <w:tc>
          <w:tcPr>
            <w:tcW w:w="1400" w:type="dxa"/>
            <w:tcBorders>
              <w:top w:val="nil"/>
              <w:left w:val="nil"/>
              <w:bottom w:val="nil"/>
              <w:right w:val="nil"/>
            </w:tcBorders>
            <w:shd w:val="clear" w:color="000000" w:fill="FFFFFF"/>
            <w:tcMar>
              <w:top w:w="15" w:type="dxa"/>
              <w:left w:w="15" w:type="dxa"/>
              <w:bottom w:w="0" w:type="dxa"/>
              <w:right w:w="15" w:type="dxa"/>
            </w:tcMar>
            <w:vAlign w:val="center"/>
            <w:hideMark/>
          </w:tcPr>
          <w:p w14:paraId="5A8DFBA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Winning Voucher</w:t>
            </w:r>
          </w:p>
        </w:tc>
      </w:tr>
      <w:tr w:rsidR="005C394B" w:rsidRPr="00166607" w14:paraId="2291E0B2" w14:textId="77777777" w:rsidTr="005C394B">
        <w:trPr>
          <w:gridAfter w:val="1"/>
          <w:wAfter w:w="10" w:type="dxa"/>
          <w:trHeight w:val="300"/>
        </w:trPr>
        <w:tc>
          <w:tcPr>
            <w:tcW w:w="3072" w:type="dxa"/>
            <w:tcBorders>
              <w:top w:val="nil"/>
              <w:left w:val="nil"/>
              <w:bottom w:val="single" w:sz="8" w:space="0" w:color="auto"/>
              <w:right w:val="nil"/>
            </w:tcBorders>
            <w:shd w:val="clear" w:color="000000" w:fill="FFFFFF"/>
            <w:tcMar>
              <w:top w:w="15" w:type="dxa"/>
              <w:left w:w="15" w:type="dxa"/>
              <w:bottom w:w="0" w:type="dxa"/>
              <w:right w:w="15" w:type="dxa"/>
            </w:tcMar>
            <w:vAlign w:val="center"/>
            <w:hideMark/>
          </w:tcPr>
          <w:p w14:paraId="442E8AF7"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4895F65A"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(1)</w:t>
            </w:r>
          </w:p>
        </w:tc>
        <w:tc>
          <w:tcPr>
            <w:tcW w:w="1030" w:type="dxa"/>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3C18C59E"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(2)</w:t>
            </w:r>
          </w:p>
        </w:tc>
        <w:tc>
          <w:tcPr>
            <w:tcW w:w="1530" w:type="dxa"/>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1D621FF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(3)</w:t>
            </w:r>
          </w:p>
        </w:tc>
        <w:tc>
          <w:tcPr>
            <w:tcW w:w="0" w:type="auto"/>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5870C083"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78963881"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(4)</w:t>
            </w:r>
          </w:p>
        </w:tc>
        <w:tc>
          <w:tcPr>
            <w:tcW w:w="1220" w:type="dxa"/>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3602A1AD"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(5)</w:t>
            </w:r>
          </w:p>
        </w:tc>
        <w:tc>
          <w:tcPr>
            <w:tcW w:w="0" w:type="auto"/>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1E014A9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3296FCB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(7)</w:t>
            </w:r>
          </w:p>
        </w:tc>
        <w:tc>
          <w:tcPr>
            <w:tcW w:w="0" w:type="auto"/>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6569B000"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(8)</w:t>
            </w:r>
          </w:p>
        </w:tc>
      </w:tr>
      <w:tr w:rsidR="005C394B" w:rsidRPr="00166607" w14:paraId="433128B6" w14:textId="77777777" w:rsidTr="005C394B">
        <w:trPr>
          <w:gridAfter w:val="1"/>
          <w:wAfter w:w="10" w:type="dxa"/>
          <w:trHeight w:val="280"/>
        </w:trPr>
        <w:tc>
          <w:tcPr>
            <w:tcW w:w="3072" w:type="dxa"/>
            <w:tcBorders>
              <w:top w:val="nil"/>
              <w:left w:val="nil"/>
              <w:bottom w:val="nil"/>
              <w:right w:val="nil"/>
            </w:tcBorders>
            <w:shd w:val="clear" w:color="000000" w:fill="FFFFFF"/>
            <w:tcMar>
              <w:top w:w="15" w:type="dxa"/>
              <w:left w:w="15" w:type="dxa"/>
              <w:bottom w:w="0" w:type="dxa"/>
              <w:right w:w="15" w:type="dxa"/>
            </w:tcMar>
            <w:vAlign w:val="center"/>
            <w:hideMark/>
          </w:tcPr>
          <w:p w14:paraId="5165C755" w14:textId="77777777" w:rsidR="005C394B" w:rsidRPr="00166607" w:rsidRDefault="005C394B">
            <w:pPr>
              <w:rPr>
                <w:rFonts w:ascii="Times New Roman" w:eastAsia="Times New Roman" w:hAnsi="Times New Roman"/>
                <w:i/>
                <w:iCs/>
                <w:color w:val="000000"/>
              </w:rPr>
            </w:pPr>
            <w:r w:rsidRPr="00166607">
              <w:rPr>
                <w:rFonts w:ascii="Times New Roman" w:eastAsia="Times New Roman" w:hAnsi="Times New Roman"/>
                <w:i/>
                <w:iCs/>
                <w:color w:val="000000"/>
              </w:rPr>
              <w:t>A. Data from PACES Application</w:t>
            </w:r>
          </w:p>
        </w:tc>
        <w:tc>
          <w:tcPr>
            <w:tcW w:w="1400" w:type="dxa"/>
            <w:tcBorders>
              <w:top w:val="nil"/>
              <w:left w:val="nil"/>
              <w:bottom w:val="nil"/>
              <w:right w:val="nil"/>
            </w:tcBorders>
            <w:shd w:val="clear" w:color="000000" w:fill="FFFFFF"/>
            <w:tcMar>
              <w:top w:w="15" w:type="dxa"/>
              <w:left w:w="15" w:type="dxa"/>
              <w:bottom w:w="0" w:type="dxa"/>
              <w:right w:w="15" w:type="dxa"/>
            </w:tcMar>
            <w:vAlign w:val="center"/>
            <w:hideMark/>
          </w:tcPr>
          <w:p w14:paraId="489CEA56"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tcMar>
              <w:top w:w="15" w:type="dxa"/>
              <w:left w:w="15" w:type="dxa"/>
              <w:bottom w:w="0" w:type="dxa"/>
              <w:right w:w="15" w:type="dxa"/>
            </w:tcMar>
            <w:vAlign w:val="center"/>
            <w:hideMark/>
          </w:tcPr>
          <w:p w14:paraId="46D6B2A5"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1530" w:type="dxa"/>
            <w:tcBorders>
              <w:top w:val="nil"/>
              <w:left w:val="nil"/>
              <w:bottom w:val="nil"/>
              <w:right w:val="nil"/>
            </w:tcBorders>
            <w:shd w:val="clear" w:color="000000" w:fill="FFFFFF"/>
            <w:tcMar>
              <w:top w:w="15" w:type="dxa"/>
              <w:left w:w="15" w:type="dxa"/>
              <w:bottom w:w="0" w:type="dxa"/>
              <w:right w:w="15" w:type="dxa"/>
            </w:tcMar>
            <w:vAlign w:val="center"/>
            <w:hideMark/>
          </w:tcPr>
          <w:p w14:paraId="35902FC5"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77856B82"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tcMar>
              <w:top w:w="15" w:type="dxa"/>
              <w:left w:w="15" w:type="dxa"/>
              <w:bottom w:w="0" w:type="dxa"/>
              <w:right w:w="15" w:type="dxa"/>
            </w:tcMar>
            <w:vAlign w:val="center"/>
            <w:hideMark/>
          </w:tcPr>
          <w:p w14:paraId="547A5D5A"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1220" w:type="dxa"/>
            <w:tcBorders>
              <w:top w:val="nil"/>
              <w:left w:val="nil"/>
              <w:bottom w:val="nil"/>
              <w:right w:val="nil"/>
            </w:tcBorders>
            <w:shd w:val="clear" w:color="000000" w:fill="FFFFFF"/>
            <w:tcMar>
              <w:top w:w="15" w:type="dxa"/>
              <w:left w:w="15" w:type="dxa"/>
              <w:bottom w:w="0" w:type="dxa"/>
              <w:right w:w="15" w:type="dxa"/>
            </w:tcMar>
            <w:vAlign w:val="center"/>
            <w:hideMark/>
          </w:tcPr>
          <w:p w14:paraId="755C1ABC"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697AA4B7"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tcMar>
              <w:top w:w="15" w:type="dxa"/>
              <w:left w:w="15" w:type="dxa"/>
              <w:bottom w:w="0" w:type="dxa"/>
              <w:right w:w="15" w:type="dxa"/>
            </w:tcMar>
            <w:vAlign w:val="center"/>
            <w:hideMark/>
          </w:tcPr>
          <w:p w14:paraId="210DFB97"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1400" w:type="dxa"/>
            <w:tcBorders>
              <w:top w:val="nil"/>
              <w:left w:val="nil"/>
              <w:bottom w:val="nil"/>
              <w:right w:val="nil"/>
            </w:tcBorders>
            <w:shd w:val="clear" w:color="000000" w:fill="FFFFFF"/>
            <w:tcMar>
              <w:top w:w="15" w:type="dxa"/>
              <w:left w:w="15" w:type="dxa"/>
              <w:bottom w:w="0" w:type="dxa"/>
              <w:right w:w="15" w:type="dxa"/>
            </w:tcMar>
            <w:vAlign w:val="center"/>
            <w:hideMark/>
          </w:tcPr>
          <w:p w14:paraId="3079940B"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r>
      <w:tr w:rsidR="005C394B" w:rsidRPr="00166607" w14:paraId="6D7A46E8" w14:textId="77777777" w:rsidTr="005C394B">
        <w:trPr>
          <w:gridAfter w:val="1"/>
          <w:wAfter w:w="10" w:type="dxa"/>
          <w:trHeight w:val="280"/>
        </w:trPr>
        <w:tc>
          <w:tcPr>
            <w:tcW w:w="3072" w:type="dxa"/>
            <w:tcBorders>
              <w:top w:val="nil"/>
              <w:left w:val="nil"/>
              <w:bottom w:val="nil"/>
              <w:right w:val="nil"/>
            </w:tcBorders>
            <w:shd w:val="clear" w:color="000000" w:fill="FFFFFF"/>
            <w:tcMar>
              <w:top w:w="15" w:type="dxa"/>
              <w:left w:w="15" w:type="dxa"/>
              <w:bottom w:w="0" w:type="dxa"/>
              <w:right w:w="15" w:type="dxa"/>
            </w:tcMar>
            <w:vAlign w:val="center"/>
            <w:hideMark/>
          </w:tcPr>
          <w:p w14:paraId="4FF3A93B"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Has Phone</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1B0117A"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0.882</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6A9B5560"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0.009</w:t>
            </w:r>
          </w:p>
        </w:tc>
        <w:tc>
          <w:tcPr>
            <w:tcW w:w="15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64273ED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0.009</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50A24DFD"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7D96D03A"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0.869</w:t>
            </w:r>
          </w:p>
        </w:tc>
        <w:tc>
          <w:tcPr>
            <w:tcW w:w="12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1DBF41CD"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0.013</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4D4C0B58"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795C1FCF"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0.899</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E3D372B"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0.003</w:t>
            </w:r>
          </w:p>
        </w:tc>
      </w:tr>
      <w:tr w:rsidR="005C394B" w:rsidRPr="00166607" w14:paraId="5E7E3633" w14:textId="77777777" w:rsidTr="005C394B">
        <w:trPr>
          <w:gridAfter w:val="1"/>
          <w:wAfter w:w="10" w:type="dxa"/>
          <w:trHeight w:val="280"/>
        </w:trPr>
        <w:tc>
          <w:tcPr>
            <w:tcW w:w="3072"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06FF2DC4"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068B78DF"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FA8AD1F"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(0.011)</w:t>
            </w:r>
          </w:p>
        </w:tc>
        <w:tc>
          <w:tcPr>
            <w:tcW w:w="15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75065B3F"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(0.011)</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0FE769B0"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3BCE4AB2"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2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74146C9F"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(0.015)</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E98076C"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39619739"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6FF32924"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(0.016)</w:t>
            </w:r>
          </w:p>
        </w:tc>
      </w:tr>
      <w:tr w:rsidR="005C394B" w:rsidRPr="00166607" w14:paraId="67E99FBC" w14:textId="77777777" w:rsidTr="005C394B">
        <w:trPr>
          <w:gridAfter w:val="1"/>
          <w:wAfter w:w="10" w:type="dxa"/>
          <w:trHeight w:val="280"/>
        </w:trPr>
        <w:tc>
          <w:tcPr>
            <w:tcW w:w="3072" w:type="dxa"/>
            <w:tcBorders>
              <w:top w:val="nil"/>
              <w:left w:val="nil"/>
              <w:bottom w:val="nil"/>
              <w:right w:val="nil"/>
            </w:tcBorders>
            <w:shd w:val="clear" w:color="000000" w:fill="FFFFFF"/>
            <w:tcMar>
              <w:top w:w="15" w:type="dxa"/>
              <w:left w:w="15" w:type="dxa"/>
              <w:bottom w:w="0" w:type="dxa"/>
              <w:right w:w="15" w:type="dxa"/>
            </w:tcMar>
            <w:vAlign w:val="center"/>
            <w:hideMark/>
          </w:tcPr>
          <w:p w14:paraId="2AF22090"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Age at time of application</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25D80C94" w14:textId="77777777" w:rsidR="005C394B" w:rsidRPr="00166607" w:rsidRDefault="005C394B" w:rsidP="005C394B">
            <w:pPr>
              <w:ind w:left="-483" w:firstLine="483"/>
              <w:jc w:val="center"/>
              <w:rPr>
                <w:rFonts w:ascii="Times New Roman" w:eastAsia="Times New Roman" w:hAnsi="Times New Roman"/>
                <w:color w:val="000000"/>
              </w:rPr>
            </w:pPr>
            <w:r w:rsidRPr="00166607">
              <w:rPr>
                <w:rFonts w:ascii="Times New Roman" w:eastAsia="Times New Roman" w:hAnsi="Times New Roman"/>
                <w:color w:val="000000"/>
              </w:rPr>
              <w:t>12.74</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6C67628E"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-0.086</w:t>
            </w:r>
          </w:p>
        </w:tc>
        <w:tc>
          <w:tcPr>
            <w:tcW w:w="15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553CC4CA"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-0.086</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1756661B"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6897E2C9"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12.78</w:t>
            </w:r>
          </w:p>
        </w:tc>
        <w:tc>
          <w:tcPr>
            <w:tcW w:w="12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5E43614"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-0.033</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3EFB56D0"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4B3E3038"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12.63</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2BCCB933"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-0.144</w:t>
            </w:r>
          </w:p>
        </w:tc>
      </w:tr>
      <w:tr w:rsidR="005C394B" w:rsidRPr="00166607" w14:paraId="61F520D0" w14:textId="77777777" w:rsidTr="005C394B">
        <w:trPr>
          <w:gridAfter w:val="1"/>
          <w:wAfter w:w="10" w:type="dxa"/>
          <w:trHeight w:val="280"/>
        </w:trPr>
        <w:tc>
          <w:tcPr>
            <w:tcW w:w="3072" w:type="dxa"/>
            <w:tcBorders>
              <w:top w:val="nil"/>
              <w:left w:val="nil"/>
              <w:bottom w:val="nil"/>
              <w:right w:val="nil"/>
            </w:tcBorders>
            <w:shd w:val="clear" w:color="000000" w:fill="FFFFFF"/>
            <w:tcMar>
              <w:top w:w="15" w:type="dxa"/>
              <w:left w:w="15" w:type="dxa"/>
              <w:bottom w:w="0" w:type="dxa"/>
              <w:right w:w="15" w:type="dxa"/>
            </w:tcMar>
            <w:vAlign w:val="center"/>
            <w:hideMark/>
          </w:tcPr>
          <w:p w14:paraId="08A1D0B5"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2D06853"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(1.327)</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503F1750"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(0.045)*</w:t>
            </w:r>
          </w:p>
        </w:tc>
        <w:tc>
          <w:tcPr>
            <w:tcW w:w="15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1F6E25C4"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(0.046)*</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FAB918A"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53FB43F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(1.333)</w:t>
            </w:r>
          </w:p>
        </w:tc>
        <w:tc>
          <w:tcPr>
            <w:tcW w:w="12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696AEC43"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(0.062)</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5F6B383"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451750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(1.287)</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6402FEC8"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(0.068)**</w:t>
            </w:r>
          </w:p>
        </w:tc>
      </w:tr>
      <w:tr w:rsidR="005C394B" w:rsidRPr="00166607" w14:paraId="6D90DCEC" w14:textId="77777777" w:rsidTr="005C394B">
        <w:trPr>
          <w:gridAfter w:val="1"/>
          <w:wAfter w:w="10" w:type="dxa"/>
          <w:trHeight w:val="280"/>
        </w:trPr>
        <w:tc>
          <w:tcPr>
            <w:tcW w:w="3072" w:type="dxa"/>
            <w:tcBorders>
              <w:top w:val="nil"/>
              <w:left w:val="nil"/>
              <w:bottom w:val="nil"/>
              <w:right w:val="nil"/>
            </w:tcBorders>
            <w:shd w:val="clear" w:color="000000" w:fill="FFFFFF"/>
            <w:tcMar>
              <w:top w:w="15" w:type="dxa"/>
              <w:left w:w="15" w:type="dxa"/>
              <w:bottom w:w="0" w:type="dxa"/>
              <w:right w:w="15" w:type="dxa"/>
            </w:tcMar>
            <w:vAlign w:val="center"/>
            <w:hideMark/>
          </w:tcPr>
          <w:p w14:paraId="13F8A375"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Male</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4A37574"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0.49</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4DDDB49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0.011</w:t>
            </w:r>
          </w:p>
        </w:tc>
        <w:tc>
          <w:tcPr>
            <w:tcW w:w="15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4D65C957"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0.018</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54E9E931"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CA3EDCB"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0.504</w:t>
            </w:r>
          </w:p>
        </w:tc>
        <w:tc>
          <w:tcPr>
            <w:tcW w:w="12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7E65B4A"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0.008</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4B48F7DB"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49595B7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0.457</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04167B9D"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0.033</w:t>
            </w:r>
          </w:p>
        </w:tc>
      </w:tr>
      <w:tr w:rsidR="005C394B" w:rsidRPr="00166607" w14:paraId="6D8F57EE" w14:textId="77777777" w:rsidTr="005C394B">
        <w:trPr>
          <w:gridAfter w:val="1"/>
          <w:wAfter w:w="10" w:type="dxa"/>
          <w:trHeight w:val="280"/>
        </w:trPr>
        <w:tc>
          <w:tcPr>
            <w:tcW w:w="3072"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69782DFC"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2891E3F"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15A40D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(0.017)</w:t>
            </w:r>
          </w:p>
        </w:tc>
        <w:tc>
          <w:tcPr>
            <w:tcW w:w="15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1E762571"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(0.017)</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35870F68"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1966DAD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2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19E5CCE3"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(0.023)</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1FF1DA1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1C484B9F"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1C89CD22"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(0.026)</w:t>
            </w:r>
          </w:p>
        </w:tc>
      </w:tr>
      <w:tr w:rsidR="005C394B" w:rsidRPr="00166607" w14:paraId="693C3842" w14:textId="77777777" w:rsidTr="005C394B">
        <w:trPr>
          <w:gridAfter w:val="1"/>
          <w:wAfter w:w="10" w:type="dxa"/>
          <w:trHeight w:val="280"/>
        </w:trPr>
        <w:tc>
          <w:tcPr>
            <w:tcW w:w="3072"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F2D49B6"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Applied to Vocational School</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7771958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0.433</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5B81F751"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0.017</w:t>
            </w:r>
          </w:p>
        </w:tc>
        <w:tc>
          <w:tcPr>
            <w:tcW w:w="15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3F9BCC3"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0.017</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3ECB529E"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192D3FB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2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77F1C117"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1089945B"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090D2A6C"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921300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r>
      <w:tr w:rsidR="005C394B" w:rsidRPr="00166607" w14:paraId="26F07239" w14:textId="77777777" w:rsidTr="005C394B">
        <w:trPr>
          <w:gridAfter w:val="1"/>
          <w:wAfter w:w="10" w:type="dxa"/>
          <w:trHeight w:val="280"/>
        </w:trPr>
        <w:tc>
          <w:tcPr>
            <w:tcW w:w="3072"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46473343"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348671C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4C78A01"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(0.017)</w:t>
            </w:r>
          </w:p>
        </w:tc>
        <w:tc>
          <w:tcPr>
            <w:tcW w:w="15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1606105F"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(0.017)</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01AED559"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B3B59BA"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2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1EEDF65D"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2A11045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69E013B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460F6FF"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r>
      <w:tr w:rsidR="005C394B" w:rsidRPr="00166607" w14:paraId="6269834A" w14:textId="77777777" w:rsidTr="005C394B">
        <w:trPr>
          <w:gridAfter w:val="1"/>
          <w:wAfter w:w="10" w:type="dxa"/>
          <w:trHeight w:val="280"/>
        </w:trPr>
        <w:tc>
          <w:tcPr>
            <w:tcW w:w="3072"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715AC986" w14:textId="77777777" w:rsidR="005C394B" w:rsidRPr="00166607" w:rsidRDefault="005C394B">
            <w:pPr>
              <w:rPr>
                <w:rFonts w:ascii="Times New Roman" w:eastAsia="Times New Roman" w:hAnsi="Times New Roman"/>
                <w:i/>
                <w:iCs/>
                <w:color w:val="000000"/>
              </w:rPr>
            </w:pPr>
            <w:r w:rsidRPr="00166607">
              <w:rPr>
                <w:rFonts w:ascii="Times New Roman" w:eastAsia="Times New Roman" w:hAnsi="Times New Roman"/>
                <w:i/>
                <w:iCs/>
                <w:color w:val="000000"/>
              </w:rPr>
              <w:t>B. National Identification Data</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2F20B32"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5AA45E32"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5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6EBE869E"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1E3F4F2A"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7DCCCA28"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2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347460CF"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6FB2BDD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3729B660"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6464FA0"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r>
      <w:tr w:rsidR="005C394B" w:rsidRPr="00166607" w14:paraId="3BB5166D" w14:textId="77777777" w:rsidTr="005C394B">
        <w:trPr>
          <w:gridAfter w:val="1"/>
          <w:wAfter w:w="10" w:type="dxa"/>
          <w:trHeight w:val="280"/>
        </w:trPr>
        <w:tc>
          <w:tcPr>
            <w:tcW w:w="3072" w:type="dxa"/>
            <w:tcBorders>
              <w:top w:val="nil"/>
              <w:left w:val="nil"/>
              <w:bottom w:val="nil"/>
              <w:right w:val="nil"/>
            </w:tcBorders>
            <w:shd w:val="clear" w:color="000000" w:fill="FFFFFF"/>
            <w:tcMar>
              <w:top w:w="15" w:type="dxa"/>
              <w:left w:w="15" w:type="dxa"/>
              <w:bottom w:w="0" w:type="dxa"/>
              <w:right w:w="15" w:type="dxa"/>
            </w:tcMar>
            <w:vAlign w:val="center"/>
            <w:hideMark/>
          </w:tcPr>
          <w:p w14:paraId="04DEA9BE"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Valid youth identification number</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6D229B2A"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0.967</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63A77C7D"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0.001</w:t>
            </w:r>
          </w:p>
        </w:tc>
        <w:tc>
          <w:tcPr>
            <w:tcW w:w="15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B5FA659"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0.002</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0F7D5D22"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576A88B0"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0.959</w:t>
            </w:r>
          </w:p>
        </w:tc>
        <w:tc>
          <w:tcPr>
            <w:tcW w:w="12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D0AAFA4"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0.013</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0E00E90B"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53F902E4"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0.976</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12F0D200"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-0.011</w:t>
            </w:r>
          </w:p>
        </w:tc>
      </w:tr>
      <w:tr w:rsidR="005C394B" w:rsidRPr="00166607" w14:paraId="73E7995E" w14:textId="77777777" w:rsidTr="005C394B">
        <w:trPr>
          <w:gridAfter w:val="1"/>
          <w:wAfter w:w="10" w:type="dxa"/>
          <w:trHeight w:val="280"/>
        </w:trPr>
        <w:tc>
          <w:tcPr>
            <w:tcW w:w="3072"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D2A37EE"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7B06141"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548FD281"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(0.006)</w:t>
            </w:r>
          </w:p>
        </w:tc>
        <w:tc>
          <w:tcPr>
            <w:tcW w:w="15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C8B7B2D"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(0.006)</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7E013ECB"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10D2DC99"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2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04658DF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(0.009)</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703C892"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7732575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614D7753"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(0.009)</w:t>
            </w:r>
          </w:p>
        </w:tc>
      </w:tr>
      <w:tr w:rsidR="005C394B" w:rsidRPr="00166607" w14:paraId="0EF19649" w14:textId="77777777" w:rsidTr="005C394B">
        <w:trPr>
          <w:gridAfter w:val="1"/>
          <w:wAfter w:w="10" w:type="dxa"/>
          <w:trHeight w:val="280"/>
        </w:trPr>
        <w:tc>
          <w:tcPr>
            <w:tcW w:w="3072" w:type="dxa"/>
            <w:tcBorders>
              <w:top w:val="nil"/>
              <w:left w:val="nil"/>
              <w:bottom w:val="nil"/>
              <w:right w:val="nil"/>
            </w:tcBorders>
            <w:shd w:val="clear" w:color="000000" w:fill="FFFFFF"/>
            <w:tcMar>
              <w:top w:w="15" w:type="dxa"/>
              <w:left w:w="15" w:type="dxa"/>
              <w:bottom w:w="0" w:type="dxa"/>
              <w:right w:w="15" w:type="dxa"/>
            </w:tcMar>
            <w:vAlign w:val="center"/>
            <w:hideMark/>
          </w:tcPr>
          <w:p w14:paraId="16F3B2C6"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Valid adult identification number</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1E1E00B7"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0.978</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000E3B7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-0.003</w:t>
            </w:r>
          </w:p>
        </w:tc>
        <w:tc>
          <w:tcPr>
            <w:tcW w:w="15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3D0BBC37"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-0.004</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0640531E"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6CC14B6F"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0.979</w:t>
            </w:r>
          </w:p>
        </w:tc>
        <w:tc>
          <w:tcPr>
            <w:tcW w:w="12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4E77E19A"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-0.008</w:t>
            </w:r>
          </w:p>
        </w:tc>
        <w:tc>
          <w:tcPr>
            <w:tcW w:w="360" w:type="dxa"/>
            <w:tcBorders>
              <w:top w:val="nil"/>
              <w:left w:val="nil"/>
              <w:bottom w:val="nil"/>
              <w:right w:val="nil"/>
            </w:tcBorders>
            <w:shd w:val="clear" w:color="000000" w:fill="FFFFFF"/>
            <w:tcMar>
              <w:top w:w="15" w:type="dxa"/>
              <w:left w:w="15" w:type="dxa"/>
              <w:bottom w:w="0" w:type="dxa"/>
              <w:right w:w="15" w:type="dxa"/>
            </w:tcMar>
            <w:vAlign w:val="center"/>
            <w:hideMark/>
          </w:tcPr>
          <w:p w14:paraId="6816A99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4874B4C3"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0.979</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0476B71"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0.001</w:t>
            </w:r>
          </w:p>
        </w:tc>
      </w:tr>
      <w:tr w:rsidR="005C394B" w:rsidRPr="00166607" w14:paraId="18A7CAD3" w14:textId="77777777" w:rsidTr="005C394B">
        <w:trPr>
          <w:gridAfter w:val="1"/>
          <w:wAfter w:w="10" w:type="dxa"/>
          <w:trHeight w:val="280"/>
        </w:trPr>
        <w:tc>
          <w:tcPr>
            <w:tcW w:w="3072" w:type="dxa"/>
            <w:tcBorders>
              <w:top w:val="nil"/>
              <w:left w:val="nil"/>
              <w:bottom w:val="nil"/>
              <w:right w:val="nil"/>
            </w:tcBorders>
            <w:shd w:val="clear" w:color="000000" w:fill="FFFFFF"/>
            <w:tcMar>
              <w:top w:w="15" w:type="dxa"/>
              <w:left w:w="15" w:type="dxa"/>
              <w:bottom w:w="0" w:type="dxa"/>
              <w:right w:w="15" w:type="dxa"/>
            </w:tcMar>
            <w:vAlign w:val="center"/>
            <w:hideMark/>
          </w:tcPr>
          <w:p w14:paraId="651F25E4" w14:textId="77777777" w:rsidR="005C394B" w:rsidRPr="00166607" w:rsidRDefault="005C394B">
            <w:pP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76FD7E9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75EE036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(0.005)</w:t>
            </w:r>
          </w:p>
        </w:tc>
        <w:tc>
          <w:tcPr>
            <w:tcW w:w="15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47056833"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(0.005)</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357B4804"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558692F9"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22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26C14C4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(0.007)</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6097EFE5"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nil"/>
              <w:right w:val="nil"/>
            </w:tcBorders>
            <w:shd w:val="clear" w:color="000000" w:fill="FFFFFF"/>
            <w:noWrap/>
            <w:tcMar>
              <w:top w:w="15" w:type="dxa"/>
              <w:left w:w="15" w:type="dxa"/>
              <w:bottom w:w="0" w:type="dxa"/>
              <w:right w:w="15" w:type="dxa"/>
            </w:tcMar>
            <w:vAlign w:val="center"/>
            <w:hideMark/>
          </w:tcPr>
          <w:p w14:paraId="3FDB158F"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2D6E1F8"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(0.007)</w:t>
            </w:r>
          </w:p>
        </w:tc>
      </w:tr>
      <w:tr w:rsidR="005C394B" w:rsidRPr="00166607" w14:paraId="6F08054E" w14:textId="77777777" w:rsidTr="005C394B">
        <w:trPr>
          <w:gridAfter w:val="1"/>
          <w:wAfter w:w="10" w:type="dxa"/>
          <w:trHeight w:val="300"/>
        </w:trPr>
        <w:tc>
          <w:tcPr>
            <w:tcW w:w="3072" w:type="dxa"/>
            <w:tcBorders>
              <w:top w:val="nil"/>
              <w:left w:val="nil"/>
              <w:bottom w:val="double" w:sz="6" w:space="0" w:color="auto"/>
              <w:right w:val="nil"/>
            </w:tcBorders>
            <w:shd w:val="clear" w:color="000000" w:fill="FFFFFF"/>
            <w:tcMar>
              <w:top w:w="15" w:type="dxa"/>
              <w:left w:w="15" w:type="dxa"/>
              <w:bottom w:w="0" w:type="dxa"/>
              <w:right w:w="15" w:type="dxa"/>
            </w:tcMar>
            <w:vAlign w:val="center"/>
            <w:hideMark/>
          </w:tcPr>
          <w:p w14:paraId="781CD16C" w14:textId="77777777" w:rsidR="005C394B" w:rsidRPr="00166607" w:rsidRDefault="005C394B">
            <w:pPr>
              <w:rPr>
                <w:rFonts w:ascii="Times New Roman" w:eastAsia="Times New Roman" w:hAnsi="Times New Roman"/>
                <w:i/>
                <w:iCs/>
                <w:color w:val="000000"/>
              </w:rPr>
            </w:pPr>
            <w:r w:rsidRPr="00166607">
              <w:rPr>
                <w:rFonts w:ascii="Times New Roman" w:eastAsia="Times New Roman" w:hAnsi="Times New Roman"/>
                <w:i/>
                <w:iCs/>
                <w:color w:val="000000"/>
              </w:rPr>
              <w:t>N</w:t>
            </w:r>
          </w:p>
        </w:tc>
        <w:tc>
          <w:tcPr>
            <w:tcW w:w="1400" w:type="dxa"/>
            <w:tcBorders>
              <w:top w:val="nil"/>
              <w:left w:val="nil"/>
              <w:bottom w:val="double" w:sz="6" w:space="0" w:color="auto"/>
              <w:right w:val="nil"/>
            </w:tcBorders>
            <w:shd w:val="clear" w:color="000000" w:fill="FFFFFF"/>
            <w:tcMar>
              <w:top w:w="15" w:type="dxa"/>
              <w:left w:w="15" w:type="dxa"/>
              <w:bottom w:w="0" w:type="dxa"/>
              <w:right w:w="15" w:type="dxa"/>
            </w:tcMar>
            <w:vAlign w:val="center"/>
            <w:hideMark/>
          </w:tcPr>
          <w:p w14:paraId="049B1519"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1519</w:t>
            </w:r>
          </w:p>
        </w:tc>
        <w:tc>
          <w:tcPr>
            <w:tcW w:w="1030" w:type="dxa"/>
            <w:tcBorders>
              <w:top w:val="nil"/>
              <w:left w:val="nil"/>
              <w:bottom w:val="double" w:sz="6" w:space="0" w:color="auto"/>
              <w:right w:val="nil"/>
            </w:tcBorders>
            <w:shd w:val="clear" w:color="000000" w:fill="FFFFFF"/>
            <w:tcMar>
              <w:top w:w="15" w:type="dxa"/>
              <w:left w:w="15" w:type="dxa"/>
              <w:bottom w:w="0" w:type="dxa"/>
              <w:right w:w="15" w:type="dxa"/>
            </w:tcMar>
            <w:vAlign w:val="center"/>
            <w:hideMark/>
          </w:tcPr>
          <w:p w14:paraId="4C85131C"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3661</w:t>
            </w:r>
          </w:p>
        </w:tc>
        <w:tc>
          <w:tcPr>
            <w:tcW w:w="1530" w:type="dxa"/>
            <w:tcBorders>
              <w:top w:val="nil"/>
              <w:left w:val="nil"/>
              <w:bottom w:val="double" w:sz="6" w:space="0" w:color="auto"/>
              <w:right w:val="nil"/>
            </w:tcBorders>
            <w:shd w:val="clear" w:color="000000" w:fill="FFFFFF"/>
            <w:tcMar>
              <w:top w:w="15" w:type="dxa"/>
              <w:left w:w="15" w:type="dxa"/>
              <w:bottom w:w="0" w:type="dxa"/>
              <w:right w:w="15" w:type="dxa"/>
            </w:tcMar>
            <w:vAlign w:val="center"/>
            <w:hideMark/>
          </w:tcPr>
          <w:p w14:paraId="283AE766"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3413</w:t>
            </w:r>
          </w:p>
        </w:tc>
        <w:tc>
          <w:tcPr>
            <w:tcW w:w="360" w:type="dxa"/>
            <w:tcBorders>
              <w:top w:val="nil"/>
              <w:left w:val="nil"/>
              <w:bottom w:val="double" w:sz="6" w:space="0" w:color="auto"/>
              <w:right w:val="nil"/>
            </w:tcBorders>
            <w:shd w:val="clear" w:color="000000" w:fill="FFFFFF"/>
            <w:tcMar>
              <w:top w:w="15" w:type="dxa"/>
              <w:left w:w="15" w:type="dxa"/>
              <w:bottom w:w="0" w:type="dxa"/>
              <w:right w:w="15" w:type="dxa"/>
            </w:tcMar>
            <w:vAlign w:val="center"/>
            <w:hideMark/>
          </w:tcPr>
          <w:p w14:paraId="76CBFFCE"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120" w:type="dxa"/>
            <w:tcBorders>
              <w:top w:val="nil"/>
              <w:left w:val="nil"/>
              <w:bottom w:val="double" w:sz="6" w:space="0" w:color="auto"/>
              <w:right w:val="nil"/>
            </w:tcBorders>
            <w:shd w:val="clear" w:color="000000" w:fill="FFFFFF"/>
            <w:tcMar>
              <w:top w:w="15" w:type="dxa"/>
              <w:left w:w="15" w:type="dxa"/>
              <w:bottom w:w="0" w:type="dxa"/>
              <w:right w:w="15" w:type="dxa"/>
            </w:tcMar>
            <w:vAlign w:val="center"/>
            <w:hideMark/>
          </w:tcPr>
          <w:p w14:paraId="0B21742E"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803</w:t>
            </w:r>
          </w:p>
        </w:tc>
        <w:tc>
          <w:tcPr>
            <w:tcW w:w="1220" w:type="dxa"/>
            <w:tcBorders>
              <w:top w:val="nil"/>
              <w:left w:val="nil"/>
              <w:bottom w:val="double" w:sz="6" w:space="0" w:color="auto"/>
              <w:right w:val="nil"/>
            </w:tcBorders>
            <w:shd w:val="clear" w:color="000000" w:fill="FFFFFF"/>
            <w:tcMar>
              <w:top w:w="15" w:type="dxa"/>
              <w:left w:w="15" w:type="dxa"/>
              <w:bottom w:w="0" w:type="dxa"/>
              <w:right w:w="15" w:type="dxa"/>
            </w:tcMar>
            <w:vAlign w:val="center"/>
            <w:hideMark/>
          </w:tcPr>
          <w:p w14:paraId="1D72C362"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1901</w:t>
            </w:r>
          </w:p>
        </w:tc>
        <w:tc>
          <w:tcPr>
            <w:tcW w:w="360" w:type="dxa"/>
            <w:tcBorders>
              <w:top w:val="nil"/>
              <w:left w:val="nil"/>
              <w:bottom w:val="double" w:sz="6" w:space="0" w:color="auto"/>
              <w:right w:val="nil"/>
            </w:tcBorders>
            <w:shd w:val="clear" w:color="000000" w:fill="FFFFFF"/>
            <w:tcMar>
              <w:top w:w="15" w:type="dxa"/>
              <w:left w:w="15" w:type="dxa"/>
              <w:bottom w:w="0" w:type="dxa"/>
              <w:right w:w="15" w:type="dxa"/>
            </w:tcMar>
            <w:vAlign w:val="center"/>
            <w:hideMark/>
          </w:tcPr>
          <w:p w14:paraId="56BE42B1"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030" w:type="dxa"/>
            <w:tcBorders>
              <w:top w:val="nil"/>
              <w:left w:val="nil"/>
              <w:bottom w:val="double" w:sz="6" w:space="0" w:color="auto"/>
              <w:right w:val="nil"/>
            </w:tcBorders>
            <w:shd w:val="clear" w:color="000000" w:fill="FFFFFF"/>
            <w:tcMar>
              <w:top w:w="15" w:type="dxa"/>
              <w:left w:w="15" w:type="dxa"/>
              <w:bottom w:w="0" w:type="dxa"/>
              <w:right w:w="15" w:type="dxa"/>
            </w:tcMar>
            <w:vAlign w:val="center"/>
            <w:hideMark/>
          </w:tcPr>
          <w:p w14:paraId="5C117410"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613</w:t>
            </w:r>
          </w:p>
        </w:tc>
        <w:tc>
          <w:tcPr>
            <w:tcW w:w="1400" w:type="dxa"/>
            <w:tcBorders>
              <w:top w:val="nil"/>
              <w:left w:val="nil"/>
              <w:bottom w:val="double" w:sz="6" w:space="0" w:color="auto"/>
              <w:right w:val="nil"/>
            </w:tcBorders>
            <w:shd w:val="clear" w:color="000000" w:fill="FFFFFF"/>
            <w:tcMar>
              <w:top w:w="15" w:type="dxa"/>
              <w:left w:w="15" w:type="dxa"/>
              <w:bottom w:w="0" w:type="dxa"/>
              <w:right w:w="15" w:type="dxa"/>
            </w:tcMar>
            <w:vAlign w:val="center"/>
            <w:hideMark/>
          </w:tcPr>
          <w:p w14:paraId="249E7C01" w14:textId="77777777" w:rsidR="005C394B" w:rsidRPr="00166607" w:rsidRDefault="005C394B">
            <w:pPr>
              <w:jc w:val="center"/>
              <w:rPr>
                <w:rFonts w:ascii="Times New Roman" w:eastAsia="Times New Roman" w:hAnsi="Times New Roman"/>
                <w:color w:val="000000"/>
              </w:rPr>
            </w:pPr>
            <w:r w:rsidRPr="00166607">
              <w:rPr>
                <w:rFonts w:ascii="Times New Roman" w:eastAsia="Times New Roman" w:hAnsi="Times New Roman"/>
                <w:color w:val="000000"/>
              </w:rPr>
              <w:t>1512</w:t>
            </w:r>
          </w:p>
        </w:tc>
      </w:tr>
    </w:tbl>
    <w:p w14:paraId="56F06CBD" w14:textId="21C08476" w:rsidR="00596C9C" w:rsidRPr="00166607" w:rsidRDefault="005C394B" w:rsidP="00C6061A">
      <w:pPr>
        <w:rPr>
          <w:rFonts w:ascii="Times New Roman" w:hAnsi="Times New Roman"/>
          <w:sz w:val="20"/>
          <w:szCs w:val="20"/>
        </w:rPr>
        <w:sectPr w:rsidR="00596C9C" w:rsidRPr="00166607" w:rsidSect="00402892">
          <w:endnotePr>
            <w:numFmt w:val="decimal"/>
          </w:endnotePr>
          <w:pgSz w:w="15840" w:h="12240" w:orient="landscape"/>
          <w:pgMar w:top="1584" w:right="1440" w:bottom="1584" w:left="1440" w:header="720" w:footer="720" w:gutter="0"/>
          <w:cols w:space="720"/>
          <w:docGrid w:linePitch="360"/>
        </w:sectPr>
      </w:pPr>
      <w:r w:rsidRPr="00166607">
        <w:rPr>
          <w:rFonts w:ascii="Times New Roman" w:hAnsi="Times New Roman"/>
          <w:i/>
          <w:sz w:val="20"/>
          <w:szCs w:val="20"/>
        </w:rPr>
        <w:t xml:space="preserve"> </w:t>
      </w:r>
      <w:r w:rsidR="009C16C9" w:rsidRPr="00166607">
        <w:rPr>
          <w:rFonts w:ascii="Times New Roman" w:hAnsi="Times New Roman"/>
          <w:i/>
          <w:sz w:val="20"/>
          <w:szCs w:val="20"/>
        </w:rPr>
        <w:t>Notes:</w:t>
      </w:r>
      <w:r w:rsidR="009C16C9" w:rsidRPr="00166607">
        <w:rPr>
          <w:rFonts w:ascii="Times New Roman" w:hAnsi="Times New Roman"/>
          <w:sz w:val="20"/>
          <w:szCs w:val="20"/>
        </w:rPr>
        <w:t xml:space="preserve"> Table reports </w:t>
      </w:r>
      <w:r w:rsidR="003C6D39" w:rsidRPr="00166607">
        <w:rPr>
          <w:rFonts w:ascii="Times New Roman" w:hAnsi="Times New Roman"/>
          <w:sz w:val="20"/>
          <w:szCs w:val="20"/>
        </w:rPr>
        <w:t xml:space="preserve">OLS </w:t>
      </w:r>
      <w:r w:rsidR="00A40FB1" w:rsidRPr="00166607">
        <w:rPr>
          <w:rFonts w:ascii="Times New Roman" w:hAnsi="Times New Roman"/>
          <w:sz w:val="20"/>
          <w:szCs w:val="20"/>
        </w:rPr>
        <w:t>scholarship lottery loser</w:t>
      </w:r>
      <w:r w:rsidR="009C16C9" w:rsidRPr="00166607">
        <w:rPr>
          <w:rFonts w:ascii="Times New Roman" w:hAnsi="Times New Roman"/>
          <w:sz w:val="20"/>
          <w:szCs w:val="20"/>
        </w:rPr>
        <w:t xml:space="preserve">’s means and estimated effects of winning a scholarship.  Numbers in parentheses are standard deviations in columns of means and standard errors in columns of estimated scholarship effects. </w:t>
      </w:r>
      <w:r w:rsidR="00194184" w:rsidRPr="00166607">
        <w:rPr>
          <w:rFonts w:ascii="Times New Roman" w:hAnsi="Times New Roman"/>
          <w:sz w:val="20"/>
          <w:szCs w:val="20"/>
        </w:rPr>
        <w:t>Results in Panel A are the same as those in Angrist et al. (2006) for having a phone, age at the time of application and gender</w:t>
      </w:r>
      <w:r w:rsidR="00625844" w:rsidRPr="00166607">
        <w:rPr>
          <w:rFonts w:ascii="Times New Roman" w:hAnsi="Times New Roman"/>
          <w:sz w:val="20"/>
          <w:szCs w:val="20"/>
        </w:rPr>
        <w:t>,</w:t>
      </w:r>
      <w:r w:rsidR="00194184" w:rsidRPr="00166607">
        <w:rPr>
          <w:rFonts w:ascii="Times New Roman" w:hAnsi="Times New Roman"/>
          <w:sz w:val="20"/>
          <w:szCs w:val="20"/>
        </w:rPr>
        <w:t xml:space="preserve"> and as those in Bettinger et al. (2010) for having applied to a vocational school.</w:t>
      </w:r>
    </w:p>
    <w:p w14:paraId="608863ED" w14:textId="509421AF" w:rsidR="007734E7" w:rsidRPr="00166607" w:rsidRDefault="00FD2CA6" w:rsidP="00712640">
      <w:pPr>
        <w:rPr>
          <w:rFonts w:ascii="Times New Roman" w:hAnsi="Times New Roman"/>
          <w:color w:val="000000"/>
        </w:rPr>
      </w:pPr>
      <w:r w:rsidRPr="00166607">
        <w:rPr>
          <w:rFonts w:ascii="Times New Roman" w:hAnsi="Times New Roman"/>
          <w:color w:val="000000"/>
        </w:rPr>
        <w:lastRenderedPageBreak/>
        <w:t xml:space="preserve">Table </w:t>
      </w:r>
      <w:r w:rsidR="0022658E" w:rsidRPr="00166607">
        <w:rPr>
          <w:rFonts w:ascii="Times New Roman" w:hAnsi="Times New Roman"/>
          <w:color w:val="000000"/>
        </w:rPr>
        <w:t>2</w:t>
      </w:r>
      <w:r w:rsidR="00F44A45" w:rsidRPr="00166607">
        <w:rPr>
          <w:rFonts w:ascii="Times New Roman" w:hAnsi="Times New Roman"/>
          <w:color w:val="000000"/>
        </w:rPr>
        <w:t xml:space="preserve">. </w:t>
      </w:r>
      <w:r w:rsidR="00F0640E" w:rsidRPr="00166607">
        <w:rPr>
          <w:rFonts w:ascii="Times New Roman" w:hAnsi="Times New Roman"/>
          <w:color w:val="000000"/>
        </w:rPr>
        <w:t xml:space="preserve">Scholarship </w:t>
      </w:r>
      <w:r w:rsidR="00330EE7" w:rsidRPr="00166607">
        <w:rPr>
          <w:rFonts w:ascii="Times New Roman" w:hAnsi="Times New Roman"/>
          <w:color w:val="000000"/>
        </w:rPr>
        <w:t>i</w:t>
      </w:r>
      <w:r w:rsidR="00066EA8" w:rsidRPr="00166607">
        <w:rPr>
          <w:rFonts w:ascii="Times New Roman" w:hAnsi="Times New Roman"/>
          <w:color w:val="000000"/>
        </w:rPr>
        <w:t>mpacts</w:t>
      </w:r>
      <w:r w:rsidR="00E40EFB" w:rsidRPr="00166607">
        <w:rPr>
          <w:rFonts w:ascii="Times New Roman" w:hAnsi="Times New Roman"/>
          <w:color w:val="000000"/>
        </w:rPr>
        <w:t xml:space="preserve"> on </w:t>
      </w:r>
      <w:r w:rsidR="00330EE7" w:rsidRPr="00166607">
        <w:rPr>
          <w:rFonts w:ascii="Times New Roman" w:hAnsi="Times New Roman"/>
          <w:color w:val="000000"/>
        </w:rPr>
        <w:t>long r</w:t>
      </w:r>
      <w:r w:rsidR="00A35E42" w:rsidRPr="00166607">
        <w:rPr>
          <w:rFonts w:ascii="Times New Roman" w:hAnsi="Times New Roman"/>
          <w:color w:val="000000"/>
        </w:rPr>
        <w:t>un</w:t>
      </w:r>
      <w:r w:rsidR="00330EE7" w:rsidRPr="00166607">
        <w:rPr>
          <w:rFonts w:ascii="Times New Roman" w:hAnsi="Times New Roman"/>
          <w:color w:val="000000"/>
        </w:rPr>
        <w:t xml:space="preserve"> educational o</w:t>
      </w:r>
      <w:r w:rsidR="00F0640E" w:rsidRPr="00166607">
        <w:rPr>
          <w:rFonts w:ascii="Times New Roman" w:hAnsi="Times New Roman"/>
          <w:color w:val="000000"/>
        </w:rPr>
        <w:t>utcomes</w:t>
      </w:r>
    </w:p>
    <w:tbl>
      <w:tblPr>
        <w:tblW w:w="12621" w:type="dxa"/>
        <w:tblInd w:w="93" w:type="dxa"/>
        <w:tblLayout w:type="fixed"/>
        <w:tblLook w:val="04A0" w:firstRow="1" w:lastRow="0" w:firstColumn="1" w:lastColumn="0" w:noHBand="0" w:noVBand="1"/>
      </w:tblPr>
      <w:tblGrid>
        <w:gridCol w:w="4425"/>
        <w:gridCol w:w="1220"/>
        <w:gridCol w:w="1400"/>
        <w:gridCol w:w="265"/>
        <w:gridCol w:w="1205"/>
        <w:gridCol w:w="1310"/>
        <w:gridCol w:w="236"/>
        <w:gridCol w:w="1160"/>
        <w:gridCol w:w="1400"/>
      </w:tblGrid>
      <w:tr w:rsidR="002D2C02" w:rsidRPr="00166607" w14:paraId="0990BF51" w14:textId="77777777" w:rsidTr="004E36D2">
        <w:trPr>
          <w:trHeight w:val="180"/>
        </w:trPr>
        <w:tc>
          <w:tcPr>
            <w:tcW w:w="4425" w:type="dxa"/>
            <w:tcBorders>
              <w:top w:val="nil"/>
              <w:left w:val="nil"/>
              <w:bottom w:val="nil"/>
              <w:right w:val="nil"/>
            </w:tcBorders>
            <w:shd w:val="clear" w:color="auto" w:fill="auto"/>
            <w:noWrap/>
            <w:vAlign w:val="bottom"/>
            <w:hideMark/>
          </w:tcPr>
          <w:p w14:paraId="0F854638" w14:textId="77777777" w:rsidR="00402BF9" w:rsidRPr="00166607" w:rsidRDefault="00402BF9" w:rsidP="00402BF9">
            <w:pPr>
              <w:rPr>
                <w:rFonts w:ascii="Calibri" w:eastAsia="Times New Roman" w:hAnsi="Calibri"/>
                <w:color w:val="000000"/>
                <w:sz w:val="22"/>
                <w:szCs w:val="22"/>
              </w:rPr>
            </w:pPr>
          </w:p>
        </w:tc>
        <w:tc>
          <w:tcPr>
            <w:tcW w:w="1220" w:type="dxa"/>
            <w:tcBorders>
              <w:top w:val="nil"/>
              <w:left w:val="nil"/>
              <w:bottom w:val="nil"/>
              <w:right w:val="nil"/>
            </w:tcBorders>
            <w:shd w:val="clear" w:color="auto" w:fill="auto"/>
            <w:noWrap/>
            <w:vAlign w:val="bottom"/>
            <w:hideMark/>
          </w:tcPr>
          <w:p w14:paraId="06E39269" w14:textId="77777777" w:rsidR="00402BF9" w:rsidRPr="00166607" w:rsidRDefault="00402BF9" w:rsidP="00402BF9">
            <w:pPr>
              <w:rPr>
                <w:rFonts w:ascii="Calibri" w:eastAsia="Times New Roman" w:hAnsi="Calibri"/>
                <w:color w:val="000000"/>
                <w:sz w:val="22"/>
                <w:szCs w:val="22"/>
              </w:rPr>
            </w:pPr>
          </w:p>
        </w:tc>
        <w:tc>
          <w:tcPr>
            <w:tcW w:w="1400" w:type="dxa"/>
            <w:tcBorders>
              <w:top w:val="nil"/>
              <w:left w:val="nil"/>
              <w:bottom w:val="nil"/>
              <w:right w:val="nil"/>
            </w:tcBorders>
            <w:shd w:val="clear" w:color="auto" w:fill="auto"/>
            <w:noWrap/>
            <w:vAlign w:val="bottom"/>
            <w:hideMark/>
          </w:tcPr>
          <w:p w14:paraId="6374853B" w14:textId="77777777" w:rsidR="00402BF9" w:rsidRPr="00166607" w:rsidRDefault="00402BF9" w:rsidP="00402BF9">
            <w:pPr>
              <w:rPr>
                <w:rFonts w:ascii="Calibri" w:eastAsia="Times New Roman" w:hAnsi="Calibri"/>
                <w:color w:val="000000"/>
                <w:sz w:val="22"/>
                <w:szCs w:val="22"/>
              </w:rPr>
            </w:pPr>
          </w:p>
        </w:tc>
        <w:tc>
          <w:tcPr>
            <w:tcW w:w="265" w:type="dxa"/>
            <w:tcBorders>
              <w:top w:val="nil"/>
              <w:left w:val="nil"/>
              <w:bottom w:val="nil"/>
              <w:right w:val="nil"/>
            </w:tcBorders>
            <w:shd w:val="clear" w:color="auto" w:fill="auto"/>
            <w:noWrap/>
            <w:vAlign w:val="bottom"/>
            <w:hideMark/>
          </w:tcPr>
          <w:p w14:paraId="08282664" w14:textId="77777777" w:rsidR="00402BF9" w:rsidRPr="00166607" w:rsidRDefault="00402BF9" w:rsidP="00402BF9">
            <w:pPr>
              <w:rPr>
                <w:rFonts w:ascii="Calibri" w:eastAsia="Times New Roman" w:hAnsi="Calibri"/>
                <w:color w:val="000000"/>
                <w:sz w:val="22"/>
                <w:szCs w:val="22"/>
              </w:rPr>
            </w:pPr>
          </w:p>
        </w:tc>
        <w:tc>
          <w:tcPr>
            <w:tcW w:w="1205" w:type="dxa"/>
            <w:tcBorders>
              <w:top w:val="nil"/>
              <w:left w:val="nil"/>
              <w:bottom w:val="nil"/>
              <w:right w:val="nil"/>
            </w:tcBorders>
            <w:shd w:val="clear" w:color="auto" w:fill="auto"/>
            <w:noWrap/>
            <w:vAlign w:val="bottom"/>
            <w:hideMark/>
          </w:tcPr>
          <w:p w14:paraId="07558AC5" w14:textId="77777777" w:rsidR="00402BF9" w:rsidRPr="00166607" w:rsidRDefault="00402BF9" w:rsidP="00402BF9">
            <w:pPr>
              <w:rPr>
                <w:rFonts w:ascii="Calibri" w:eastAsia="Times New Roman" w:hAnsi="Calibri"/>
                <w:color w:val="000000"/>
                <w:sz w:val="22"/>
                <w:szCs w:val="22"/>
              </w:rPr>
            </w:pPr>
          </w:p>
        </w:tc>
        <w:tc>
          <w:tcPr>
            <w:tcW w:w="1310" w:type="dxa"/>
            <w:tcBorders>
              <w:top w:val="nil"/>
              <w:left w:val="nil"/>
              <w:bottom w:val="nil"/>
              <w:right w:val="nil"/>
            </w:tcBorders>
            <w:shd w:val="clear" w:color="auto" w:fill="auto"/>
            <w:noWrap/>
            <w:vAlign w:val="bottom"/>
            <w:hideMark/>
          </w:tcPr>
          <w:p w14:paraId="77B96322" w14:textId="77777777" w:rsidR="00402BF9" w:rsidRPr="00166607" w:rsidRDefault="00402BF9" w:rsidP="00402BF9">
            <w:pPr>
              <w:rPr>
                <w:rFonts w:ascii="Calibri" w:eastAsia="Times New Roman" w:hAnsi="Calibri"/>
                <w:color w:val="000000"/>
                <w:sz w:val="22"/>
                <w:szCs w:val="22"/>
              </w:rPr>
            </w:pPr>
          </w:p>
        </w:tc>
        <w:tc>
          <w:tcPr>
            <w:tcW w:w="236" w:type="dxa"/>
            <w:tcBorders>
              <w:top w:val="nil"/>
              <w:left w:val="nil"/>
              <w:bottom w:val="nil"/>
              <w:right w:val="nil"/>
            </w:tcBorders>
            <w:shd w:val="clear" w:color="auto" w:fill="auto"/>
            <w:noWrap/>
            <w:vAlign w:val="bottom"/>
            <w:hideMark/>
          </w:tcPr>
          <w:p w14:paraId="1E1CF8B4" w14:textId="77777777" w:rsidR="00402BF9" w:rsidRPr="00166607" w:rsidRDefault="00402BF9" w:rsidP="00402BF9">
            <w:pPr>
              <w:rPr>
                <w:rFonts w:ascii="Calibri" w:eastAsia="Times New Roman" w:hAnsi="Calibri"/>
                <w:color w:val="000000"/>
                <w:sz w:val="22"/>
                <w:szCs w:val="22"/>
              </w:rPr>
            </w:pPr>
          </w:p>
        </w:tc>
        <w:tc>
          <w:tcPr>
            <w:tcW w:w="1160" w:type="dxa"/>
            <w:tcBorders>
              <w:top w:val="nil"/>
              <w:left w:val="nil"/>
              <w:bottom w:val="nil"/>
              <w:right w:val="nil"/>
            </w:tcBorders>
            <w:shd w:val="clear" w:color="auto" w:fill="auto"/>
            <w:noWrap/>
            <w:vAlign w:val="bottom"/>
            <w:hideMark/>
          </w:tcPr>
          <w:p w14:paraId="587DD3DA" w14:textId="77777777" w:rsidR="00402BF9" w:rsidRPr="00166607" w:rsidRDefault="00402BF9" w:rsidP="00402BF9">
            <w:pPr>
              <w:rPr>
                <w:rFonts w:ascii="Calibri" w:eastAsia="Times New Roman" w:hAnsi="Calibri"/>
                <w:color w:val="000000"/>
                <w:sz w:val="22"/>
                <w:szCs w:val="22"/>
              </w:rPr>
            </w:pPr>
          </w:p>
        </w:tc>
        <w:tc>
          <w:tcPr>
            <w:tcW w:w="1400" w:type="dxa"/>
            <w:tcBorders>
              <w:top w:val="nil"/>
              <w:left w:val="nil"/>
              <w:bottom w:val="nil"/>
              <w:right w:val="nil"/>
            </w:tcBorders>
            <w:shd w:val="clear" w:color="auto" w:fill="auto"/>
            <w:noWrap/>
            <w:vAlign w:val="bottom"/>
            <w:hideMark/>
          </w:tcPr>
          <w:p w14:paraId="6E353074" w14:textId="77777777" w:rsidR="00402BF9" w:rsidRPr="00166607" w:rsidRDefault="00402BF9" w:rsidP="00402BF9">
            <w:pPr>
              <w:rPr>
                <w:rFonts w:ascii="Calibri" w:eastAsia="Times New Roman" w:hAnsi="Calibri"/>
                <w:color w:val="000000"/>
                <w:sz w:val="22"/>
                <w:szCs w:val="22"/>
              </w:rPr>
            </w:pPr>
          </w:p>
        </w:tc>
      </w:tr>
      <w:tr w:rsidR="002D2C02" w:rsidRPr="00166607" w14:paraId="01570D96" w14:textId="77777777" w:rsidTr="004E36D2">
        <w:trPr>
          <w:trHeight w:val="320"/>
        </w:trPr>
        <w:tc>
          <w:tcPr>
            <w:tcW w:w="4425" w:type="dxa"/>
            <w:tcBorders>
              <w:top w:val="double" w:sz="6" w:space="0" w:color="auto"/>
              <w:left w:val="nil"/>
              <w:bottom w:val="nil"/>
              <w:right w:val="nil"/>
            </w:tcBorders>
            <w:shd w:val="clear" w:color="000000" w:fill="FFFFFF"/>
            <w:vAlign w:val="center"/>
            <w:hideMark/>
          </w:tcPr>
          <w:p w14:paraId="11082C91"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2620" w:type="dxa"/>
            <w:gridSpan w:val="2"/>
            <w:tcBorders>
              <w:top w:val="double" w:sz="6" w:space="0" w:color="auto"/>
              <w:left w:val="nil"/>
              <w:bottom w:val="single" w:sz="8" w:space="0" w:color="auto"/>
              <w:right w:val="nil"/>
            </w:tcBorders>
            <w:shd w:val="clear" w:color="000000" w:fill="FFFFFF"/>
            <w:noWrap/>
            <w:vAlign w:val="center"/>
            <w:hideMark/>
          </w:tcPr>
          <w:p w14:paraId="01A27B9D"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All Applicants</w:t>
            </w:r>
          </w:p>
        </w:tc>
        <w:tc>
          <w:tcPr>
            <w:tcW w:w="265" w:type="dxa"/>
            <w:tcBorders>
              <w:top w:val="double" w:sz="6" w:space="0" w:color="auto"/>
              <w:left w:val="nil"/>
              <w:bottom w:val="nil"/>
              <w:right w:val="nil"/>
            </w:tcBorders>
            <w:shd w:val="clear" w:color="000000" w:fill="FFFFFF"/>
            <w:noWrap/>
            <w:vAlign w:val="center"/>
            <w:hideMark/>
          </w:tcPr>
          <w:p w14:paraId="516CEDB5"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2515" w:type="dxa"/>
            <w:gridSpan w:val="2"/>
            <w:tcBorders>
              <w:top w:val="double" w:sz="6" w:space="0" w:color="auto"/>
              <w:left w:val="nil"/>
              <w:bottom w:val="single" w:sz="8" w:space="0" w:color="auto"/>
              <w:right w:val="nil"/>
            </w:tcBorders>
            <w:shd w:val="clear" w:color="000000" w:fill="FFFFFF"/>
            <w:noWrap/>
            <w:vAlign w:val="center"/>
            <w:hideMark/>
          </w:tcPr>
          <w:p w14:paraId="5AE81105"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Academic School Applicants</w:t>
            </w:r>
          </w:p>
        </w:tc>
        <w:tc>
          <w:tcPr>
            <w:tcW w:w="236" w:type="dxa"/>
            <w:tcBorders>
              <w:top w:val="double" w:sz="6" w:space="0" w:color="auto"/>
              <w:left w:val="nil"/>
              <w:bottom w:val="nil"/>
              <w:right w:val="nil"/>
            </w:tcBorders>
            <w:shd w:val="clear" w:color="000000" w:fill="FFFFFF"/>
            <w:noWrap/>
            <w:vAlign w:val="center"/>
            <w:hideMark/>
          </w:tcPr>
          <w:p w14:paraId="13E1D113"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2560" w:type="dxa"/>
            <w:gridSpan w:val="2"/>
            <w:tcBorders>
              <w:top w:val="double" w:sz="6" w:space="0" w:color="auto"/>
              <w:left w:val="nil"/>
              <w:bottom w:val="single" w:sz="8" w:space="0" w:color="auto"/>
              <w:right w:val="nil"/>
            </w:tcBorders>
            <w:shd w:val="clear" w:color="000000" w:fill="FFFFFF"/>
            <w:noWrap/>
            <w:vAlign w:val="center"/>
            <w:hideMark/>
          </w:tcPr>
          <w:p w14:paraId="591E7ABA"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Vocational School Applicants</w:t>
            </w:r>
          </w:p>
        </w:tc>
      </w:tr>
      <w:tr w:rsidR="006933C5" w:rsidRPr="00166607" w14:paraId="67674CFE" w14:textId="77777777" w:rsidTr="004E36D2">
        <w:trPr>
          <w:trHeight w:val="480"/>
        </w:trPr>
        <w:tc>
          <w:tcPr>
            <w:tcW w:w="4425" w:type="dxa"/>
            <w:tcBorders>
              <w:top w:val="nil"/>
              <w:left w:val="nil"/>
              <w:bottom w:val="nil"/>
              <w:right w:val="nil"/>
            </w:tcBorders>
            <w:shd w:val="clear" w:color="000000" w:fill="FFFFFF"/>
            <w:vAlign w:val="center"/>
            <w:hideMark/>
          </w:tcPr>
          <w:p w14:paraId="03B0E912" w14:textId="77777777" w:rsidR="00402BF9" w:rsidRPr="00166607" w:rsidRDefault="00402BF9" w:rsidP="00402BF9">
            <w:pPr>
              <w:jc w:val="center"/>
              <w:rPr>
                <w:rFonts w:ascii="Times New Roman" w:eastAsia="Times New Roman" w:hAnsi="Times New Roman"/>
                <w:b/>
                <w:bCs/>
                <w:color w:val="000000"/>
                <w:sz w:val="20"/>
                <w:szCs w:val="20"/>
              </w:rPr>
            </w:pPr>
            <w:r w:rsidRPr="00166607">
              <w:rPr>
                <w:rFonts w:ascii="Times New Roman" w:eastAsia="Times New Roman" w:hAnsi="Times New Roman"/>
                <w:b/>
                <w:bCs/>
                <w:color w:val="000000"/>
                <w:sz w:val="20"/>
                <w:szCs w:val="20"/>
              </w:rPr>
              <w:t>Outcome</w:t>
            </w:r>
          </w:p>
        </w:tc>
        <w:tc>
          <w:tcPr>
            <w:tcW w:w="1220" w:type="dxa"/>
            <w:tcBorders>
              <w:top w:val="nil"/>
              <w:left w:val="nil"/>
              <w:bottom w:val="nil"/>
              <w:right w:val="nil"/>
            </w:tcBorders>
            <w:shd w:val="clear" w:color="000000" w:fill="FFFFFF"/>
            <w:vAlign w:val="center"/>
            <w:hideMark/>
          </w:tcPr>
          <w:p w14:paraId="34EA0626"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Loser's Mean</w:t>
            </w:r>
          </w:p>
        </w:tc>
        <w:tc>
          <w:tcPr>
            <w:tcW w:w="1400" w:type="dxa"/>
            <w:tcBorders>
              <w:top w:val="nil"/>
              <w:left w:val="nil"/>
              <w:bottom w:val="nil"/>
              <w:right w:val="nil"/>
            </w:tcBorders>
            <w:shd w:val="clear" w:color="000000" w:fill="FFFFFF"/>
            <w:vAlign w:val="center"/>
            <w:hideMark/>
          </w:tcPr>
          <w:p w14:paraId="10FA9E08"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Won a Scholarship</w:t>
            </w:r>
          </w:p>
        </w:tc>
        <w:tc>
          <w:tcPr>
            <w:tcW w:w="265" w:type="dxa"/>
            <w:tcBorders>
              <w:top w:val="nil"/>
              <w:left w:val="nil"/>
              <w:bottom w:val="nil"/>
              <w:right w:val="nil"/>
            </w:tcBorders>
            <w:shd w:val="clear" w:color="auto" w:fill="auto"/>
            <w:noWrap/>
            <w:vAlign w:val="center"/>
            <w:hideMark/>
          </w:tcPr>
          <w:p w14:paraId="798D5243" w14:textId="77777777" w:rsidR="00402BF9" w:rsidRPr="00166607" w:rsidRDefault="00402BF9" w:rsidP="00402BF9">
            <w:pPr>
              <w:rPr>
                <w:rFonts w:eastAsia="Times New Roman"/>
                <w:color w:val="000000"/>
                <w:sz w:val="22"/>
                <w:szCs w:val="22"/>
              </w:rPr>
            </w:pPr>
          </w:p>
        </w:tc>
        <w:tc>
          <w:tcPr>
            <w:tcW w:w="1205" w:type="dxa"/>
            <w:tcBorders>
              <w:top w:val="nil"/>
              <w:left w:val="nil"/>
              <w:bottom w:val="nil"/>
              <w:right w:val="nil"/>
            </w:tcBorders>
            <w:shd w:val="clear" w:color="000000" w:fill="FFFFFF"/>
            <w:vAlign w:val="center"/>
            <w:hideMark/>
          </w:tcPr>
          <w:p w14:paraId="3D99C31F"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Loser's Mean</w:t>
            </w:r>
          </w:p>
        </w:tc>
        <w:tc>
          <w:tcPr>
            <w:tcW w:w="1310" w:type="dxa"/>
            <w:tcBorders>
              <w:top w:val="nil"/>
              <w:left w:val="nil"/>
              <w:bottom w:val="nil"/>
              <w:right w:val="nil"/>
            </w:tcBorders>
            <w:shd w:val="clear" w:color="000000" w:fill="FFFFFF"/>
            <w:vAlign w:val="center"/>
            <w:hideMark/>
          </w:tcPr>
          <w:p w14:paraId="4EDF5859"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Won a Scholarship</w:t>
            </w:r>
          </w:p>
        </w:tc>
        <w:tc>
          <w:tcPr>
            <w:tcW w:w="236" w:type="dxa"/>
            <w:tcBorders>
              <w:top w:val="nil"/>
              <w:left w:val="nil"/>
              <w:bottom w:val="nil"/>
              <w:right w:val="nil"/>
            </w:tcBorders>
            <w:shd w:val="clear" w:color="000000" w:fill="FFFFFF"/>
            <w:vAlign w:val="center"/>
            <w:hideMark/>
          </w:tcPr>
          <w:p w14:paraId="694D313C"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vAlign w:val="center"/>
            <w:hideMark/>
          </w:tcPr>
          <w:p w14:paraId="5166C202"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Loser's Mean</w:t>
            </w:r>
          </w:p>
        </w:tc>
        <w:tc>
          <w:tcPr>
            <w:tcW w:w="1400" w:type="dxa"/>
            <w:tcBorders>
              <w:top w:val="nil"/>
              <w:left w:val="nil"/>
              <w:bottom w:val="nil"/>
              <w:right w:val="nil"/>
            </w:tcBorders>
            <w:shd w:val="clear" w:color="000000" w:fill="FFFFFF"/>
            <w:vAlign w:val="center"/>
            <w:hideMark/>
          </w:tcPr>
          <w:p w14:paraId="6E2DA030"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Won a Scholarship</w:t>
            </w:r>
          </w:p>
        </w:tc>
      </w:tr>
      <w:tr w:rsidR="002D2C02" w:rsidRPr="00166607" w14:paraId="4FF73791" w14:textId="77777777" w:rsidTr="004E36D2">
        <w:trPr>
          <w:trHeight w:val="300"/>
        </w:trPr>
        <w:tc>
          <w:tcPr>
            <w:tcW w:w="4425" w:type="dxa"/>
            <w:tcBorders>
              <w:top w:val="nil"/>
              <w:left w:val="nil"/>
              <w:bottom w:val="nil"/>
              <w:right w:val="nil"/>
            </w:tcBorders>
            <w:shd w:val="clear" w:color="000000" w:fill="FFFFFF"/>
            <w:vAlign w:val="center"/>
            <w:hideMark/>
          </w:tcPr>
          <w:p w14:paraId="01019A59"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358AF54A"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w:t>
            </w:r>
          </w:p>
        </w:tc>
        <w:tc>
          <w:tcPr>
            <w:tcW w:w="1400" w:type="dxa"/>
            <w:tcBorders>
              <w:top w:val="nil"/>
              <w:left w:val="nil"/>
              <w:bottom w:val="nil"/>
              <w:right w:val="nil"/>
            </w:tcBorders>
            <w:shd w:val="clear" w:color="000000" w:fill="FFFFFF"/>
            <w:noWrap/>
            <w:vAlign w:val="center"/>
            <w:hideMark/>
          </w:tcPr>
          <w:p w14:paraId="2EF0F120"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(2)</w:t>
            </w:r>
          </w:p>
        </w:tc>
        <w:tc>
          <w:tcPr>
            <w:tcW w:w="265" w:type="dxa"/>
            <w:tcBorders>
              <w:top w:val="nil"/>
              <w:left w:val="nil"/>
              <w:bottom w:val="nil"/>
              <w:right w:val="nil"/>
            </w:tcBorders>
            <w:shd w:val="clear" w:color="000000" w:fill="FFFFFF"/>
            <w:noWrap/>
            <w:vAlign w:val="center"/>
            <w:hideMark/>
          </w:tcPr>
          <w:p w14:paraId="6C5F2460"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19036938"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(3)</w:t>
            </w:r>
          </w:p>
        </w:tc>
        <w:tc>
          <w:tcPr>
            <w:tcW w:w="1310" w:type="dxa"/>
            <w:tcBorders>
              <w:top w:val="nil"/>
              <w:left w:val="nil"/>
              <w:bottom w:val="nil"/>
              <w:right w:val="nil"/>
            </w:tcBorders>
            <w:shd w:val="clear" w:color="000000" w:fill="FFFFFF"/>
            <w:noWrap/>
            <w:vAlign w:val="center"/>
            <w:hideMark/>
          </w:tcPr>
          <w:p w14:paraId="32E84404"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(4)</w:t>
            </w:r>
          </w:p>
        </w:tc>
        <w:tc>
          <w:tcPr>
            <w:tcW w:w="236" w:type="dxa"/>
            <w:tcBorders>
              <w:top w:val="nil"/>
              <w:left w:val="nil"/>
              <w:bottom w:val="nil"/>
              <w:right w:val="nil"/>
            </w:tcBorders>
            <w:shd w:val="clear" w:color="000000" w:fill="FFFFFF"/>
            <w:noWrap/>
            <w:vAlign w:val="center"/>
            <w:hideMark/>
          </w:tcPr>
          <w:p w14:paraId="1386098C"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18290D43"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(5)</w:t>
            </w:r>
          </w:p>
        </w:tc>
        <w:tc>
          <w:tcPr>
            <w:tcW w:w="1400" w:type="dxa"/>
            <w:tcBorders>
              <w:top w:val="nil"/>
              <w:left w:val="nil"/>
              <w:bottom w:val="nil"/>
              <w:right w:val="nil"/>
            </w:tcBorders>
            <w:shd w:val="clear" w:color="000000" w:fill="FFFFFF"/>
            <w:noWrap/>
            <w:vAlign w:val="center"/>
            <w:hideMark/>
          </w:tcPr>
          <w:p w14:paraId="79EE8F2A"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(6)</w:t>
            </w:r>
          </w:p>
        </w:tc>
      </w:tr>
      <w:tr w:rsidR="002D2C02" w:rsidRPr="00166607" w14:paraId="6ED08773" w14:textId="77777777" w:rsidTr="004E36D2">
        <w:trPr>
          <w:trHeight w:val="300"/>
        </w:trPr>
        <w:tc>
          <w:tcPr>
            <w:tcW w:w="12621" w:type="dxa"/>
            <w:gridSpan w:val="9"/>
            <w:tcBorders>
              <w:top w:val="single" w:sz="8" w:space="0" w:color="auto"/>
              <w:left w:val="nil"/>
              <w:bottom w:val="single" w:sz="8" w:space="0" w:color="auto"/>
              <w:right w:val="nil"/>
            </w:tcBorders>
            <w:shd w:val="clear" w:color="000000" w:fill="FFFFFF"/>
            <w:vAlign w:val="center"/>
            <w:hideMark/>
          </w:tcPr>
          <w:p w14:paraId="5A1B9283" w14:textId="77777777" w:rsidR="00402BF9" w:rsidRPr="00166607" w:rsidRDefault="00402BF9" w:rsidP="00402BF9">
            <w:pPr>
              <w:jc w:val="center"/>
              <w:rPr>
                <w:rFonts w:ascii="Times New Roman" w:eastAsia="Times New Roman" w:hAnsi="Times New Roman"/>
                <w:i/>
                <w:iCs/>
                <w:color w:val="000000"/>
                <w:sz w:val="20"/>
                <w:szCs w:val="20"/>
              </w:rPr>
            </w:pPr>
            <w:r w:rsidRPr="00166607">
              <w:rPr>
                <w:rFonts w:ascii="Times New Roman" w:eastAsia="Times New Roman" w:hAnsi="Times New Roman"/>
                <w:i/>
                <w:iCs/>
                <w:color w:val="000000"/>
                <w:sz w:val="20"/>
                <w:szCs w:val="20"/>
              </w:rPr>
              <w:t>A. Secondary school completion (ICFES secondary graduation exam database)</w:t>
            </w:r>
          </w:p>
        </w:tc>
      </w:tr>
      <w:tr w:rsidR="006933C5" w:rsidRPr="00166607" w14:paraId="54E8B7EB" w14:textId="77777777" w:rsidTr="004E36D2">
        <w:trPr>
          <w:trHeight w:val="330"/>
        </w:trPr>
        <w:tc>
          <w:tcPr>
            <w:tcW w:w="4425" w:type="dxa"/>
            <w:tcBorders>
              <w:top w:val="nil"/>
              <w:left w:val="nil"/>
              <w:bottom w:val="nil"/>
              <w:right w:val="nil"/>
            </w:tcBorders>
            <w:shd w:val="clear" w:color="000000" w:fill="FFFFFF"/>
            <w:vAlign w:val="center"/>
            <w:hideMark/>
          </w:tcPr>
          <w:p w14:paraId="50E93B24"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Applicant graduated on schedule</w:t>
            </w:r>
          </w:p>
        </w:tc>
        <w:tc>
          <w:tcPr>
            <w:tcW w:w="1220" w:type="dxa"/>
            <w:tcBorders>
              <w:top w:val="nil"/>
              <w:left w:val="nil"/>
              <w:bottom w:val="nil"/>
              <w:right w:val="nil"/>
            </w:tcBorders>
            <w:shd w:val="clear" w:color="000000" w:fill="FFFFFF"/>
            <w:noWrap/>
            <w:vAlign w:val="center"/>
            <w:hideMark/>
          </w:tcPr>
          <w:p w14:paraId="1E8EB15E"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0.452</w:t>
            </w:r>
          </w:p>
        </w:tc>
        <w:tc>
          <w:tcPr>
            <w:tcW w:w="1400" w:type="dxa"/>
            <w:tcBorders>
              <w:top w:val="nil"/>
              <w:left w:val="nil"/>
              <w:bottom w:val="nil"/>
              <w:right w:val="nil"/>
            </w:tcBorders>
            <w:shd w:val="clear" w:color="000000" w:fill="FFFFFF"/>
            <w:noWrap/>
            <w:vAlign w:val="center"/>
            <w:hideMark/>
          </w:tcPr>
          <w:p w14:paraId="63371C18"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0.076</w:t>
            </w:r>
          </w:p>
        </w:tc>
        <w:tc>
          <w:tcPr>
            <w:tcW w:w="265" w:type="dxa"/>
            <w:tcBorders>
              <w:top w:val="nil"/>
              <w:left w:val="nil"/>
              <w:bottom w:val="nil"/>
              <w:right w:val="nil"/>
            </w:tcBorders>
            <w:shd w:val="clear" w:color="000000" w:fill="FFFFFF"/>
            <w:vAlign w:val="center"/>
            <w:hideMark/>
          </w:tcPr>
          <w:p w14:paraId="543DA05B"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5B3DA284"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0.455</w:t>
            </w:r>
          </w:p>
        </w:tc>
        <w:tc>
          <w:tcPr>
            <w:tcW w:w="1310" w:type="dxa"/>
            <w:tcBorders>
              <w:top w:val="nil"/>
              <w:left w:val="nil"/>
              <w:bottom w:val="nil"/>
              <w:right w:val="nil"/>
            </w:tcBorders>
            <w:shd w:val="clear" w:color="000000" w:fill="FFFFFF"/>
            <w:noWrap/>
            <w:vAlign w:val="center"/>
            <w:hideMark/>
          </w:tcPr>
          <w:p w14:paraId="66908B86"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0.071</w:t>
            </w:r>
          </w:p>
        </w:tc>
        <w:tc>
          <w:tcPr>
            <w:tcW w:w="236" w:type="dxa"/>
            <w:tcBorders>
              <w:top w:val="nil"/>
              <w:left w:val="nil"/>
              <w:bottom w:val="nil"/>
              <w:right w:val="nil"/>
            </w:tcBorders>
            <w:shd w:val="clear" w:color="000000" w:fill="FFFFFF"/>
            <w:noWrap/>
            <w:vAlign w:val="center"/>
            <w:hideMark/>
          </w:tcPr>
          <w:p w14:paraId="52459142" w14:textId="6052CE2B"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51E27B4D"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0.473</w:t>
            </w:r>
          </w:p>
        </w:tc>
        <w:tc>
          <w:tcPr>
            <w:tcW w:w="1400" w:type="dxa"/>
            <w:tcBorders>
              <w:top w:val="nil"/>
              <w:left w:val="nil"/>
              <w:bottom w:val="nil"/>
              <w:right w:val="nil"/>
            </w:tcBorders>
            <w:shd w:val="clear" w:color="000000" w:fill="FFFFFF"/>
            <w:noWrap/>
            <w:vAlign w:val="center"/>
            <w:hideMark/>
          </w:tcPr>
          <w:p w14:paraId="78A10925"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0.083</w:t>
            </w:r>
          </w:p>
        </w:tc>
      </w:tr>
      <w:tr w:rsidR="006933C5" w:rsidRPr="00166607" w14:paraId="25716555" w14:textId="77777777" w:rsidTr="004E36D2">
        <w:trPr>
          <w:trHeight w:val="330"/>
        </w:trPr>
        <w:tc>
          <w:tcPr>
            <w:tcW w:w="4425" w:type="dxa"/>
            <w:tcBorders>
              <w:top w:val="nil"/>
              <w:left w:val="nil"/>
              <w:bottom w:val="nil"/>
              <w:right w:val="nil"/>
            </w:tcBorders>
            <w:shd w:val="clear" w:color="000000" w:fill="FFFFFF"/>
            <w:vAlign w:val="center"/>
            <w:hideMark/>
          </w:tcPr>
          <w:p w14:paraId="7EE4865D" w14:textId="77777777" w:rsidR="00402BF9" w:rsidRPr="00166607" w:rsidRDefault="00402BF9" w:rsidP="00402BF9">
            <w:pPr>
              <w:rPr>
                <w:rFonts w:ascii="Times New Roman" w:eastAsia="Times New Roman" w:hAnsi="Times New Roman"/>
                <w:i/>
                <w:iCs/>
                <w:color w:val="000000"/>
                <w:sz w:val="20"/>
                <w:szCs w:val="20"/>
              </w:rPr>
            </w:pPr>
            <w:r w:rsidRPr="00166607">
              <w:rPr>
                <w:rFonts w:ascii="Times New Roman" w:eastAsia="Times New Roman" w:hAnsi="Times New Roman"/>
                <w:i/>
                <w:iCs/>
                <w:color w:val="000000"/>
                <w:sz w:val="20"/>
                <w:szCs w:val="20"/>
              </w:rPr>
              <w:t> </w:t>
            </w:r>
          </w:p>
        </w:tc>
        <w:tc>
          <w:tcPr>
            <w:tcW w:w="1220" w:type="dxa"/>
            <w:tcBorders>
              <w:top w:val="nil"/>
              <w:left w:val="nil"/>
              <w:bottom w:val="nil"/>
              <w:right w:val="nil"/>
            </w:tcBorders>
            <w:shd w:val="clear" w:color="000000" w:fill="FFFFFF"/>
            <w:vAlign w:val="center"/>
            <w:hideMark/>
          </w:tcPr>
          <w:p w14:paraId="20038F61"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43A03DCD"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(0.016)***</w:t>
            </w:r>
          </w:p>
        </w:tc>
        <w:tc>
          <w:tcPr>
            <w:tcW w:w="265" w:type="dxa"/>
            <w:tcBorders>
              <w:top w:val="nil"/>
              <w:left w:val="nil"/>
              <w:bottom w:val="nil"/>
              <w:right w:val="nil"/>
            </w:tcBorders>
            <w:shd w:val="clear" w:color="000000" w:fill="FFFFFF"/>
            <w:vAlign w:val="center"/>
            <w:hideMark/>
          </w:tcPr>
          <w:p w14:paraId="756FB8D6"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5A12E200" w14:textId="74560FEF" w:rsidR="00402BF9" w:rsidRPr="00166607" w:rsidRDefault="00402BF9" w:rsidP="0092004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2175085F"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(0.021)***</w:t>
            </w:r>
          </w:p>
        </w:tc>
        <w:tc>
          <w:tcPr>
            <w:tcW w:w="236" w:type="dxa"/>
            <w:tcBorders>
              <w:top w:val="nil"/>
              <w:left w:val="nil"/>
              <w:bottom w:val="nil"/>
              <w:right w:val="nil"/>
            </w:tcBorders>
            <w:shd w:val="clear" w:color="000000" w:fill="FFFFFF"/>
            <w:noWrap/>
            <w:vAlign w:val="center"/>
            <w:hideMark/>
          </w:tcPr>
          <w:p w14:paraId="21CEED58" w14:textId="63BC371D"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1A7411BA" w14:textId="469B382A"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71D8CE5B"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(0.025)***</w:t>
            </w:r>
          </w:p>
        </w:tc>
      </w:tr>
      <w:tr w:rsidR="006933C5" w:rsidRPr="00166607" w14:paraId="3B91F13C" w14:textId="77777777" w:rsidTr="004E36D2">
        <w:trPr>
          <w:trHeight w:val="330"/>
        </w:trPr>
        <w:tc>
          <w:tcPr>
            <w:tcW w:w="4425" w:type="dxa"/>
            <w:tcBorders>
              <w:top w:val="nil"/>
              <w:left w:val="nil"/>
              <w:bottom w:val="nil"/>
              <w:right w:val="nil"/>
            </w:tcBorders>
            <w:shd w:val="clear" w:color="000000" w:fill="FFFFFF"/>
            <w:vAlign w:val="center"/>
            <w:hideMark/>
          </w:tcPr>
          <w:p w14:paraId="0A49337E"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Applicant graduated with up to a two-year delay</w:t>
            </w:r>
          </w:p>
        </w:tc>
        <w:tc>
          <w:tcPr>
            <w:tcW w:w="1220" w:type="dxa"/>
            <w:tcBorders>
              <w:top w:val="nil"/>
              <w:left w:val="nil"/>
              <w:bottom w:val="nil"/>
              <w:right w:val="nil"/>
            </w:tcBorders>
            <w:shd w:val="clear" w:color="000000" w:fill="FFFFFF"/>
            <w:noWrap/>
            <w:vAlign w:val="center"/>
            <w:hideMark/>
          </w:tcPr>
          <w:p w14:paraId="3549126F"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0.527</w:t>
            </w:r>
          </w:p>
        </w:tc>
        <w:tc>
          <w:tcPr>
            <w:tcW w:w="1400" w:type="dxa"/>
            <w:tcBorders>
              <w:top w:val="nil"/>
              <w:left w:val="nil"/>
              <w:bottom w:val="nil"/>
              <w:right w:val="nil"/>
            </w:tcBorders>
            <w:shd w:val="clear" w:color="000000" w:fill="FFFFFF"/>
            <w:noWrap/>
            <w:vAlign w:val="center"/>
            <w:hideMark/>
          </w:tcPr>
          <w:p w14:paraId="4F5505DD"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0.063</w:t>
            </w:r>
          </w:p>
        </w:tc>
        <w:tc>
          <w:tcPr>
            <w:tcW w:w="265" w:type="dxa"/>
            <w:tcBorders>
              <w:top w:val="nil"/>
              <w:left w:val="nil"/>
              <w:bottom w:val="nil"/>
              <w:right w:val="nil"/>
            </w:tcBorders>
            <w:shd w:val="clear" w:color="000000" w:fill="FFFFFF"/>
            <w:vAlign w:val="center"/>
            <w:hideMark/>
          </w:tcPr>
          <w:p w14:paraId="0BCECB73"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175FBE4A"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0.519</w:t>
            </w:r>
          </w:p>
        </w:tc>
        <w:tc>
          <w:tcPr>
            <w:tcW w:w="1310" w:type="dxa"/>
            <w:tcBorders>
              <w:top w:val="nil"/>
              <w:left w:val="nil"/>
              <w:bottom w:val="nil"/>
              <w:right w:val="nil"/>
            </w:tcBorders>
            <w:shd w:val="clear" w:color="000000" w:fill="FFFFFF"/>
            <w:noWrap/>
            <w:vAlign w:val="center"/>
            <w:hideMark/>
          </w:tcPr>
          <w:p w14:paraId="4F13E99C"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0.061</w:t>
            </w:r>
          </w:p>
        </w:tc>
        <w:tc>
          <w:tcPr>
            <w:tcW w:w="236" w:type="dxa"/>
            <w:tcBorders>
              <w:top w:val="nil"/>
              <w:left w:val="nil"/>
              <w:bottom w:val="nil"/>
              <w:right w:val="nil"/>
            </w:tcBorders>
            <w:shd w:val="clear" w:color="000000" w:fill="FFFFFF"/>
            <w:noWrap/>
            <w:vAlign w:val="center"/>
            <w:hideMark/>
          </w:tcPr>
          <w:p w14:paraId="49F5DF83" w14:textId="4BC67AEC"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788C7642"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0.566</w:t>
            </w:r>
          </w:p>
        </w:tc>
        <w:tc>
          <w:tcPr>
            <w:tcW w:w="1400" w:type="dxa"/>
            <w:tcBorders>
              <w:top w:val="nil"/>
              <w:left w:val="nil"/>
              <w:bottom w:val="nil"/>
              <w:right w:val="nil"/>
            </w:tcBorders>
            <w:shd w:val="clear" w:color="000000" w:fill="FFFFFF"/>
            <w:noWrap/>
            <w:vAlign w:val="center"/>
            <w:hideMark/>
          </w:tcPr>
          <w:p w14:paraId="3FA1C1BB"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0.066</w:t>
            </w:r>
          </w:p>
        </w:tc>
      </w:tr>
      <w:tr w:rsidR="006933C5" w:rsidRPr="00166607" w14:paraId="3BC29B61" w14:textId="77777777" w:rsidTr="004E36D2">
        <w:trPr>
          <w:trHeight w:val="330"/>
        </w:trPr>
        <w:tc>
          <w:tcPr>
            <w:tcW w:w="4425" w:type="dxa"/>
            <w:tcBorders>
              <w:top w:val="nil"/>
              <w:left w:val="nil"/>
              <w:bottom w:val="nil"/>
              <w:right w:val="nil"/>
            </w:tcBorders>
            <w:shd w:val="clear" w:color="000000" w:fill="FFFFFF"/>
            <w:vAlign w:val="center"/>
            <w:hideMark/>
          </w:tcPr>
          <w:p w14:paraId="68E05D84"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02707F2D"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30CB9C3E"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(0.015)***</w:t>
            </w:r>
          </w:p>
        </w:tc>
        <w:tc>
          <w:tcPr>
            <w:tcW w:w="265" w:type="dxa"/>
            <w:tcBorders>
              <w:top w:val="nil"/>
              <w:left w:val="nil"/>
              <w:bottom w:val="nil"/>
              <w:right w:val="nil"/>
            </w:tcBorders>
            <w:shd w:val="clear" w:color="000000" w:fill="FFFFFF"/>
            <w:vAlign w:val="center"/>
            <w:hideMark/>
          </w:tcPr>
          <w:p w14:paraId="0E35C787"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403437B9" w14:textId="24AE31D2" w:rsidR="00402BF9" w:rsidRPr="00166607" w:rsidRDefault="00402BF9" w:rsidP="0092004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2E4A7818"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(0.021)***</w:t>
            </w:r>
          </w:p>
        </w:tc>
        <w:tc>
          <w:tcPr>
            <w:tcW w:w="236" w:type="dxa"/>
            <w:tcBorders>
              <w:top w:val="nil"/>
              <w:left w:val="nil"/>
              <w:bottom w:val="nil"/>
              <w:right w:val="nil"/>
            </w:tcBorders>
            <w:shd w:val="clear" w:color="000000" w:fill="FFFFFF"/>
            <w:noWrap/>
            <w:vAlign w:val="center"/>
            <w:hideMark/>
          </w:tcPr>
          <w:p w14:paraId="79EDF9EC" w14:textId="18669D82"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3999BE55" w14:textId="33B53BAD"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5A27966C"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(0.024)***</w:t>
            </w:r>
          </w:p>
        </w:tc>
      </w:tr>
      <w:tr w:rsidR="006933C5" w:rsidRPr="00166607" w14:paraId="4D46F34B" w14:textId="77777777" w:rsidTr="004E36D2">
        <w:trPr>
          <w:trHeight w:val="330"/>
        </w:trPr>
        <w:tc>
          <w:tcPr>
            <w:tcW w:w="4425" w:type="dxa"/>
            <w:tcBorders>
              <w:top w:val="nil"/>
              <w:left w:val="nil"/>
              <w:bottom w:val="nil"/>
              <w:right w:val="nil"/>
            </w:tcBorders>
            <w:shd w:val="clear" w:color="000000" w:fill="FFFFFF"/>
            <w:vAlign w:val="center"/>
            <w:hideMark/>
          </w:tcPr>
          <w:p w14:paraId="33CFB287"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Applicant graduated with up to a four-year delay</w:t>
            </w:r>
          </w:p>
        </w:tc>
        <w:tc>
          <w:tcPr>
            <w:tcW w:w="1220" w:type="dxa"/>
            <w:tcBorders>
              <w:top w:val="nil"/>
              <w:left w:val="nil"/>
              <w:bottom w:val="nil"/>
              <w:right w:val="nil"/>
            </w:tcBorders>
            <w:shd w:val="clear" w:color="000000" w:fill="FFFFFF"/>
            <w:noWrap/>
            <w:vAlign w:val="center"/>
            <w:hideMark/>
          </w:tcPr>
          <w:p w14:paraId="4200BA29"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0.552</w:t>
            </w:r>
          </w:p>
        </w:tc>
        <w:tc>
          <w:tcPr>
            <w:tcW w:w="1400" w:type="dxa"/>
            <w:tcBorders>
              <w:top w:val="nil"/>
              <w:left w:val="nil"/>
              <w:bottom w:val="nil"/>
              <w:right w:val="nil"/>
            </w:tcBorders>
            <w:shd w:val="clear" w:color="000000" w:fill="FFFFFF"/>
            <w:noWrap/>
            <w:vAlign w:val="center"/>
            <w:hideMark/>
          </w:tcPr>
          <w:p w14:paraId="30F29DEC"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0.055</w:t>
            </w:r>
          </w:p>
        </w:tc>
        <w:tc>
          <w:tcPr>
            <w:tcW w:w="265" w:type="dxa"/>
            <w:tcBorders>
              <w:top w:val="nil"/>
              <w:left w:val="nil"/>
              <w:bottom w:val="nil"/>
              <w:right w:val="nil"/>
            </w:tcBorders>
            <w:shd w:val="clear" w:color="000000" w:fill="FFFFFF"/>
            <w:vAlign w:val="center"/>
            <w:hideMark/>
          </w:tcPr>
          <w:p w14:paraId="66A13735"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51CFC93D"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0.544</w:t>
            </w:r>
          </w:p>
        </w:tc>
        <w:tc>
          <w:tcPr>
            <w:tcW w:w="1310" w:type="dxa"/>
            <w:tcBorders>
              <w:top w:val="nil"/>
              <w:left w:val="nil"/>
              <w:bottom w:val="nil"/>
              <w:right w:val="nil"/>
            </w:tcBorders>
            <w:shd w:val="clear" w:color="000000" w:fill="FFFFFF"/>
            <w:noWrap/>
            <w:vAlign w:val="center"/>
            <w:hideMark/>
          </w:tcPr>
          <w:p w14:paraId="2B6812F6"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0.051</w:t>
            </w:r>
          </w:p>
        </w:tc>
        <w:tc>
          <w:tcPr>
            <w:tcW w:w="236" w:type="dxa"/>
            <w:tcBorders>
              <w:top w:val="nil"/>
              <w:left w:val="nil"/>
              <w:bottom w:val="nil"/>
              <w:right w:val="nil"/>
            </w:tcBorders>
            <w:shd w:val="clear" w:color="000000" w:fill="FFFFFF"/>
            <w:noWrap/>
            <w:vAlign w:val="center"/>
            <w:hideMark/>
          </w:tcPr>
          <w:p w14:paraId="52AC2D20" w14:textId="4ABF1F35"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324C0296"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0.587</w:t>
            </w:r>
          </w:p>
        </w:tc>
        <w:tc>
          <w:tcPr>
            <w:tcW w:w="1400" w:type="dxa"/>
            <w:tcBorders>
              <w:top w:val="nil"/>
              <w:left w:val="nil"/>
              <w:bottom w:val="nil"/>
              <w:right w:val="nil"/>
            </w:tcBorders>
            <w:shd w:val="clear" w:color="000000" w:fill="FFFFFF"/>
            <w:noWrap/>
            <w:vAlign w:val="center"/>
            <w:hideMark/>
          </w:tcPr>
          <w:p w14:paraId="290C05CB"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0.065</w:t>
            </w:r>
          </w:p>
        </w:tc>
      </w:tr>
      <w:tr w:rsidR="002D2C02" w:rsidRPr="00166607" w14:paraId="0CD32E79" w14:textId="77777777" w:rsidTr="004E36D2">
        <w:trPr>
          <w:trHeight w:val="330"/>
        </w:trPr>
        <w:tc>
          <w:tcPr>
            <w:tcW w:w="4425" w:type="dxa"/>
            <w:tcBorders>
              <w:top w:val="nil"/>
              <w:left w:val="nil"/>
              <w:bottom w:val="nil"/>
              <w:right w:val="nil"/>
            </w:tcBorders>
            <w:shd w:val="clear" w:color="000000" w:fill="FFFFFF"/>
            <w:vAlign w:val="center"/>
            <w:hideMark/>
          </w:tcPr>
          <w:p w14:paraId="35F06714"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62AF3425"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76704D06"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(0.015)***</w:t>
            </w:r>
          </w:p>
        </w:tc>
        <w:tc>
          <w:tcPr>
            <w:tcW w:w="265" w:type="dxa"/>
            <w:tcBorders>
              <w:top w:val="nil"/>
              <w:left w:val="nil"/>
              <w:bottom w:val="nil"/>
              <w:right w:val="nil"/>
            </w:tcBorders>
            <w:shd w:val="clear" w:color="000000" w:fill="FFFFFF"/>
            <w:noWrap/>
            <w:vAlign w:val="center"/>
            <w:hideMark/>
          </w:tcPr>
          <w:p w14:paraId="4D47DA5C"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5890ECF0" w14:textId="49BA11A4" w:rsidR="00402BF9" w:rsidRPr="00166607" w:rsidRDefault="00402BF9" w:rsidP="0092004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4ADE9425"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(0.021)**</w:t>
            </w:r>
          </w:p>
        </w:tc>
        <w:tc>
          <w:tcPr>
            <w:tcW w:w="236" w:type="dxa"/>
            <w:tcBorders>
              <w:top w:val="nil"/>
              <w:left w:val="nil"/>
              <w:bottom w:val="nil"/>
              <w:right w:val="nil"/>
            </w:tcBorders>
            <w:shd w:val="clear" w:color="000000" w:fill="FFFFFF"/>
            <w:noWrap/>
            <w:vAlign w:val="center"/>
            <w:hideMark/>
          </w:tcPr>
          <w:p w14:paraId="57E62AED" w14:textId="211D1969"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3409BDFC" w14:textId="74648CDC"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74CA37FF"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(0.024)***</w:t>
            </w:r>
          </w:p>
        </w:tc>
      </w:tr>
      <w:tr w:rsidR="002D2C02" w:rsidRPr="00166607" w14:paraId="43EAC4B2" w14:textId="77777777" w:rsidTr="004E36D2">
        <w:trPr>
          <w:trHeight w:val="330"/>
        </w:trPr>
        <w:tc>
          <w:tcPr>
            <w:tcW w:w="4425" w:type="dxa"/>
            <w:tcBorders>
              <w:top w:val="nil"/>
              <w:left w:val="nil"/>
              <w:bottom w:val="nil"/>
              <w:right w:val="nil"/>
            </w:tcBorders>
            <w:shd w:val="clear" w:color="000000" w:fill="FFFFFF"/>
            <w:vAlign w:val="center"/>
            <w:hideMark/>
          </w:tcPr>
          <w:p w14:paraId="1CAA7CC0"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Applicant graduated with up to a six-year delay</w:t>
            </w:r>
          </w:p>
        </w:tc>
        <w:tc>
          <w:tcPr>
            <w:tcW w:w="1220" w:type="dxa"/>
            <w:tcBorders>
              <w:top w:val="nil"/>
              <w:left w:val="nil"/>
              <w:bottom w:val="nil"/>
              <w:right w:val="nil"/>
            </w:tcBorders>
            <w:shd w:val="clear" w:color="000000" w:fill="FFFFFF"/>
            <w:noWrap/>
            <w:vAlign w:val="center"/>
            <w:hideMark/>
          </w:tcPr>
          <w:p w14:paraId="53808C58"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0.565</w:t>
            </w:r>
          </w:p>
        </w:tc>
        <w:tc>
          <w:tcPr>
            <w:tcW w:w="1400" w:type="dxa"/>
            <w:tcBorders>
              <w:top w:val="nil"/>
              <w:left w:val="nil"/>
              <w:bottom w:val="nil"/>
              <w:right w:val="nil"/>
            </w:tcBorders>
            <w:shd w:val="clear" w:color="000000" w:fill="FFFFFF"/>
            <w:noWrap/>
            <w:vAlign w:val="center"/>
            <w:hideMark/>
          </w:tcPr>
          <w:p w14:paraId="0594E776"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0.054</w:t>
            </w:r>
          </w:p>
        </w:tc>
        <w:tc>
          <w:tcPr>
            <w:tcW w:w="265" w:type="dxa"/>
            <w:tcBorders>
              <w:top w:val="nil"/>
              <w:left w:val="nil"/>
              <w:bottom w:val="nil"/>
              <w:right w:val="nil"/>
            </w:tcBorders>
            <w:shd w:val="clear" w:color="000000" w:fill="FFFFFF"/>
            <w:noWrap/>
            <w:vAlign w:val="center"/>
            <w:hideMark/>
          </w:tcPr>
          <w:p w14:paraId="3C804507"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1FE4E8FF"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0.552</w:t>
            </w:r>
          </w:p>
        </w:tc>
        <w:tc>
          <w:tcPr>
            <w:tcW w:w="1310" w:type="dxa"/>
            <w:tcBorders>
              <w:top w:val="nil"/>
              <w:left w:val="nil"/>
              <w:bottom w:val="nil"/>
              <w:right w:val="nil"/>
            </w:tcBorders>
            <w:shd w:val="clear" w:color="000000" w:fill="FFFFFF"/>
            <w:noWrap/>
            <w:vAlign w:val="center"/>
            <w:hideMark/>
          </w:tcPr>
          <w:p w14:paraId="2BCB551B"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0.055</w:t>
            </w:r>
          </w:p>
        </w:tc>
        <w:tc>
          <w:tcPr>
            <w:tcW w:w="236" w:type="dxa"/>
            <w:tcBorders>
              <w:top w:val="nil"/>
              <w:left w:val="nil"/>
              <w:bottom w:val="nil"/>
              <w:right w:val="nil"/>
            </w:tcBorders>
            <w:shd w:val="clear" w:color="000000" w:fill="FFFFFF"/>
            <w:noWrap/>
            <w:vAlign w:val="center"/>
            <w:hideMark/>
          </w:tcPr>
          <w:p w14:paraId="328CB7D0" w14:textId="507CCB35"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5B747995"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0.605</w:t>
            </w:r>
          </w:p>
        </w:tc>
        <w:tc>
          <w:tcPr>
            <w:tcW w:w="1400" w:type="dxa"/>
            <w:tcBorders>
              <w:top w:val="nil"/>
              <w:left w:val="nil"/>
              <w:bottom w:val="nil"/>
              <w:right w:val="nil"/>
            </w:tcBorders>
            <w:shd w:val="clear" w:color="000000" w:fill="FFFFFF"/>
            <w:noWrap/>
            <w:vAlign w:val="center"/>
            <w:hideMark/>
          </w:tcPr>
          <w:p w14:paraId="1E692CDC"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0.06</w:t>
            </w:r>
          </w:p>
        </w:tc>
      </w:tr>
      <w:tr w:rsidR="002D2C02" w:rsidRPr="00166607" w14:paraId="22C4B713" w14:textId="77777777" w:rsidTr="004E36D2">
        <w:trPr>
          <w:trHeight w:val="330"/>
        </w:trPr>
        <w:tc>
          <w:tcPr>
            <w:tcW w:w="4425" w:type="dxa"/>
            <w:tcBorders>
              <w:top w:val="nil"/>
              <w:left w:val="nil"/>
              <w:bottom w:val="nil"/>
              <w:right w:val="nil"/>
            </w:tcBorders>
            <w:shd w:val="clear" w:color="000000" w:fill="FFFFFF"/>
            <w:vAlign w:val="center"/>
            <w:hideMark/>
          </w:tcPr>
          <w:p w14:paraId="2088B32A"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374E0536"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472AAFE0"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(0.015)***</w:t>
            </w:r>
          </w:p>
        </w:tc>
        <w:tc>
          <w:tcPr>
            <w:tcW w:w="265" w:type="dxa"/>
            <w:tcBorders>
              <w:top w:val="nil"/>
              <w:left w:val="nil"/>
              <w:bottom w:val="nil"/>
              <w:right w:val="nil"/>
            </w:tcBorders>
            <w:shd w:val="clear" w:color="000000" w:fill="FFFFFF"/>
            <w:noWrap/>
            <w:vAlign w:val="center"/>
            <w:hideMark/>
          </w:tcPr>
          <w:p w14:paraId="4BA9F440"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520C06DA" w14:textId="02439DF1" w:rsidR="00402BF9" w:rsidRPr="00166607" w:rsidRDefault="00402BF9" w:rsidP="0092004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326FBD9A"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(0.021)***</w:t>
            </w:r>
          </w:p>
        </w:tc>
        <w:tc>
          <w:tcPr>
            <w:tcW w:w="236" w:type="dxa"/>
            <w:tcBorders>
              <w:top w:val="nil"/>
              <w:left w:val="nil"/>
              <w:bottom w:val="nil"/>
              <w:right w:val="nil"/>
            </w:tcBorders>
            <w:shd w:val="clear" w:color="000000" w:fill="FFFFFF"/>
            <w:noWrap/>
            <w:vAlign w:val="center"/>
            <w:hideMark/>
          </w:tcPr>
          <w:p w14:paraId="03C97FB6" w14:textId="5E8C90AF"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64351686" w14:textId="51978102"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63ADEF5D"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(0.024)**</w:t>
            </w:r>
          </w:p>
        </w:tc>
      </w:tr>
      <w:tr w:rsidR="006933C5" w:rsidRPr="00166607" w14:paraId="3126E75E" w14:textId="77777777" w:rsidTr="004E36D2">
        <w:trPr>
          <w:trHeight w:val="330"/>
        </w:trPr>
        <w:tc>
          <w:tcPr>
            <w:tcW w:w="4425" w:type="dxa"/>
            <w:tcBorders>
              <w:top w:val="nil"/>
              <w:left w:val="nil"/>
              <w:bottom w:val="nil"/>
              <w:right w:val="nil"/>
            </w:tcBorders>
            <w:shd w:val="clear" w:color="000000" w:fill="FFFFFF"/>
            <w:vAlign w:val="center"/>
            <w:hideMark/>
          </w:tcPr>
          <w:p w14:paraId="6FB02A24" w14:textId="77777777" w:rsidR="00402BF9" w:rsidRPr="00166607" w:rsidRDefault="00402BF9" w:rsidP="00402BF9">
            <w:pPr>
              <w:rPr>
                <w:rFonts w:ascii="Times New Roman" w:eastAsia="Times New Roman" w:hAnsi="Times New Roman"/>
                <w:i/>
                <w:iCs/>
                <w:color w:val="000000"/>
                <w:sz w:val="20"/>
                <w:szCs w:val="20"/>
              </w:rPr>
            </w:pPr>
            <w:r w:rsidRPr="00166607">
              <w:rPr>
                <w:rFonts w:ascii="Times New Roman" w:eastAsia="Times New Roman" w:hAnsi="Times New Roman"/>
                <w:i/>
                <w:iCs/>
                <w:color w:val="000000"/>
                <w:sz w:val="20"/>
                <w:szCs w:val="20"/>
              </w:rPr>
              <w:t>N</w:t>
            </w:r>
          </w:p>
        </w:tc>
        <w:tc>
          <w:tcPr>
            <w:tcW w:w="1220" w:type="dxa"/>
            <w:tcBorders>
              <w:top w:val="nil"/>
              <w:left w:val="nil"/>
              <w:bottom w:val="nil"/>
              <w:right w:val="nil"/>
            </w:tcBorders>
            <w:shd w:val="clear" w:color="000000" w:fill="FFFFFF"/>
            <w:noWrap/>
            <w:vAlign w:val="center"/>
            <w:hideMark/>
          </w:tcPr>
          <w:p w14:paraId="544DA9E7"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1519</w:t>
            </w:r>
          </w:p>
        </w:tc>
        <w:tc>
          <w:tcPr>
            <w:tcW w:w="1400" w:type="dxa"/>
            <w:tcBorders>
              <w:top w:val="nil"/>
              <w:left w:val="nil"/>
              <w:bottom w:val="nil"/>
              <w:right w:val="nil"/>
            </w:tcBorders>
            <w:shd w:val="clear" w:color="000000" w:fill="FFFFFF"/>
            <w:noWrap/>
            <w:vAlign w:val="center"/>
            <w:hideMark/>
          </w:tcPr>
          <w:p w14:paraId="427BE274"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3661</w:t>
            </w:r>
          </w:p>
        </w:tc>
        <w:tc>
          <w:tcPr>
            <w:tcW w:w="265" w:type="dxa"/>
            <w:tcBorders>
              <w:top w:val="nil"/>
              <w:left w:val="nil"/>
              <w:bottom w:val="nil"/>
              <w:right w:val="nil"/>
            </w:tcBorders>
            <w:shd w:val="clear" w:color="000000" w:fill="FFFFFF"/>
            <w:vAlign w:val="center"/>
            <w:hideMark/>
          </w:tcPr>
          <w:p w14:paraId="25AB4652" w14:textId="77777777" w:rsidR="00402BF9" w:rsidRPr="00166607" w:rsidRDefault="00402BF9" w:rsidP="00402BF9">
            <w:pPr>
              <w:jc w:val="center"/>
              <w:rPr>
                <w:rFonts w:ascii="Times New Roman" w:eastAsia="Times New Roman" w:hAnsi="Times New Roman"/>
                <w:i/>
                <w:iCs/>
                <w:color w:val="000000"/>
                <w:sz w:val="20"/>
                <w:szCs w:val="20"/>
              </w:rPr>
            </w:pPr>
            <w:r w:rsidRPr="00166607">
              <w:rPr>
                <w:rFonts w:ascii="Times New Roman" w:eastAsia="Times New Roman" w:hAnsi="Times New Roman"/>
                <w:i/>
                <w:iCs/>
                <w:color w:val="000000"/>
                <w:sz w:val="20"/>
                <w:szCs w:val="20"/>
              </w:rPr>
              <w:t> </w:t>
            </w:r>
          </w:p>
        </w:tc>
        <w:tc>
          <w:tcPr>
            <w:tcW w:w="1205" w:type="dxa"/>
            <w:tcBorders>
              <w:top w:val="nil"/>
              <w:left w:val="nil"/>
              <w:bottom w:val="single" w:sz="8" w:space="0" w:color="auto"/>
              <w:right w:val="nil"/>
            </w:tcBorders>
            <w:shd w:val="clear" w:color="000000" w:fill="FFFFFF"/>
            <w:noWrap/>
            <w:vAlign w:val="center"/>
            <w:hideMark/>
          </w:tcPr>
          <w:p w14:paraId="36B58AE3"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803</w:t>
            </w:r>
          </w:p>
        </w:tc>
        <w:tc>
          <w:tcPr>
            <w:tcW w:w="1310" w:type="dxa"/>
            <w:tcBorders>
              <w:top w:val="nil"/>
              <w:left w:val="nil"/>
              <w:bottom w:val="single" w:sz="8" w:space="0" w:color="auto"/>
              <w:right w:val="nil"/>
            </w:tcBorders>
            <w:shd w:val="clear" w:color="000000" w:fill="FFFFFF"/>
            <w:noWrap/>
            <w:vAlign w:val="center"/>
            <w:hideMark/>
          </w:tcPr>
          <w:p w14:paraId="6D9DEACC"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1901</w:t>
            </w:r>
          </w:p>
        </w:tc>
        <w:tc>
          <w:tcPr>
            <w:tcW w:w="236" w:type="dxa"/>
            <w:tcBorders>
              <w:top w:val="nil"/>
              <w:left w:val="nil"/>
              <w:bottom w:val="single" w:sz="8" w:space="0" w:color="auto"/>
              <w:right w:val="nil"/>
            </w:tcBorders>
            <w:shd w:val="clear" w:color="000000" w:fill="FFFFFF"/>
            <w:noWrap/>
            <w:vAlign w:val="center"/>
            <w:hideMark/>
          </w:tcPr>
          <w:p w14:paraId="5E45871F" w14:textId="3C3D1819"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single" w:sz="8" w:space="0" w:color="auto"/>
              <w:right w:val="nil"/>
            </w:tcBorders>
            <w:shd w:val="clear" w:color="000000" w:fill="FFFFFF"/>
            <w:noWrap/>
            <w:vAlign w:val="center"/>
            <w:hideMark/>
          </w:tcPr>
          <w:p w14:paraId="2C5DA992"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613</w:t>
            </w:r>
          </w:p>
        </w:tc>
        <w:tc>
          <w:tcPr>
            <w:tcW w:w="1400" w:type="dxa"/>
            <w:tcBorders>
              <w:top w:val="nil"/>
              <w:left w:val="nil"/>
              <w:bottom w:val="single" w:sz="8" w:space="0" w:color="auto"/>
              <w:right w:val="nil"/>
            </w:tcBorders>
            <w:shd w:val="clear" w:color="000000" w:fill="FFFFFF"/>
            <w:noWrap/>
            <w:vAlign w:val="center"/>
            <w:hideMark/>
          </w:tcPr>
          <w:p w14:paraId="203F22CD"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1512</w:t>
            </w:r>
          </w:p>
        </w:tc>
      </w:tr>
      <w:tr w:rsidR="002D2C02" w:rsidRPr="00166607" w14:paraId="1B63DAE8" w14:textId="77777777" w:rsidTr="004E36D2">
        <w:trPr>
          <w:trHeight w:val="300"/>
        </w:trPr>
        <w:tc>
          <w:tcPr>
            <w:tcW w:w="12621" w:type="dxa"/>
            <w:gridSpan w:val="9"/>
            <w:tcBorders>
              <w:top w:val="single" w:sz="8" w:space="0" w:color="auto"/>
              <w:left w:val="nil"/>
              <w:bottom w:val="single" w:sz="8" w:space="0" w:color="auto"/>
              <w:right w:val="nil"/>
            </w:tcBorders>
            <w:shd w:val="clear" w:color="000000" w:fill="FFFFFF"/>
            <w:vAlign w:val="center"/>
            <w:hideMark/>
          </w:tcPr>
          <w:p w14:paraId="3C86D345" w14:textId="77777777" w:rsidR="00402BF9" w:rsidRPr="00166607" w:rsidRDefault="00402BF9" w:rsidP="00402BF9">
            <w:pPr>
              <w:jc w:val="center"/>
              <w:rPr>
                <w:rFonts w:ascii="Times New Roman" w:eastAsia="Times New Roman" w:hAnsi="Times New Roman"/>
                <w:i/>
                <w:iCs/>
                <w:color w:val="000000"/>
                <w:sz w:val="20"/>
                <w:szCs w:val="20"/>
              </w:rPr>
            </w:pPr>
            <w:r w:rsidRPr="00166607">
              <w:rPr>
                <w:rFonts w:ascii="Times New Roman" w:eastAsia="Times New Roman" w:hAnsi="Times New Roman"/>
                <w:i/>
                <w:iCs/>
                <w:color w:val="000000"/>
                <w:sz w:val="20"/>
                <w:szCs w:val="20"/>
              </w:rPr>
              <w:t>B. Tertiary enrollment and persistence (Tertiary education database)</w:t>
            </w:r>
          </w:p>
        </w:tc>
      </w:tr>
      <w:tr w:rsidR="002D2C02" w:rsidRPr="00166607" w14:paraId="46BEF5AC" w14:textId="77777777" w:rsidTr="004E36D2">
        <w:trPr>
          <w:trHeight w:val="280"/>
        </w:trPr>
        <w:tc>
          <w:tcPr>
            <w:tcW w:w="4425" w:type="dxa"/>
            <w:tcBorders>
              <w:top w:val="nil"/>
              <w:left w:val="nil"/>
              <w:bottom w:val="nil"/>
              <w:right w:val="nil"/>
            </w:tcBorders>
            <w:shd w:val="clear" w:color="000000" w:fill="FFFFFF"/>
            <w:noWrap/>
            <w:vAlign w:val="center"/>
            <w:hideMark/>
          </w:tcPr>
          <w:p w14:paraId="60D1ABC7"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Ever enrolled in tertiary education</w:t>
            </w:r>
          </w:p>
        </w:tc>
        <w:tc>
          <w:tcPr>
            <w:tcW w:w="1220" w:type="dxa"/>
            <w:tcBorders>
              <w:top w:val="nil"/>
              <w:left w:val="nil"/>
              <w:bottom w:val="nil"/>
              <w:right w:val="nil"/>
            </w:tcBorders>
            <w:shd w:val="clear" w:color="000000" w:fill="FFFFFF"/>
            <w:noWrap/>
            <w:vAlign w:val="center"/>
            <w:hideMark/>
          </w:tcPr>
          <w:p w14:paraId="66B7E5A8"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0.189</w:t>
            </w:r>
          </w:p>
        </w:tc>
        <w:tc>
          <w:tcPr>
            <w:tcW w:w="1400" w:type="dxa"/>
            <w:tcBorders>
              <w:top w:val="nil"/>
              <w:left w:val="nil"/>
              <w:bottom w:val="nil"/>
              <w:right w:val="nil"/>
            </w:tcBorders>
            <w:shd w:val="clear" w:color="000000" w:fill="FFFFFF"/>
            <w:noWrap/>
            <w:vAlign w:val="center"/>
            <w:hideMark/>
          </w:tcPr>
          <w:p w14:paraId="37F23B3E"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0.024</w:t>
            </w:r>
          </w:p>
        </w:tc>
        <w:tc>
          <w:tcPr>
            <w:tcW w:w="265" w:type="dxa"/>
            <w:tcBorders>
              <w:top w:val="nil"/>
              <w:left w:val="nil"/>
              <w:bottom w:val="nil"/>
              <w:right w:val="nil"/>
            </w:tcBorders>
            <w:shd w:val="clear" w:color="000000" w:fill="FFFFFF"/>
            <w:vAlign w:val="center"/>
            <w:hideMark/>
          </w:tcPr>
          <w:p w14:paraId="62D791DD"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0303AB0C"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0.194</w:t>
            </w:r>
          </w:p>
        </w:tc>
        <w:tc>
          <w:tcPr>
            <w:tcW w:w="1310" w:type="dxa"/>
            <w:tcBorders>
              <w:top w:val="nil"/>
              <w:left w:val="nil"/>
              <w:bottom w:val="nil"/>
              <w:right w:val="nil"/>
            </w:tcBorders>
            <w:shd w:val="clear" w:color="000000" w:fill="FFFFFF"/>
            <w:noWrap/>
            <w:vAlign w:val="center"/>
            <w:hideMark/>
          </w:tcPr>
          <w:p w14:paraId="3EC5A415"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0.000</w:t>
            </w:r>
          </w:p>
        </w:tc>
        <w:tc>
          <w:tcPr>
            <w:tcW w:w="236" w:type="dxa"/>
            <w:tcBorders>
              <w:top w:val="nil"/>
              <w:left w:val="nil"/>
              <w:bottom w:val="nil"/>
              <w:right w:val="nil"/>
            </w:tcBorders>
            <w:shd w:val="clear" w:color="000000" w:fill="FFFFFF"/>
            <w:noWrap/>
            <w:vAlign w:val="center"/>
            <w:hideMark/>
          </w:tcPr>
          <w:p w14:paraId="3F34805D" w14:textId="0ED23FEA"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5C2D4C3F"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0.188</w:t>
            </w:r>
          </w:p>
        </w:tc>
        <w:tc>
          <w:tcPr>
            <w:tcW w:w="1400" w:type="dxa"/>
            <w:tcBorders>
              <w:top w:val="nil"/>
              <w:left w:val="nil"/>
              <w:bottom w:val="nil"/>
              <w:right w:val="nil"/>
            </w:tcBorders>
            <w:shd w:val="clear" w:color="000000" w:fill="FFFFFF"/>
            <w:noWrap/>
            <w:vAlign w:val="center"/>
            <w:hideMark/>
          </w:tcPr>
          <w:p w14:paraId="50D2EC45"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0.07</w:t>
            </w:r>
          </w:p>
        </w:tc>
      </w:tr>
      <w:tr w:rsidR="002D2C02" w:rsidRPr="00166607" w14:paraId="080A5BB7" w14:textId="77777777" w:rsidTr="004E36D2">
        <w:trPr>
          <w:trHeight w:val="280"/>
        </w:trPr>
        <w:tc>
          <w:tcPr>
            <w:tcW w:w="4425" w:type="dxa"/>
            <w:tcBorders>
              <w:top w:val="nil"/>
              <w:left w:val="nil"/>
              <w:bottom w:val="nil"/>
              <w:right w:val="nil"/>
            </w:tcBorders>
            <w:shd w:val="clear" w:color="000000" w:fill="FFFFFF"/>
            <w:noWrap/>
            <w:vAlign w:val="center"/>
            <w:hideMark/>
          </w:tcPr>
          <w:p w14:paraId="26E3A2D3"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05EA3C3E"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0615C3DC"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(0.013)*</w:t>
            </w:r>
          </w:p>
        </w:tc>
        <w:tc>
          <w:tcPr>
            <w:tcW w:w="265" w:type="dxa"/>
            <w:tcBorders>
              <w:top w:val="nil"/>
              <w:left w:val="nil"/>
              <w:bottom w:val="nil"/>
              <w:right w:val="nil"/>
            </w:tcBorders>
            <w:shd w:val="clear" w:color="000000" w:fill="FFFFFF"/>
            <w:vAlign w:val="center"/>
            <w:hideMark/>
          </w:tcPr>
          <w:p w14:paraId="0C077E48"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16843BD8" w14:textId="32EABCC4" w:rsidR="00402BF9" w:rsidRPr="00166607" w:rsidRDefault="00402BF9" w:rsidP="00402BF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69F87CF9"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(0.018)</w:t>
            </w:r>
          </w:p>
        </w:tc>
        <w:tc>
          <w:tcPr>
            <w:tcW w:w="236" w:type="dxa"/>
            <w:tcBorders>
              <w:top w:val="nil"/>
              <w:left w:val="nil"/>
              <w:bottom w:val="nil"/>
              <w:right w:val="nil"/>
            </w:tcBorders>
            <w:shd w:val="clear" w:color="000000" w:fill="FFFFFF"/>
            <w:noWrap/>
            <w:vAlign w:val="center"/>
            <w:hideMark/>
          </w:tcPr>
          <w:p w14:paraId="7CDF3C70" w14:textId="72586CFD"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1B1E88AE" w14:textId="455A122E"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7D6E3594"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(0.021)***</w:t>
            </w:r>
          </w:p>
        </w:tc>
      </w:tr>
      <w:tr w:rsidR="002D2C02" w:rsidRPr="00166607" w14:paraId="28AB74EE" w14:textId="77777777" w:rsidTr="004E36D2">
        <w:trPr>
          <w:trHeight w:val="280"/>
        </w:trPr>
        <w:tc>
          <w:tcPr>
            <w:tcW w:w="4425" w:type="dxa"/>
            <w:tcBorders>
              <w:top w:val="nil"/>
              <w:left w:val="nil"/>
              <w:bottom w:val="nil"/>
              <w:right w:val="nil"/>
            </w:tcBorders>
            <w:shd w:val="clear" w:color="000000" w:fill="FFFFFF"/>
            <w:noWrap/>
            <w:vAlign w:val="center"/>
            <w:hideMark/>
          </w:tcPr>
          <w:p w14:paraId="106D3328"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Ever enrolled in a vocational college</w:t>
            </w:r>
          </w:p>
        </w:tc>
        <w:tc>
          <w:tcPr>
            <w:tcW w:w="1220" w:type="dxa"/>
            <w:tcBorders>
              <w:top w:val="nil"/>
              <w:left w:val="nil"/>
              <w:bottom w:val="nil"/>
              <w:right w:val="nil"/>
            </w:tcBorders>
            <w:shd w:val="clear" w:color="000000" w:fill="FFFFFF"/>
            <w:noWrap/>
            <w:vAlign w:val="center"/>
            <w:hideMark/>
          </w:tcPr>
          <w:p w14:paraId="4850376F"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0.066</w:t>
            </w:r>
          </w:p>
        </w:tc>
        <w:tc>
          <w:tcPr>
            <w:tcW w:w="1400" w:type="dxa"/>
            <w:tcBorders>
              <w:top w:val="nil"/>
              <w:left w:val="nil"/>
              <w:bottom w:val="nil"/>
              <w:right w:val="nil"/>
            </w:tcBorders>
            <w:shd w:val="clear" w:color="000000" w:fill="FFFFFF"/>
            <w:noWrap/>
            <w:vAlign w:val="center"/>
            <w:hideMark/>
          </w:tcPr>
          <w:p w14:paraId="486B761D"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0.014</w:t>
            </w:r>
          </w:p>
        </w:tc>
        <w:tc>
          <w:tcPr>
            <w:tcW w:w="265" w:type="dxa"/>
            <w:tcBorders>
              <w:top w:val="nil"/>
              <w:left w:val="nil"/>
              <w:bottom w:val="nil"/>
              <w:right w:val="nil"/>
            </w:tcBorders>
            <w:shd w:val="clear" w:color="000000" w:fill="FFFFFF"/>
            <w:vAlign w:val="center"/>
            <w:hideMark/>
          </w:tcPr>
          <w:p w14:paraId="5D9F19BD"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3BAB5462"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0.071</w:t>
            </w:r>
          </w:p>
        </w:tc>
        <w:tc>
          <w:tcPr>
            <w:tcW w:w="1310" w:type="dxa"/>
            <w:tcBorders>
              <w:top w:val="nil"/>
              <w:left w:val="nil"/>
              <w:bottom w:val="nil"/>
              <w:right w:val="nil"/>
            </w:tcBorders>
            <w:shd w:val="clear" w:color="000000" w:fill="FFFFFF"/>
            <w:noWrap/>
            <w:vAlign w:val="center"/>
            <w:hideMark/>
          </w:tcPr>
          <w:p w14:paraId="36D0FC95"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0.006</w:t>
            </w:r>
          </w:p>
        </w:tc>
        <w:tc>
          <w:tcPr>
            <w:tcW w:w="236" w:type="dxa"/>
            <w:tcBorders>
              <w:top w:val="nil"/>
              <w:left w:val="nil"/>
              <w:bottom w:val="nil"/>
              <w:right w:val="nil"/>
            </w:tcBorders>
            <w:shd w:val="clear" w:color="000000" w:fill="FFFFFF"/>
            <w:noWrap/>
            <w:vAlign w:val="center"/>
            <w:hideMark/>
          </w:tcPr>
          <w:p w14:paraId="0A76B6D3" w14:textId="2B785AAF"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07507633"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0.064</w:t>
            </w:r>
          </w:p>
        </w:tc>
        <w:tc>
          <w:tcPr>
            <w:tcW w:w="1400" w:type="dxa"/>
            <w:tcBorders>
              <w:top w:val="nil"/>
              <w:left w:val="nil"/>
              <w:bottom w:val="nil"/>
              <w:right w:val="nil"/>
            </w:tcBorders>
            <w:shd w:val="clear" w:color="000000" w:fill="FFFFFF"/>
            <w:noWrap/>
            <w:vAlign w:val="center"/>
            <w:hideMark/>
          </w:tcPr>
          <w:p w14:paraId="34D34930"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0.028</w:t>
            </w:r>
          </w:p>
        </w:tc>
      </w:tr>
      <w:tr w:rsidR="002D2C02" w:rsidRPr="00166607" w14:paraId="6BE6F5B7" w14:textId="77777777" w:rsidTr="004E36D2">
        <w:trPr>
          <w:trHeight w:val="280"/>
        </w:trPr>
        <w:tc>
          <w:tcPr>
            <w:tcW w:w="4425" w:type="dxa"/>
            <w:tcBorders>
              <w:top w:val="nil"/>
              <w:left w:val="nil"/>
              <w:bottom w:val="nil"/>
              <w:right w:val="nil"/>
            </w:tcBorders>
            <w:shd w:val="clear" w:color="000000" w:fill="FFFFFF"/>
            <w:noWrap/>
            <w:vAlign w:val="center"/>
            <w:hideMark/>
          </w:tcPr>
          <w:p w14:paraId="54B194AB"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3BA14587"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34F52AFA"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(0.009)*</w:t>
            </w:r>
          </w:p>
        </w:tc>
        <w:tc>
          <w:tcPr>
            <w:tcW w:w="265" w:type="dxa"/>
            <w:tcBorders>
              <w:top w:val="nil"/>
              <w:left w:val="nil"/>
              <w:bottom w:val="nil"/>
              <w:right w:val="nil"/>
            </w:tcBorders>
            <w:shd w:val="clear" w:color="000000" w:fill="FFFFFF"/>
            <w:vAlign w:val="center"/>
            <w:hideMark/>
          </w:tcPr>
          <w:p w14:paraId="3C7E97FB" w14:textId="77777777" w:rsidR="00402BF9" w:rsidRPr="00166607" w:rsidRDefault="00402BF9" w:rsidP="00402BF9">
            <w:pPr>
              <w:rPr>
                <w:rFonts w:ascii="Calibri" w:eastAsia="Times New Roman" w:hAnsi="Calibri"/>
                <w:color w:val="000000"/>
                <w:sz w:val="20"/>
                <w:szCs w:val="20"/>
              </w:rPr>
            </w:pPr>
            <w:r w:rsidRPr="00166607">
              <w:rPr>
                <w:rFonts w:ascii="Calibri" w:eastAsia="Times New Roman" w:hAnsi="Calibri"/>
                <w:color w:val="000000"/>
                <w:sz w:val="20"/>
                <w:szCs w:val="20"/>
              </w:rPr>
              <w:t> </w:t>
            </w:r>
          </w:p>
        </w:tc>
        <w:tc>
          <w:tcPr>
            <w:tcW w:w="1205" w:type="dxa"/>
            <w:tcBorders>
              <w:top w:val="nil"/>
              <w:left w:val="nil"/>
              <w:bottom w:val="nil"/>
              <w:right w:val="nil"/>
            </w:tcBorders>
            <w:shd w:val="clear" w:color="000000" w:fill="FFFFFF"/>
            <w:noWrap/>
            <w:vAlign w:val="center"/>
            <w:hideMark/>
          </w:tcPr>
          <w:p w14:paraId="5F9945E2" w14:textId="433BBB99" w:rsidR="00402BF9" w:rsidRPr="00166607" w:rsidRDefault="00402BF9" w:rsidP="00402BF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161AD6CE"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(0.012)</w:t>
            </w:r>
          </w:p>
        </w:tc>
        <w:tc>
          <w:tcPr>
            <w:tcW w:w="236" w:type="dxa"/>
            <w:tcBorders>
              <w:top w:val="nil"/>
              <w:left w:val="nil"/>
              <w:bottom w:val="nil"/>
              <w:right w:val="nil"/>
            </w:tcBorders>
            <w:shd w:val="clear" w:color="000000" w:fill="FFFFFF"/>
            <w:noWrap/>
            <w:vAlign w:val="center"/>
            <w:hideMark/>
          </w:tcPr>
          <w:p w14:paraId="1EAF5F4D" w14:textId="6598B61F"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48E7C4DE" w14:textId="2E8F9F6D"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7E7865D1"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(0.014)**</w:t>
            </w:r>
          </w:p>
        </w:tc>
      </w:tr>
      <w:tr w:rsidR="002D2C02" w:rsidRPr="00166607" w14:paraId="73173EA0" w14:textId="77777777" w:rsidTr="004E36D2">
        <w:trPr>
          <w:trHeight w:val="280"/>
        </w:trPr>
        <w:tc>
          <w:tcPr>
            <w:tcW w:w="4425" w:type="dxa"/>
            <w:tcBorders>
              <w:top w:val="nil"/>
              <w:left w:val="nil"/>
              <w:bottom w:val="nil"/>
              <w:right w:val="nil"/>
            </w:tcBorders>
            <w:shd w:val="clear" w:color="000000" w:fill="FFFFFF"/>
            <w:noWrap/>
            <w:vAlign w:val="center"/>
            <w:hideMark/>
          </w:tcPr>
          <w:p w14:paraId="166D51D0"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Ever enrolled in a university</w:t>
            </w:r>
          </w:p>
        </w:tc>
        <w:tc>
          <w:tcPr>
            <w:tcW w:w="1220" w:type="dxa"/>
            <w:tcBorders>
              <w:top w:val="nil"/>
              <w:left w:val="nil"/>
              <w:bottom w:val="nil"/>
              <w:right w:val="nil"/>
            </w:tcBorders>
            <w:shd w:val="clear" w:color="000000" w:fill="FFFFFF"/>
            <w:noWrap/>
            <w:vAlign w:val="center"/>
            <w:hideMark/>
          </w:tcPr>
          <w:p w14:paraId="7AE8546D"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0.131</w:t>
            </w:r>
          </w:p>
        </w:tc>
        <w:tc>
          <w:tcPr>
            <w:tcW w:w="1400" w:type="dxa"/>
            <w:tcBorders>
              <w:top w:val="nil"/>
              <w:left w:val="nil"/>
              <w:bottom w:val="nil"/>
              <w:right w:val="nil"/>
            </w:tcBorders>
            <w:shd w:val="clear" w:color="000000" w:fill="FFFFFF"/>
            <w:noWrap/>
            <w:vAlign w:val="center"/>
            <w:hideMark/>
          </w:tcPr>
          <w:p w14:paraId="3DFBDED2"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0.014</w:t>
            </w:r>
          </w:p>
        </w:tc>
        <w:tc>
          <w:tcPr>
            <w:tcW w:w="265" w:type="dxa"/>
            <w:tcBorders>
              <w:top w:val="nil"/>
              <w:left w:val="nil"/>
              <w:bottom w:val="nil"/>
              <w:right w:val="nil"/>
            </w:tcBorders>
            <w:shd w:val="clear" w:color="000000" w:fill="FFFFFF"/>
            <w:vAlign w:val="center"/>
            <w:hideMark/>
          </w:tcPr>
          <w:p w14:paraId="029FF6A2"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4DC55E3F"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0.13</w:t>
            </w:r>
          </w:p>
        </w:tc>
        <w:tc>
          <w:tcPr>
            <w:tcW w:w="1310" w:type="dxa"/>
            <w:tcBorders>
              <w:top w:val="nil"/>
              <w:left w:val="nil"/>
              <w:bottom w:val="nil"/>
              <w:right w:val="nil"/>
            </w:tcBorders>
            <w:shd w:val="clear" w:color="000000" w:fill="FFFFFF"/>
            <w:noWrap/>
            <w:vAlign w:val="center"/>
            <w:hideMark/>
          </w:tcPr>
          <w:p w14:paraId="27BD75FA"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-0.002</w:t>
            </w:r>
          </w:p>
        </w:tc>
        <w:tc>
          <w:tcPr>
            <w:tcW w:w="236" w:type="dxa"/>
            <w:tcBorders>
              <w:top w:val="nil"/>
              <w:left w:val="nil"/>
              <w:bottom w:val="nil"/>
              <w:right w:val="nil"/>
            </w:tcBorders>
            <w:shd w:val="clear" w:color="000000" w:fill="FFFFFF"/>
            <w:noWrap/>
            <w:vAlign w:val="center"/>
            <w:hideMark/>
          </w:tcPr>
          <w:p w14:paraId="2A63AF32" w14:textId="56E3DC1B"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4D44CD8E"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0.135</w:t>
            </w:r>
          </w:p>
        </w:tc>
        <w:tc>
          <w:tcPr>
            <w:tcW w:w="1400" w:type="dxa"/>
            <w:tcBorders>
              <w:top w:val="nil"/>
              <w:left w:val="nil"/>
              <w:bottom w:val="nil"/>
              <w:right w:val="nil"/>
            </w:tcBorders>
            <w:shd w:val="clear" w:color="000000" w:fill="FFFFFF"/>
            <w:noWrap/>
            <w:vAlign w:val="center"/>
            <w:hideMark/>
          </w:tcPr>
          <w:p w14:paraId="638EA9DC"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0.046</w:t>
            </w:r>
          </w:p>
        </w:tc>
      </w:tr>
      <w:tr w:rsidR="002D2C02" w:rsidRPr="00166607" w14:paraId="2F584143" w14:textId="77777777" w:rsidTr="004E36D2">
        <w:trPr>
          <w:trHeight w:val="280"/>
        </w:trPr>
        <w:tc>
          <w:tcPr>
            <w:tcW w:w="4425" w:type="dxa"/>
            <w:tcBorders>
              <w:top w:val="nil"/>
              <w:left w:val="nil"/>
              <w:bottom w:val="nil"/>
              <w:right w:val="nil"/>
            </w:tcBorders>
            <w:shd w:val="clear" w:color="000000" w:fill="FFFFFF"/>
            <w:noWrap/>
            <w:vAlign w:val="center"/>
            <w:hideMark/>
          </w:tcPr>
          <w:p w14:paraId="5DCA7AEE"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3BDAF193"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59726A92"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(0.011)</w:t>
            </w:r>
          </w:p>
        </w:tc>
        <w:tc>
          <w:tcPr>
            <w:tcW w:w="265" w:type="dxa"/>
            <w:tcBorders>
              <w:top w:val="nil"/>
              <w:left w:val="nil"/>
              <w:bottom w:val="nil"/>
              <w:right w:val="nil"/>
            </w:tcBorders>
            <w:shd w:val="clear" w:color="000000" w:fill="FFFFFF"/>
            <w:noWrap/>
            <w:vAlign w:val="center"/>
            <w:hideMark/>
          </w:tcPr>
          <w:p w14:paraId="156F3889"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66D89CE9" w14:textId="7E7FEAE5" w:rsidR="00402BF9" w:rsidRPr="00166607" w:rsidRDefault="00402BF9" w:rsidP="00402BF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1F0878E1"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(0.015)</w:t>
            </w:r>
          </w:p>
        </w:tc>
        <w:tc>
          <w:tcPr>
            <w:tcW w:w="236" w:type="dxa"/>
            <w:tcBorders>
              <w:top w:val="nil"/>
              <w:left w:val="nil"/>
              <w:bottom w:val="nil"/>
              <w:right w:val="nil"/>
            </w:tcBorders>
            <w:shd w:val="clear" w:color="000000" w:fill="FFFFFF"/>
            <w:noWrap/>
            <w:vAlign w:val="center"/>
            <w:hideMark/>
          </w:tcPr>
          <w:p w14:paraId="2312083C" w14:textId="0C635366"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05D2BDFE" w14:textId="59831B70"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00CF64BC"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(0.019)**</w:t>
            </w:r>
          </w:p>
        </w:tc>
      </w:tr>
      <w:tr w:rsidR="002D2C02" w:rsidRPr="00166607" w14:paraId="28E2C8DC" w14:textId="77777777" w:rsidTr="004E36D2">
        <w:trPr>
          <w:trHeight w:val="280"/>
        </w:trPr>
        <w:tc>
          <w:tcPr>
            <w:tcW w:w="4425" w:type="dxa"/>
            <w:tcBorders>
              <w:top w:val="nil"/>
              <w:left w:val="nil"/>
              <w:bottom w:val="nil"/>
              <w:right w:val="nil"/>
            </w:tcBorders>
            <w:shd w:val="clear" w:color="000000" w:fill="FFFFFF"/>
            <w:noWrap/>
            <w:vAlign w:val="center"/>
            <w:hideMark/>
          </w:tcPr>
          <w:p w14:paraId="67CC6D52"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tertiary education as of 2012</w:t>
            </w:r>
          </w:p>
        </w:tc>
        <w:tc>
          <w:tcPr>
            <w:tcW w:w="1220" w:type="dxa"/>
            <w:tcBorders>
              <w:top w:val="nil"/>
              <w:left w:val="nil"/>
              <w:bottom w:val="nil"/>
              <w:right w:val="nil"/>
            </w:tcBorders>
            <w:shd w:val="clear" w:color="000000" w:fill="FFFFFF"/>
            <w:noWrap/>
            <w:vAlign w:val="center"/>
            <w:hideMark/>
          </w:tcPr>
          <w:p w14:paraId="288AE128"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0.036</w:t>
            </w:r>
          </w:p>
        </w:tc>
        <w:tc>
          <w:tcPr>
            <w:tcW w:w="1400" w:type="dxa"/>
            <w:tcBorders>
              <w:top w:val="nil"/>
              <w:left w:val="nil"/>
              <w:bottom w:val="nil"/>
              <w:right w:val="nil"/>
            </w:tcBorders>
            <w:shd w:val="clear" w:color="000000" w:fill="FFFFFF"/>
            <w:noWrap/>
            <w:vAlign w:val="center"/>
            <w:hideMark/>
          </w:tcPr>
          <w:p w14:paraId="72EC8F26"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0.023</w:t>
            </w:r>
          </w:p>
        </w:tc>
        <w:tc>
          <w:tcPr>
            <w:tcW w:w="265" w:type="dxa"/>
            <w:tcBorders>
              <w:top w:val="nil"/>
              <w:left w:val="nil"/>
              <w:bottom w:val="nil"/>
              <w:right w:val="nil"/>
            </w:tcBorders>
            <w:shd w:val="clear" w:color="000000" w:fill="FFFFFF"/>
            <w:noWrap/>
            <w:vAlign w:val="center"/>
            <w:hideMark/>
          </w:tcPr>
          <w:p w14:paraId="783C99EA"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47E9A29D"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w:t>
            </w:r>
          </w:p>
        </w:tc>
        <w:tc>
          <w:tcPr>
            <w:tcW w:w="1310" w:type="dxa"/>
            <w:tcBorders>
              <w:top w:val="nil"/>
              <w:left w:val="nil"/>
              <w:bottom w:val="nil"/>
              <w:right w:val="nil"/>
            </w:tcBorders>
            <w:shd w:val="clear" w:color="000000" w:fill="FFFFFF"/>
            <w:noWrap/>
            <w:vAlign w:val="center"/>
            <w:hideMark/>
          </w:tcPr>
          <w:p w14:paraId="69103D92"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0.031</w:t>
            </w:r>
          </w:p>
        </w:tc>
        <w:tc>
          <w:tcPr>
            <w:tcW w:w="236" w:type="dxa"/>
            <w:tcBorders>
              <w:top w:val="nil"/>
              <w:left w:val="nil"/>
              <w:bottom w:val="nil"/>
              <w:right w:val="nil"/>
            </w:tcBorders>
            <w:shd w:val="clear" w:color="000000" w:fill="FFFFFF"/>
            <w:noWrap/>
            <w:vAlign w:val="center"/>
            <w:hideMark/>
          </w:tcPr>
          <w:p w14:paraId="2F16F064" w14:textId="15C0780C"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1E110AD1"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0.039</w:t>
            </w:r>
          </w:p>
        </w:tc>
        <w:tc>
          <w:tcPr>
            <w:tcW w:w="1400" w:type="dxa"/>
            <w:tcBorders>
              <w:top w:val="nil"/>
              <w:left w:val="nil"/>
              <w:bottom w:val="nil"/>
              <w:right w:val="nil"/>
            </w:tcBorders>
            <w:shd w:val="clear" w:color="000000" w:fill="FFFFFF"/>
            <w:noWrap/>
            <w:vAlign w:val="center"/>
            <w:hideMark/>
          </w:tcPr>
          <w:p w14:paraId="0ED8A947"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0.021</w:t>
            </w:r>
          </w:p>
        </w:tc>
      </w:tr>
      <w:tr w:rsidR="002D2C02" w:rsidRPr="00166607" w14:paraId="30026B2C" w14:textId="77777777" w:rsidTr="004E36D2">
        <w:trPr>
          <w:trHeight w:val="280"/>
        </w:trPr>
        <w:tc>
          <w:tcPr>
            <w:tcW w:w="4425" w:type="dxa"/>
            <w:tcBorders>
              <w:top w:val="nil"/>
              <w:left w:val="nil"/>
              <w:bottom w:val="nil"/>
              <w:right w:val="nil"/>
            </w:tcBorders>
            <w:shd w:val="clear" w:color="000000" w:fill="FFFFFF"/>
            <w:noWrap/>
            <w:vAlign w:val="center"/>
            <w:hideMark/>
          </w:tcPr>
          <w:p w14:paraId="1F405F04"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0389CDAF"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58A47303"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(0.007)***</w:t>
            </w:r>
          </w:p>
        </w:tc>
        <w:tc>
          <w:tcPr>
            <w:tcW w:w="265" w:type="dxa"/>
            <w:tcBorders>
              <w:top w:val="nil"/>
              <w:left w:val="nil"/>
              <w:bottom w:val="nil"/>
              <w:right w:val="nil"/>
            </w:tcBorders>
            <w:shd w:val="clear" w:color="000000" w:fill="FFFFFF"/>
            <w:noWrap/>
            <w:vAlign w:val="center"/>
            <w:hideMark/>
          </w:tcPr>
          <w:p w14:paraId="37DD1C06"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3888D52B" w14:textId="13CA2E77" w:rsidR="00402BF9" w:rsidRPr="00166607" w:rsidRDefault="00402BF9" w:rsidP="00402BF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746694EE"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(0.009)***</w:t>
            </w:r>
          </w:p>
        </w:tc>
        <w:tc>
          <w:tcPr>
            <w:tcW w:w="236" w:type="dxa"/>
            <w:tcBorders>
              <w:top w:val="nil"/>
              <w:left w:val="nil"/>
              <w:bottom w:val="nil"/>
              <w:right w:val="nil"/>
            </w:tcBorders>
            <w:shd w:val="clear" w:color="000000" w:fill="FFFFFF"/>
            <w:noWrap/>
            <w:vAlign w:val="center"/>
            <w:hideMark/>
          </w:tcPr>
          <w:p w14:paraId="1E6C6526" w14:textId="4E65575B"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3F7131DB" w14:textId="20D52CE1"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74926A3C"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(0.011)*</w:t>
            </w:r>
          </w:p>
        </w:tc>
      </w:tr>
      <w:tr w:rsidR="002D2C02" w:rsidRPr="00166607" w14:paraId="7F42EF9A" w14:textId="77777777" w:rsidTr="004E36D2">
        <w:trPr>
          <w:trHeight w:val="280"/>
        </w:trPr>
        <w:tc>
          <w:tcPr>
            <w:tcW w:w="4425" w:type="dxa"/>
            <w:tcBorders>
              <w:top w:val="nil"/>
              <w:left w:val="nil"/>
              <w:bottom w:val="nil"/>
              <w:right w:val="nil"/>
            </w:tcBorders>
            <w:shd w:val="clear" w:color="000000" w:fill="FFFFFF"/>
            <w:noWrap/>
            <w:vAlign w:val="center"/>
            <w:hideMark/>
          </w:tcPr>
          <w:p w14:paraId="67D635B2"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vocational college as of 2012</w:t>
            </w:r>
          </w:p>
        </w:tc>
        <w:tc>
          <w:tcPr>
            <w:tcW w:w="1220" w:type="dxa"/>
            <w:tcBorders>
              <w:top w:val="nil"/>
              <w:left w:val="nil"/>
              <w:bottom w:val="nil"/>
              <w:right w:val="nil"/>
            </w:tcBorders>
            <w:shd w:val="clear" w:color="000000" w:fill="FFFFFF"/>
            <w:noWrap/>
            <w:vAlign w:val="center"/>
            <w:hideMark/>
          </w:tcPr>
          <w:p w14:paraId="1FD6EF24"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0.009</w:t>
            </w:r>
          </w:p>
        </w:tc>
        <w:tc>
          <w:tcPr>
            <w:tcW w:w="1400" w:type="dxa"/>
            <w:tcBorders>
              <w:top w:val="nil"/>
              <w:left w:val="nil"/>
              <w:bottom w:val="nil"/>
              <w:right w:val="nil"/>
            </w:tcBorders>
            <w:shd w:val="clear" w:color="000000" w:fill="FFFFFF"/>
            <w:noWrap/>
            <w:vAlign w:val="center"/>
            <w:hideMark/>
          </w:tcPr>
          <w:p w14:paraId="13A10D20"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0.003</w:t>
            </w:r>
          </w:p>
        </w:tc>
        <w:tc>
          <w:tcPr>
            <w:tcW w:w="265" w:type="dxa"/>
            <w:tcBorders>
              <w:top w:val="nil"/>
              <w:left w:val="nil"/>
              <w:bottom w:val="nil"/>
              <w:right w:val="nil"/>
            </w:tcBorders>
            <w:shd w:val="clear" w:color="000000" w:fill="FFFFFF"/>
            <w:noWrap/>
            <w:vAlign w:val="center"/>
            <w:hideMark/>
          </w:tcPr>
          <w:p w14:paraId="24813E52"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0D40A463"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w:t>
            </w:r>
          </w:p>
        </w:tc>
        <w:tc>
          <w:tcPr>
            <w:tcW w:w="1310" w:type="dxa"/>
            <w:tcBorders>
              <w:top w:val="nil"/>
              <w:left w:val="nil"/>
              <w:bottom w:val="nil"/>
              <w:right w:val="nil"/>
            </w:tcBorders>
            <w:shd w:val="clear" w:color="000000" w:fill="FFFFFF"/>
            <w:noWrap/>
            <w:vAlign w:val="center"/>
            <w:hideMark/>
          </w:tcPr>
          <w:p w14:paraId="03EF2038"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0.002</w:t>
            </w:r>
          </w:p>
        </w:tc>
        <w:tc>
          <w:tcPr>
            <w:tcW w:w="236" w:type="dxa"/>
            <w:tcBorders>
              <w:top w:val="nil"/>
              <w:left w:val="nil"/>
              <w:bottom w:val="nil"/>
              <w:right w:val="nil"/>
            </w:tcBorders>
            <w:shd w:val="clear" w:color="000000" w:fill="FFFFFF"/>
            <w:noWrap/>
            <w:vAlign w:val="center"/>
            <w:hideMark/>
          </w:tcPr>
          <w:p w14:paraId="07B3A4F1" w14:textId="2D278004"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11CB658E"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0.007</w:t>
            </w:r>
          </w:p>
        </w:tc>
        <w:tc>
          <w:tcPr>
            <w:tcW w:w="1400" w:type="dxa"/>
            <w:tcBorders>
              <w:top w:val="nil"/>
              <w:left w:val="nil"/>
              <w:bottom w:val="nil"/>
              <w:right w:val="nil"/>
            </w:tcBorders>
            <w:shd w:val="clear" w:color="000000" w:fill="FFFFFF"/>
            <w:noWrap/>
            <w:vAlign w:val="center"/>
            <w:hideMark/>
          </w:tcPr>
          <w:p w14:paraId="4303AE4F"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0.006</w:t>
            </w:r>
          </w:p>
        </w:tc>
      </w:tr>
      <w:tr w:rsidR="002D2C02" w:rsidRPr="00166607" w14:paraId="2DA44F4A" w14:textId="77777777" w:rsidTr="004E36D2">
        <w:trPr>
          <w:trHeight w:val="280"/>
        </w:trPr>
        <w:tc>
          <w:tcPr>
            <w:tcW w:w="4425" w:type="dxa"/>
            <w:tcBorders>
              <w:top w:val="nil"/>
              <w:left w:val="nil"/>
              <w:bottom w:val="nil"/>
              <w:right w:val="nil"/>
            </w:tcBorders>
            <w:shd w:val="clear" w:color="000000" w:fill="FFFFFF"/>
            <w:noWrap/>
            <w:vAlign w:val="center"/>
            <w:hideMark/>
          </w:tcPr>
          <w:p w14:paraId="45EEDE28"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77CD7E11"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216A54B4"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(0.003)</w:t>
            </w:r>
          </w:p>
        </w:tc>
        <w:tc>
          <w:tcPr>
            <w:tcW w:w="265" w:type="dxa"/>
            <w:tcBorders>
              <w:top w:val="nil"/>
              <w:left w:val="nil"/>
              <w:bottom w:val="nil"/>
              <w:right w:val="nil"/>
            </w:tcBorders>
            <w:shd w:val="clear" w:color="000000" w:fill="FFFFFF"/>
            <w:noWrap/>
            <w:vAlign w:val="center"/>
            <w:hideMark/>
          </w:tcPr>
          <w:p w14:paraId="0740410E"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470C6A63" w14:textId="5F66EFD8" w:rsidR="00402BF9" w:rsidRPr="00166607" w:rsidRDefault="00402BF9" w:rsidP="00402BF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425A2990"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c>
          <w:tcPr>
            <w:tcW w:w="236" w:type="dxa"/>
            <w:tcBorders>
              <w:top w:val="nil"/>
              <w:left w:val="nil"/>
              <w:bottom w:val="nil"/>
              <w:right w:val="nil"/>
            </w:tcBorders>
            <w:shd w:val="clear" w:color="000000" w:fill="FFFFFF"/>
            <w:noWrap/>
            <w:vAlign w:val="center"/>
            <w:hideMark/>
          </w:tcPr>
          <w:p w14:paraId="17F94BBD" w14:textId="0B0C1BDF"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51DB3DA4" w14:textId="6A95EACA"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62D8AE51"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r>
      <w:tr w:rsidR="002D2C02" w:rsidRPr="00166607" w14:paraId="430CC5E5" w14:textId="77777777" w:rsidTr="004E36D2">
        <w:trPr>
          <w:trHeight w:val="280"/>
        </w:trPr>
        <w:tc>
          <w:tcPr>
            <w:tcW w:w="4425" w:type="dxa"/>
            <w:tcBorders>
              <w:top w:val="nil"/>
              <w:left w:val="nil"/>
              <w:bottom w:val="nil"/>
              <w:right w:val="nil"/>
            </w:tcBorders>
            <w:shd w:val="clear" w:color="000000" w:fill="FFFFFF"/>
            <w:noWrap/>
            <w:vAlign w:val="center"/>
            <w:hideMark/>
          </w:tcPr>
          <w:p w14:paraId="13829903"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university as of 2012</w:t>
            </w:r>
          </w:p>
        </w:tc>
        <w:tc>
          <w:tcPr>
            <w:tcW w:w="1220" w:type="dxa"/>
            <w:tcBorders>
              <w:top w:val="nil"/>
              <w:left w:val="nil"/>
              <w:bottom w:val="nil"/>
              <w:right w:val="nil"/>
            </w:tcBorders>
            <w:shd w:val="clear" w:color="000000" w:fill="FFFFFF"/>
            <w:noWrap/>
            <w:vAlign w:val="center"/>
            <w:hideMark/>
          </w:tcPr>
          <w:p w14:paraId="1434B460"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0.027</w:t>
            </w:r>
          </w:p>
        </w:tc>
        <w:tc>
          <w:tcPr>
            <w:tcW w:w="1400" w:type="dxa"/>
            <w:tcBorders>
              <w:top w:val="nil"/>
              <w:left w:val="nil"/>
              <w:bottom w:val="nil"/>
              <w:right w:val="nil"/>
            </w:tcBorders>
            <w:shd w:val="clear" w:color="000000" w:fill="FFFFFF"/>
            <w:noWrap/>
            <w:vAlign w:val="center"/>
            <w:hideMark/>
          </w:tcPr>
          <w:p w14:paraId="44F887C3"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w:t>
            </w:r>
          </w:p>
        </w:tc>
        <w:tc>
          <w:tcPr>
            <w:tcW w:w="265" w:type="dxa"/>
            <w:tcBorders>
              <w:top w:val="nil"/>
              <w:left w:val="nil"/>
              <w:bottom w:val="nil"/>
              <w:right w:val="nil"/>
            </w:tcBorders>
            <w:shd w:val="clear" w:color="000000" w:fill="FFFFFF"/>
            <w:noWrap/>
            <w:vAlign w:val="center"/>
            <w:hideMark/>
          </w:tcPr>
          <w:p w14:paraId="0D7D2939"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15A319F8"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w:t>
            </w:r>
          </w:p>
        </w:tc>
        <w:tc>
          <w:tcPr>
            <w:tcW w:w="1310" w:type="dxa"/>
            <w:tcBorders>
              <w:top w:val="nil"/>
              <w:left w:val="nil"/>
              <w:bottom w:val="nil"/>
              <w:right w:val="nil"/>
            </w:tcBorders>
            <w:shd w:val="clear" w:color="000000" w:fill="FFFFFF"/>
            <w:noWrap/>
            <w:vAlign w:val="center"/>
            <w:hideMark/>
          </w:tcPr>
          <w:p w14:paraId="2D2803A8"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w:t>
            </w:r>
          </w:p>
        </w:tc>
        <w:tc>
          <w:tcPr>
            <w:tcW w:w="236" w:type="dxa"/>
            <w:tcBorders>
              <w:top w:val="nil"/>
              <w:left w:val="nil"/>
              <w:bottom w:val="nil"/>
              <w:right w:val="nil"/>
            </w:tcBorders>
            <w:shd w:val="clear" w:color="000000" w:fill="FFFFFF"/>
            <w:noWrap/>
            <w:vAlign w:val="center"/>
            <w:hideMark/>
          </w:tcPr>
          <w:p w14:paraId="7320FF39" w14:textId="145D2ABE"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53EC1A94"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0.033</w:t>
            </w:r>
          </w:p>
        </w:tc>
        <w:tc>
          <w:tcPr>
            <w:tcW w:w="1400" w:type="dxa"/>
            <w:tcBorders>
              <w:top w:val="nil"/>
              <w:left w:val="nil"/>
              <w:bottom w:val="nil"/>
              <w:right w:val="nil"/>
            </w:tcBorders>
            <w:shd w:val="clear" w:color="000000" w:fill="FFFFFF"/>
            <w:noWrap/>
            <w:vAlign w:val="center"/>
            <w:hideMark/>
          </w:tcPr>
          <w:p w14:paraId="23C476C2"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0.016</w:t>
            </w:r>
          </w:p>
        </w:tc>
      </w:tr>
      <w:tr w:rsidR="002D2C02" w:rsidRPr="00166607" w14:paraId="7F2FA5C5" w14:textId="77777777" w:rsidTr="004E36D2">
        <w:trPr>
          <w:trHeight w:val="280"/>
        </w:trPr>
        <w:tc>
          <w:tcPr>
            <w:tcW w:w="4425" w:type="dxa"/>
            <w:tcBorders>
              <w:top w:val="nil"/>
              <w:left w:val="nil"/>
              <w:bottom w:val="nil"/>
              <w:right w:val="nil"/>
            </w:tcBorders>
            <w:shd w:val="clear" w:color="000000" w:fill="FFFFFF"/>
            <w:noWrap/>
            <w:vAlign w:val="center"/>
            <w:hideMark/>
          </w:tcPr>
          <w:p w14:paraId="5C10BEBA"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0971CBED"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6DA8FB37"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(0.006)***</w:t>
            </w:r>
          </w:p>
        </w:tc>
        <w:tc>
          <w:tcPr>
            <w:tcW w:w="265" w:type="dxa"/>
            <w:tcBorders>
              <w:top w:val="nil"/>
              <w:left w:val="nil"/>
              <w:bottom w:val="nil"/>
              <w:right w:val="nil"/>
            </w:tcBorders>
            <w:shd w:val="clear" w:color="000000" w:fill="FFFFFF"/>
            <w:noWrap/>
            <w:vAlign w:val="center"/>
            <w:hideMark/>
          </w:tcPr>
          <w:p w14:paraId="06BA6F0F"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39435283" w14:textId="553D68F4" w:rsidR="00402BF9" w:rsidRPr="00166607" w:rsidRDefault="00402BF9" w:rsidP="00402BF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66C1510A"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(0.008)***</w:t>
            </w:r>
          </w:p>
        </w:tc>
        <w:tc>
          <w:tcPr>
            <w:tcW w:w="236" w:type="dxa"/>
            <w:tcBorders>
              <w:top w:val="nil"/>
              <w:left w:val="nil"/>
              <w:bottom w:val="nil"/>
              <w:right w:val="nil"/>
            </w:tcBorders>
            <w:shd w:val="clear" w:color="000000" w:fill="FFFFFF"/>
            <w:noWrap/>
            <w:vAlign w:val="center"/>
            <w:hideMark/>
          </w:tcPr>
          <w:p w14:paraId="214EEA97" w14:textId="2FF03FBE"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6B8A634B" w14:textId="2ECA3377"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3710162E"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w:t>
            </w:r>
          </w:p>
        </w:tc>
      </w:tr>
      <w:tr w:rsidR="002D2C02" w:rsidRPr="00166607" w14:paraId="2FD311B5" w14:textId="77777777" w:rsidTr="004E36D2">
        <w:trPr>
          <w:trHeight w:val="280"/>
        </w:trPr>
        <w:tc>
          <w:tcPr>
            <w:tcW w:w="4425" w:type="dxa"/>
            <w:tcBorders>
              <w:top w:val="nil"/>
              <w:left w:val="nil"/>
              <w:bottom w:val="nil"/>
              <w:right w:val="nil"/>
            </w:tcBorders>
            <w:shd w:val="clear" w:color="000000" w:fill="FFFFFF"/>
            <w:noWrap/>
            <w:vAlign w:val="center"/>
            <w:hideMark/>
          </w:tcPr>
          <w:p w14:paraId="61F76635"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private institution as of 2012</w:t>
            </w:r>
          </w:p>
        </w:tc>
        <w:tc>
          <w:tcPr>
            <w:tcW w:w="1220" w:type="dxa"/>
            <w:tcBorders>
              <w:top w:val="nil"/>
              <w:left w:val="nil"/>
              <w:bottom w:val="nil"/>
              <w:right w:val="nil"/>
            </w:tcBorders>
            <w:shd w:val="clear" w:color="000000" w:fill="FFFFFF"/>
            <w:noWrap/>
            <w:vAlign w:val="center"/>
            <w:hideMark/>
          </w:tcPr>
          <w:p w14:paraId="6B18F1F8"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w:t>
            </w:r>
          </w:p>
        </w:tc>
        <w:tc>
          <w:tcPr>
            <w:tcW w:w="1400" w:type="dxa"/>
            <w:tcBorders>
              <w:top w:val="nil"/>
              <w:left w:val="nil"/>
              <w:bottom w:val="nil"/>
              <w:right w:val="nil"/>
            </w:tcBorders>
            <w:shd w:val="clear" w:color="000000" w:fill="FFFFFF"/>
            <w:noWrap/>
            <w:vAlign w:val="center"/>
            <w:hideMark/>
          </w:tcPr>
          <w:p w14:paraId="37079475"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0.018</w:t>
            </w:r>
          </w:p>
        </w:tc>
        <w:tc>
          <w:tcPr>
            <w:tcW w:w="265" w:type="dxa"/>
            <w:tcBorders>
              <w:top w:val="nil"/>
              <w:left w:val="nil"/>
              <w:bottom w:val="nil"/>
              <w:right w:val="nil"/>
            </w:tcBorders>
            <w:shd w:val="clear" w:color="000000" w:fill="FFFFFF"/>
            <w:noWrap/>
            <w:vAlign w:val="center"/>
            <w:hideMark/>
          </w:tcPr>
          <w:p w14:paraId="38D70C92"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2D09FC21"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0.025</w:t>
            </w:r>
          </w:p>
        </w:tc>
        <w:tc>
          <w:tcPr>
            <w:tcW w:w="1310" w:type="dxa"/>
            <w:tcBorders>
              <w:top w:val="nil"/>
              <w:left w:val="nil"/>
              <w:bottom w:val="nil"/>
              <w:right w:val="nil"/>
            </w:tcBorders>
            <w:shd w:val="clear" w:color="000000" w:fill="FFFFFF"/>
            <w:noWrap/>
            <w:vAlign w:val="center"/>
            <w:hideMark/>
          </w:tcPr>
          <w:p w14:paraId="731A5594"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0.027</w:t>
            </w:r>
          </w:p>
        </w:tc>
        <w:tc>
          <w:tcPr>
            <w:tcW w:w="236" w:type="dxa"/>
            <w:tcBorders>
              <w:top w:val="nil"/>
              <w:left w:val="nil"/>
              <w:bottom w:val="nil"/>
              <w:right w:val="nil"/>
            </w:tcBorders>
            <w:shd w:val="clear" w:color="000000" w:fill="FFFFFF"/>
            <w:noWrap/>
            <w:vAlign w:val="center"/>
            <w:hideMark/>
          </w:tcPr>
          <w:p w14:paraId="5451F591" w14:textId="1E253519"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67469D9B"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0.038</w:t>
            </w:r>
          </w:p>
        </w:tc>
        <w:tc>
          <w:tcPr>
            <w:tcW w:w="1400" w:type="dxa"/>
            <w:tcBorders>
              <w:top w:val="nil"/>
              <w:left w:val="nil"/>
              <w:bottom w:val="nil"/>
              <w:right w:val="nil"/>
            </w:tcBorders>
            <w:shd w:val="clear" w:color="000000" w:fill="FFFFFF"/>
            <w:noWrap/>
            <w:vAlign w:val="center"/>
            <w:hideMark/>
          </w:tcPr>
          <w:p w14:paraId="1B192CA9"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0.012</w:t>
            </w:r>
          </w:p>
        </w:tc>
      </w:tr>
      <w:tr w:rsidR="002D2C02" w:rsidRPr="00166607" w14:paraId="7397BFCE" w14:textId="77777777" w:rsidTr="004E36D2">
        <w:trPr>
          <w:trHeight w:val="280"/>
        </w:trPr>
        <w:tc>
          <w:tcPr>
            <w:tcW w:w="4425" w:type="dxa"/>
            <w:tcBorders>
              <w:top w:val="nil"/>
              <w:left w:val="nil"/>
              <w:bottom w:val="nil"/>
              <w:right w:val="nil"/>
            </w:tcBorders>
            <w:shd w:val="clear" w:color="000000" w:fill="FFFFFF"/>
            <w:noWrap/>
            <w:vAlign w:val="center"/>
            <w:hideMark/>
          </w:tcPr>
          <w:p w14:paraId="4F5B1D14"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lastRenderedPageBreak/>
              <w:t> </w:t>
            </w:r>
          </w:p>
        </w:tc>
        <w:tc>
          <w:tcPr>
            <w:tcW w:w="1220" w:type="dxa"/>
            <w:tcBorders>
              <w:top w:val="nil"/>
              <w:left w:val="nil"/>
              <w:bottom w:val="nil"/>
              <w:right w:val="nil"/>
            </w:tcBorders>
            <w:shd w:val="clear" w:color="000000" w:fill="FFFFFF"/>
            <w:noWrap/>
            <w:vAlign w:val="center"/>
            <w:hideMark/>
          </w:tcPr>
          <w:p w14:paraId="75775750"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7E5D8A1A"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(0.006)***</w:t>
            </w:r>
          </w:p>
        </w:tc>
        <w:tc>
          <w:tcPr>
            <w:tcW w:w="265" w:type="dxa"/>
            <w:tcBorders>
              <w:top w:val="nil"/>
              <w:left w:val="nil"/>
              <w:bottom w:val="nil"/>
              <w:right w:val="nil"/>
            </w:tcBorders>
            <w:shd w:val="clear" w:color="000000" w:fill="FFFFFF"/>
            <w:noWrap/>
            <w:vAlign w:val="center"/>
            <w:hideMark/>
          </w:tcPr>
          <w:p w14:paraId="6587F2F7"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2B80E0BF" w14:textId="1472C3E5" w:rsidR="00402BF9" w:rsidRPr="00166607" w:rsidRDefault="00402BF9" w:rsidP="00402BF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0A3AD243"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(0.009)***</w:t>
            </w:r>
          </w:p>
        </w:tc>
        <w:tc>
          <w:tcPr>
            <w:tcW w:w="236" w:type="dxa"/>
            <w:tcBorders>
              <w:top w:val="nil"/>
              <w:left w:val="nil"/>
              <w:bottom w:val="nil"/>
              <w:right w:val="nil"/>
            </w:tcBorders>
            <w:shd w:val="clear" w:color="000000" w:fill="FFFFFF"/>
            <w:noWrap/>
            <w:vAlign w:val="center"/>
            <w:hideMark/>
          </w:tcPr>
          <w:p w14:paraId="0DA103C6" w14:textId="11D1EA6E"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751A7594" w14:textId="3D1B4751"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131DA6E1"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(0.011)</w:t>
            </w:r>
          </w:p>
        </w:tc>
      </w:tr>
      <w:tr w:rsidR="002D2C02" w:rsidRPr="00166607" w14:paraId="071C1E71" w14:textId="77777777" w:rsidTr="004E36D2">
        <w:trPr>
          <w:trHeight w:val="280"/>
        </w:trPr>
        <w:tc>
          <w:tcPr>
            <w:tcW w:w="4425" w:type="dxa"/>
            <w:tcBorders>
              <w:top w:val="nil"/>
              <w:left w:val="nil"/>
              <w:bottom w:val="nil"/>
              <w:right w:val="nil"/>
            </w:tcBorders>
            <w:shd w:val="clear" w:color="000000" w:fill="FFFFFF"/>
            <w:noWrap/>
            <w:vAlign w:val="center"/>
            <w:hideMark/>
          </w:tcPr>
          <w:p w14:paraId="1FA63946"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a public institution as of 2012</w:t>
            </w:r>
          </w:p>
        </w:tc>
        <w:tc>
          <w:tcPr>
            <w:tcW w:w="1220" w:type="dxa"/>
            <w:tcBorders>
              <w:top w:val="nil"/>
              <w:left w:val="nil"/>
              <w:bottom w:val="nil"/>
              <w:right w:val="nil"/>
            </w:tcBorders>
            <w:shd w:val="clear" w:color="000000" w:fill="FFFFFF"/>
            <w:noWrap/>
            <w:vAlign w:val="center"/>
            <w:hideMark/>
          </w:tcPr>
          <w:p w14:paraId="46EFFA96"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c>
          <w:tcPr>
            <w:tcW w:w="1400" w:type="dxa"/>
            <w:tcBorders>
              <w:top w:val="nil"/>
              <w:left w:val="nil"/>
              <w:bottom w:val="nil"/>
              <w:right w:val="nil"/>
            </w:tcBorders>
            <w:shd w:val="clear" w:color="000000" w:fill="FFFFFF"/>
            <w:noWrap/>
            <w:vAlign w:val="center"/>
            <w:hideMark/>
          </w:tcPr>
          <w:p w14:paraId="7F6D2341"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0.006</w:t>
            </w:r>
          </w:p>
        </w:tc>
        <w:tc>
          <w:tcPr>
            <w:tcW w:w="265" w:type="dxa"/>
            <w:tcBorders>
              <w:top w:val="nil"/>
              <w:left w:val="nil"/>
              <w:bottom w:val="nil"/>
              <w:right w:val="nil"/>
            </w:tcBorders>
            <w:shd w:val="clear" w:color="000000" w:fill="FFFFFF"/>
            <w:noWrap/>
            <w:vAlign w:val="center"/>
            <w:hideMark/>
          </w:tcPr>
          <w:p w14:paraId="18EE81DB"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10F8712C"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c>
          <w:tcPr>
            <w:tcW w:w="1310" w:type="dxa"/>
            <w:tcBorders>
              <w:top w:val="nil"/>
              <w:left w:val="nil"/>
              <w:bottom w:val="nil"/>
              <w:right w:val="nil"/>
            </w:tcBorders>
            <w:shd w:val="clear" w:color="000000" w:fill="FFFFFF"/>
            <w:noWrap/>
            <w:vAlign w:val="center"/>
            <w:hideMark/>
          </w:tcPr>
          <w:p w14:paraId="261A6AD2"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0.006</w:t>
            </w:r>
          </w:p>
        </w:tc>
        <w:tc>
          <w:tcPr>
            <w:tcW w:w="236" w:type="dxa"/>
            <w:tcBorders>
              <w:top w:val="nil"/>
              <w:left w:val="nil"/>
              <w:bottom w:val="nil"/>
              <w:right w:val="nil"/>
            </w:tcBorders>
            <w:shd w:val="clear" w:color="000000" w:fill="FFFFFF"/>
            <w:noWrap/>
            <w:vAlign w:val="center"/>
            <w:hideMark/>
          </w:tcPr>
          <w:p w14:paraId="5E80B8DA" w14:textId="5A8BC198"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0B4076BD"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0.002</w:t>
            </w:r>
          </w:p>
        </w:tc>
        <w:tc>
          <w:tcPr>
            <w:tcW w:w="1400" w:type="dxa"/>
            <w:tcBorders>
              <w:top w:val="nil"/>
              <w:left w:val="nil"/>
              <w:bottom w:val="nil"/>
              <w:right w:val="nil"/>
            </w:tcBorders>
            <w:shd w:val="clear" w:color="000000" w:fill="FFFFFF"/>
            <w:noWrap/>
            <w:vAlign w:val="center"/>
            <w:hideMark/>
          </w:tcPr>
          <w:p w14:paraId="4317E795"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w:t>
            </w:r>
          </w:p>
        </w:tc>
      </w:tr>
      <w:tr w:rsidR="002D2C02" w:rsidRPr="00166607" w14:paraId="4262295F" w14:textId="77777777" w:rsidTr="004E36D2">
        <w:trPr>
          <w:trHeight w:val="280"/>
        </w:trPr>
        <w:tc>
          <w:tcPr>
            <w:tcW w:w="4425" w:type="dxa"/>
            <w:tcBorders>
              <w:top w:val="nil"/>
              <w:left w:val="nil"/>
              <w:bottom w:val="nil"/>
              <w:right w:val="nil"/>
            </w:tcBorders>
            <w:shd w:val="clear" w:color="000000" w:fill="FFFFFF"/>
            <w:noWrap/>
            <w:vAlign w:val="center"/>
            <w:hideMark/>
          </w:tcPr>
          <w:p w14:paraId="5CC88A53"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146F719D"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12665740"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(0.003)**</w:t>
            </w:r>
          </w:p>
        </w:tc>
        <w:tc>
          <w:tcPr>
            <w:tcW w:w="265" w:type="dxa"/>
            <w:tcBorders>
              <w:top w:val="nil"/>
              <w:left w:val="nil"/>
              <w:bottom w:val="nil"/>
              <w:right w:val="nil"/>
            </w:tcBorders>
            <w:shd w:val="clear" w:color="000000" w:fill="FFFFFF"/>
            <w:noWrap/>
            <w:vAlign w:val="center"/>
            <w:hideMark/>
          </w:tcPr>
          <w:p w14:paraId="7B2DE31A"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2A6E46C5" w14:textId="3E8ED5E3" w:rsidR="00402BF9" w:rsidRPr="00166607" w:rsidRDefault="00402BF9" w:rsidP="00402BF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639DC3D0"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(0.004)</w:t>
            </w:r>
          </w:p>
        </w:tc>
        <w:tc>
          <w:tcPr>
            <w:tcW w:w="236" w:type="dxa"/>
            <w:tcBorders>
              <w:top w:val="nil"/>
              <w:left w:val="nil"/>
              <w:bottom w:val="nil"/>
              <w:right w:val="nil"/>
            </w:tcBorders>
            <w:shd w:val="clear" w:color="000000" w:fill="FFFFFF"/>
            <w:noWrap/>
            <w:vAlign w:val="center"/>
            <w:hideMark/>
          </w:tcPr>
          <w:p w14:paraId="366DF102" w14:textId="08B02E00"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32C3A987" w14:textId="69E162E1"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174B64AE"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(0.004)**</w:t>
            </w:r>
          </w:p>
        </w:tc>
      </w:tr>
      <w:tr w:rsidR="002D2C02" w:rsidRPr="00166607" w14:paraId="6205723A" w14:textId="77777777" w:rsidTr="004E36D2">
        <w:trPr>
          <w:trHeight w:val="280"/>
        </w:trPr>
        <w:tc>
          <w:tcPr>
            <w:tcW w:w="4425" w:type="dxa"/>
            <w:tcBorders>
              <w:top w:val="nil"/>
              <w:left w:val="nil"/>
              <w:bottom w:val="nil"/>
              <w:right w:val="nil"/>
            </w:tcBorders>
            <w:shd w:val="clear" w:color="000000" w:fill="FFFFFF"/>
            <w:noWrap/>
            <w:vAlign w:val="center"/>
            <w:hideMark/>
          </w:tcPr>
          <w:p w14:paraId="4ADA0A43"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Graduated from tertiary education as of 2012</w:t>
            </w:r>
          </w:p>
        </w:tc>
        <w:tc>
          <w:tcPr>
            <w:tcW w:w="1220" w:type="dxa"/>
            <w:tcBorders>
              <w:top w:val="nil"/>
              <w:left w:val="nil"/>
              <w:bottom w:val="nil"/>
              <w:right w:val="nil"/>
            </w:tcBorders>
            <w:shd w:val="clear" w:color="000000" w:fill="FFFFFF"/>
            <w:noWrap/>
            <w:vAlign w:val="center"/>
            <w:hideMark/>
          </w:tcPr>
          <w:p w14:paraId="29C883A2"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w:t>
            </w:r>
          </w:p>
        </w:tc>
        <w:tc>
          <w:tcPr>
            <w:tcW w:w="1400" w:type="dxa"/>
            <w:tcBorders>
              <w:top w:val="nil"/>
              <w:left w:val="nil"/>
              <w:bottom w:val="nil"/>
              <w:right w:val="nil"/>
            </w:tcBorders>
            <w:shd w:val="clear" w:color="000000" w:fill="FFFFFF"/>
            <w:noWrap/>
            <w:vAlign w:val="center"/>
            <w:hideMark/>
          </w:tcPr>
          <w:p w14:paraId="0C6EA8C9"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0.006</w:t>
            </w:r>
          </w:p>
        </w:tc>
        <w:tc>
          <w:tcPr>
            <w:tcW w:w="265" w:type="dxa"/>
            <w:tcBorders>
              <w:top w:val="nil"/>
              <w:left w:val="nil"/>
              <w:bottom w:val="nil"/>
              <w:right w:val="nil"/>
            </w:tcBorders>
            <w:shd w:val="clear" w:color="000000" w:fill="FFFFFF"/>
            <w:noWrap/>
            <w:vAlign w:val="center"/>
            <w:hideMark/>
          </w:tcPr>
          <w:p w14:paraId="0C4DCCB6"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1FB3239B"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0.054</w:t>
            </w:r>
          </w:p>
        </w:tc>
        <w:tc>
          <w:tcPr>
            <w:tcW w:w="1310" w:type="dxa"/>
            <w:tcBorders>
              <w:top w:val="nil"/>
              <w:left w:val="nil"/>
              <w:bottom w:val="nil"/>
              <w:right w:val="nil"/>
            </w:tcBorders>
            <w:shd w:val="clear" w:color="000000" w:fill="FFFFFF"/>
            <w:noWrap/>
            <w:vAlign w:val="center"/>
            <w:hideMark/>
          </w:tcPr>
          <w:p w14:paraId="3669C1B5"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-0.008</w:t>
            </w:r>
          </w:p>
        </w:tc>
        <w:tc>
          <w:tcPr>
            <w:tcW w:w="236" w:type="dxa"/>
            <w:tcBorders>
              <w:top w:val="nil"/>
              <w:left w:val="nil"/>
              <w:bottom w:val="nil"/>
              <w:right w:val="nil"/>
            </w:tcBorders>
            <w:shd w:val="clear" w:color="000000" w:fill="FFFFFF"/>
            <w:noWrap/>
            <w:vAlign w:val="center"/>
            <w:hideMark/>
          </w:tcPr>
          <w:p w14:paraId="123912C6" w14:textId="069B4A60"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3291FD7D"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0.049</w:t>
            </w:r>
          </w:p>
        </w:tc>
        <w:tc>
          <w:tcPr>
            <w:tcW w:w="1400" w:type="dxa"/>
            <w:tcBorders>
              <w:top w:val="nil"/>
              <w:left w:val="nil"/>
              <w:bottom w:val="nil"/>
              <w:right w:val="nil"/>
            </w:tcBorders>
            <w:shd w:val="clear" w:color="000000" w:fill="FFFFFF"/>
            <w:noWrap/>
            <w:vAlign w:val="center"/>
            <w:hideMark/>
          </w:tcPr>
          <w:p w14:paraId="25B669CC"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0.024</w:t>
            </w:r>
          </w:p>
        </w:tc>
      </w:tr>
      <w:tr w:rsidR="002D2C02" w:rsidRPr="00166607" w14:paraId="59DA2B30" w14:textId="77777777" w:rsidTr="004E36D2">
        <w:trPr>
          <w:trHeight w:val="280"/>
        </w:trPr>
        <w:tc>
          <w:tcPr>
            <w:tcW w:w="4425" w:type="dxa"/>
            <w:tcBorders>
              <w:top w:val="nil"/>
              <w:left w:val="nil"/>
              <w:bottom w:val="nil"/>
              <w:right w:val="nil"/>
            </w:tcBorders>
            <w:shd w:val="clear" w:color="000000" w:fill="FFFFFF"/>
            <w:noWrap/>
            <w:vAlign w:val="center"/>
            <w:hideMark/>
          </w:tcPr>
          <w:p w14:paraId="05FC00FA"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2FBE2B7F"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2D977537"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(0.007)</w:t>
            </w:r>
          </w:p>
        </w:tc>
        <w:tc>
          <w:tcPr>
            <w:tcW w:w="265" w:type="dxa"/>
            <w:tcBorders>
              <w:top w:val="nil"/>
              <w:left w:val="nil"/>
              <w:bottom w:val="nil"/>
              <w:right w:val="nil"/>
            </w:tcBorders>
            <w:shd w:val="clear" w:color="000000" w:fill="FFFFFF"/>
            <w:noWrap/>
            <w:vAlign w:val="center"/>
            <w:hideMark/>
          </w:tcPr>
          <w:p w14:paraId="26787CCC"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77587253" w14:textId="0E81094A" w:rsidR="00402BF9" w:rsidRPr="00166607" w:rsidRDefault="00402BF9" w:rsidP="00402BF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1726E0A7"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w:t>
            </w:r>
          </w:p>
        </w:tc>
        <w:tc>
          <w:tcPr>
            <w:tcW w:w="236" w:type="dxa"/>
            <w:tcBorders>
              <w:top w:val="nil"/>
              <w:left w:val="nil"/>
              <w:bottom w:val="nil"/>
              <w:right w:val="nil"/>
            </w:tcBorders>
            <w:shd w:val="clear" w:color="000000" w:fill="FFFFFF"/>
            <w:noWrap/>
            <w:vAlign w:val="center"/>
            <w:hideMark/>
          </w:tcPr>
          <w:p w14:paraId="49851BF1" w14:textId="074E0925"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128DCC03" w14:textId="57C178D4"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64D8524C"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(0.012)**</w:t>
            </w:r>
          </w:p>
        </w:tc>
      </w:tr>
      <w:tr w:rsidR="002D2C02" w:rsidRPr="00166607" w14:paraId="3B451C17" w14:textId="77777777" w:rsidTr="004E36D2">
        <w:trPr>
          <w:trHeight w:val="280"/>
        </w:trPr>
        <w:tc>
          <w:tcPr>
            <w:tcW w:w="4425" w:type="dxa"/>
            <w:tcBorders>
              <w:top w:val="nil"/>
              <w:left w:val="nil"/>
              <w:bottom w:val="nil"/>
              <w:right w:val="nil"/>
            </w:tcBorders>
            <w:shd w:val="clear" w:color="000000" w:fill="FFFFFF"/>
            <w:noWrap/>
            <w:vAlign w:val="center"/>
            <w:hideMark/>
          </w:tcPr>
          <w:p w14:paraId="21B7BAC3"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Years of tertiary education</w:t>
            </w:r>
          </w:p>
        </w:tc>
        <w:tc>
          <w:tcPr>
            <w:tcW w:w="1220" w:type="dxa"/>
            <w:tcBorders>
              <w:top w:val="nil"/>
              <w:left w:val="nil"/>
              <w:bottom w:val="nil"/>
              <w:right w:val="nil"/>
            </w:tcBorders>
            <w:shd w:val="clear" w:color="000000" w:fill="FFFFFF"/>
            <w:noWrap/>
            <w:vAlign w:val="center"/>
            <w:hideMark/>
          </w:tcPr>
          <w:p w14:paraId="20849B04"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0.42</w:t>
            </w:r>
          </w:p>
        </w:tc>
        <w:tc>
          <w:tcPr>
            <w:tcW w:w="1400" w:type="dxa"/>
            <w:tcBorders>
              <w:top w:val="nil"/>
              <w:left w:val="nil"/>
              <w:bottom w:val="nil"/>
              <w:right w:val="nil"/>
            </w:tcBorders>
            <w:shd w:val="clear" w:color="000000" w:fill="FFFFFF"/>
            <w:noWrap/>
            <w:vAlign w:val="center"/>
            <w:hideMark/>
          </w:tcPr>
          <w:p w14:paraId="1A3BA992"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0.064</w:t>
            </w:r>
          </w:p>
        </w:tc>
        <w:tc>
          <w:tcPr>
            <w:tcW w:w="265" w:type="dxa"/>
            <w:tcBorders>
              <w:top w:val="nil"/>
              <w:left w:val="nil"/>
              <w:bottom w:val="nil"/>
              <w:right w:val="nil"/>
            </w:tcBorders>
            <w:shd w:val="clear" w:color="000000" w:fill="FFFFFF"/>
            <w:noWrap/>
            <w:vAlign w:val="center"/>
            <w:hideMark/>
          </w:tcPr>
          <w:p w14:paraId="7DE4F398"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5361F8D7"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0.428</w:t>
            </w:r>
          </w:p>
        </w:tc>
        <w:tc>
          <w:tcPr>
            <w:tcW w:w="1310" w:type="dxa"/>
            <w:tcBorders>
              <w:top w:val="nil"/>
              <w:left w:val="nil"/>
              <w:bottom w:val="nil"/>
              <w:right w:val="nil"/>
            </w:tcBorders>
            <w:shd w:val="clear" w:color="000000" w:fill="FFFFFF"/>
            <w:noWrap/>
            <w:vAlign w:val="center"/>
            <w:hideMark/>
          </w:tcPr>
          <w:p w14:paraId="70943C39"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-0.019</w:t>
            </w:r>
          </w:p>
        </w:tc>
        <w:tc>
          <w:tcPr>
            <w:tcW w:w="236" w:type="dxa"/>
            <w:tcBorders>
              <w:top w:val="nil"/>
              <w:left w:val="nil"/>
              <w:bottom w:val="nil"/>
              <w:right w:val="nil"/>
            </w:tcBorders>
            <w:shd w:val="clear" w:color="000000" w:fill="FFFFFF"/>
            <w:noWrap/>
            <w:vAlign w:val="center"/>
            <w:hideMark/>
          </w:tcPr>
          <w:p w14:paraId="01D75B09" w14:textId="3445332F"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3DCC135B"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0.423</w:t>
            </w:r>
          </w:p>
        </w:tc>
        <w:tc>
          <w:tcPr>
            <w:tcW w:w="1400" w:type="dxa"/>
            <w:tcBorders>
              <w:top w:val="nil"/>
              <w:left w:val="nil"/>
              <w:bottom w:val="nil"/>
              <w:right w:val="nil"/>
            </w:tcBorders>
            <w:shd w:val="clear" w:color="000000" w:fill="FFFFFF"/>
            <w:noWrap/>
            <w:vAlign w:val="center"/>
            <w:hideMark/>
          </w:tcPr>
          <w:p w14:paraId="590F4E8B"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0.191</w:t>
            </w:r>
          </w:p>
        </w:tc>
      </w:tr>
      <w:tr w:rsidR="002D2C02" w:rsidRPr="00166607" w14:paraId="46B4EB0F" w14:textId="77777777" w:rsidTr="004E36D2">
        <w:trPr>
          <w:trHeight w:val="280"/>
        </w:trPr>
        <w:tc>
          <w:tcPr>
            <w:tcW w:w="4425" w:type="dxa"/>
            <w:tcBorders>
              <w:top w:val="nil"/>
              <w:left w:val="nil"/>
              <w:bottom w:val="nil"/>
              <w:right w:val="nil"/>
            </w:tcBorders>
            <w:shd w:val="clear" w:color="000000" w:fill="FFFFFF"/>
            <w:noWrap/>
            <w:vAlign w:val="center"/>
            <w:hideMark/>
          </w:tcPr>
          <w:p w14:paraId="65535FEA"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4A9391BD"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(1.19)</w:t>
            </w:r>
          </w:p>
        </w:tc>
        <w:tc>
          <w:tcPr>
            <w:tcW w:w="1400" w:type="dxa"/>
            <w:tcBorders>
              <w:top w:val="nil"/>
              <w:left w:val="nil"/>
              <w:bottom w:val="nil"/>
              <w:right w:val="nil"/>
            </w:tcBorders>
            <w:shd w:val="clear" w:color="000000" w:fill="FFFFFF"/>
            <w:noWrap/>
            <w:vAlign w:val="center"/>
            <w:hideMark/>
          </w:tcPr>
          <w:p w14:paraId="1A4AD18F"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(0.04)</w:t>
            </w:r>
          </w:p>
        </w:tc>
        <w:tc>
          <w:tcPr>
            <w:tcW w:w="265" w:type="dxa"/>
            <w:tcBorders>
              <w:top w:val="nil"/>
              <w:left w:val="nil"/>
              <w:bottom w:val="nil"/>
              <w:right w:val="nil"/>
            </w:tcBorders>
            <w:shd w:val="clear" w:color="000000" w:fill="FFFFFF"/>
            <w:noWrap/>
            <w:vAlign w:val="center"/>
            <w:hideMark/>
          </w:tcPr>
          <w:p w14:paraId="435622E1"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5A84F9F6"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(1.202)</w:t>
            </w:r>
          </w:p>
        </w:tc>
        <w:tc>
          <w:tcPr>
            <w:tcW w:w="1310" w:type="dxa"/>
            <w:tcBorders>
              <w:top w:val="nil"/>
              <w:left w:val="nil"/>
              <w:bottom w:val="nil"/>
              <w:right w:val="nil"/>
            </w:tcBorders>
            <w:shd w:val="clear" w:color="000000" w:fill="FFFFFF"/>
            <w:noWrap/>
            <w:vAlign w:val="center"/>
            <w:hideMark/>
          </w:tcPr>
          <w:p w14:paraId="3A76459C"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(0.054)</w:t>
            </w:r>
          </w:p>
        </w:tc>
        <w:tc>
          <w:tcPr>
            <w:tcW w:w="236" w:type="dxa"/>
            <w:tcBorders>
              <w:top w:val="nil"/>
              <w:left w:val="nil"/>
              <w:bottom w:val="nil"/>
              <w:right w:val="nil"/>
            </w:tcBorders>
            <w:shd w:val="clear" w:color="000000" w:fill="FFFFFF"/>
            <w:noWrap/>
            <w:vAlign w:val="center"/>
            <w:hideMark/>
          </w:tcPr>
          <w:p w14:paraId="66593315" w14:textId="5DC96791"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07099C6D"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(1.2)</w:t>
            </w:r>
          </w:p>
        </w:tc>
        <w:tc>
          <w:tcPr>
            <w:tcW w:w="1400" w:type="dxa"/>
            <w:tcBorders>
              <w:top w:val="nil"/>
              <w:left w:val="nil"/>
              <w:bottom w:val="nil"/>
              <w:right w:val="nil"/>
            </w:tcBorders>
            <w:shd w:val="clear" w:color="000000" w:fill="FFFFFF"/>
            <w:noWrap/>
            <w:vAlign w:val="center"/>
            <w:hideMark/>
          </w:tcPr>
          <w:p w14:paraId="16C2B560"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(0.067)***</w:t>
            </w:r>
          </w:p>
        </w:tc>
      </w:tr>
      <w:tr w:rsidR="002D2C02" w:rsidRPr="00166607" w14:paraId="050B54BD" w14:textId="77777777" w:rsidTr="004E36D2">
        <w:trPr>
          <w:trHeight w:val="280"/>
        </w:trPr>
        <w:tc>
          <w:tcPr>
            <w:tcW w:w="4425" w:type="dxa"/>
            <w:tcBorders>
              <w:top w:val="nil"/>
              <w:left w:val="nil"/>
              <w:bottom w:val="nil"/>
              <w:right w:val="nil"/>
            </w:tcBorders>
            <w:shd w:val="clear" w:color="000000" w:fill="FFFFFF"/>
            <w:noWrap/>
            <w:vAlign w:val="center"/>
            <w:hideMark/>
          </w:tcPr>
          <w:p w14:paraId="25AA675B"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Ever received government financial aid</w:t>
            </w:r>
          </w:p>
        </w:tc>
        <w:tc>
          <w:tcPr>
            <w:tcW w:w="1220" w:type="dxa"/>
            <w:tcBorders>
              <w:top w:val="nil"/>
              <w:left w:val="nil"/>
              <w:bottom w:val="nil"/>
              <w:right w:val="nil"/>
            </w:tcBorders>
            <w:shd w:val="clear" w:color="000000" w:fill="FFFFFF"/>
            <w:noWrap/>
            <w:vAlign w:val="center"/>
            <w:hideMark/>
          </w:tcPr>
          <w:p w14:paraId="154BDDC9"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0.014</w:t>
            </w:r>
          </w:p>
        </w:tc>
        <w:tc>
          <w:tcPr>
            <w:tcW w:w="1400" w:type="dxa"/>
            <w:tcBorders>
              <w:top w:val="nil"/>
              <w:left w:val="nil"/>
              <w:bottom w:val="nil"/>
              <w:right w:val="nil"/>
            </w:tcBorders>
            <w:shd w:val="clear" w:color="000000" w:fill="FFFFFF"/>
            <w:noWrap/>
            <w:vAlign w:val="center"/>
            <w:hideMark/>
          </w:tcPr>
          <w:p w14:paraId="1A8825B0"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c>
          <w:tcPr>
            <w:tcW w:w="265" w:type="dxa"/>
            <w:tcBorders>
              <w:top w:val="nil"/>
              <w:left w:val="nil"/>
              <w:bottom w:val="nil"/>
              <w:right w:val="nil"/>
            </w:tcBorders>
            <w:shd w:val="clear" w:color="000000" w:fill="FFFFFF"/>
            <w:noWrap/>
            <w:vAlign w:val="center"/>
            <w:hideMark/>
          </w:tcPr>
          <w:p w14:paraId="741A9738"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3B2827B8"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0.015</w:t>
            </w:r>
          </w:p>
        </w:tc>
        <w:tc>
          <w:tcPr>
            <w:tcW w:w="1310" w:type="dxa"/>
            <w:tcBorders>
              <w:top w:val="nil"/>
              <w:left w:val="nil"/>
              <w:bottom w:val="nil"/>
              <w:right w:val="nil"/>
            </w:tcBorders>
            <w:shd w:val="clear" w:color="000000" w:fill="FFFFFF"/>
            <w:noWrap/>
            <w:vAlign w:val="center"/>
            <w:hideMark/>
          </w:tcPr>
          <w:p w14:paraId="0E8898BC"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w:t>
            </w:r>
          </w:p>
        </w:tc>
        <w:tc>
          <w:tcPr>
            <w:tcW w:w="236" w:type="dxa"/>
            <w:tcBorders>
              <w:top w:val="nil"/>
              <w:left w:val="nil"/>
              <w:bottom w:val="nil"/>
              <w:right w:val="nil"/>
            </w:tcBorders>
            <w:shd w:val="clear" w:color="000000" w:fill="FFFFFF"/>
            <w:noWrap/>
            <w:vAlign w:val="center"/>
            <w:hideMark/>
          </w:tcPr>
          <w:p w14:paraId="29582470" w14:textId="1297092F"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357AA2BF"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0.013</w:t>
            </w:r>
          </w:p>
        </w:tc>
        <w:tc>
          <w:tcPr>
            <w:tcW w:w="1400" w:type="dxa"/>
            <w:tcBorders>
              <w:top w:val="nil"/>
              <w:left w:val="nil"/>
              <w:bottom w:val="nil"/>
              <w:right w:val="nil"/>
            </w:tcBorders>
            <w:shd w:val="clear" w:color="000000" w:fill="FFFFFF"/>
            <w:noWrap/>
            <w:vAlign w:val="center"/>
            <w:hideMark/>
          </w:tcPr>
          <w:p w14:paraId="3CC24CDB"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0.013</w:t>
            </w:r>
          </w:p>
        </w:tc>
      </w:tr>
      <w:tr w:rsidR="002D2C02" w:rsidRPr="00166607" w14:paraId="335028A3" w14:textId="77777777" w:rsidTr="004E36D2">
        <w:trPr>
          <w:trHeight w:val="280"/>
        </w:trPr>
        <w:tc>
          <w:tcPr>
            <w:tcW w:w="4425" w:type="dxa"/>
            <w:tcBorders>
              <w:top w:val="nil"/>
              <w:left w:val="nil"/>
              <w:bottom w:val="nil"/>
              <w:right w:val="nil"/>
            </w:tcBorders>
            <w:shd w:val="clear" w:color="000000" w:fill="FFFFFF"/>
            <w:vAlign w:val="center"/>
            <w:hideMark/>
          </w:tcPr>
          <w:p w14:paraId="1EBE8EB5" w14:textId="77777777" w:rsidR="00402BF9" w:rsidRPr="00166607" w:rsidRDefault="00402BF9" w:rsidP="00402BF9">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20" w:type="dxa"/>
            <w:tcBorders>
              <w:top w:val="nil"/>
              <w:left w:val="nil"/>
              <w:bottom w:val="nil"/>
              <w:right w:val="nil"/>
            </w:tcBorders>
            <w:shd w:val="clear" w:color="000000" w:fill="FFFFFF"/>
            <w:noWrap/>
            <w:vAlign w:val="center"/>
            <w:hideMark/>
          </w:tcPr>
          <w:p w14:paraId="0F758A80"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2B4F14B0"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(0.004)</w:t>
            </w:r>
          </w:p>
        </w:tc>
        <w:tc>
          <w:tcPr>
            <w:tcW w:w="265" w:type="dxa"/>
            <w:tcBorders>
              <w:top w:val="nil"/>
              <w:left w:val="nil"/>
              <w:bottom w:val="nil"/>
              <w:right w:val="nil"/>
            </w:tcBorders>
            <w:shd w:val="clear" w:color="000000" w:fill="FFFFFF"/>
            <w:noWrap/>
            <w:vAlign w:val="center"/>
            <w:hideMark/>
          </w:tcPr>
          <w:p w14:paraId="13D962A8"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nil"/>
              <w:right w:val="nil"/>
            </w:tcBorders>
            <w:shd w:val="clear" w:color="000000" w:fill="FFFFFF"/>
            <w:noWrap/>
            <w:vAlign w:val="center"/>
            <w:hideMark/>
          </w:tcPr>
          <w:p w14:paraId="15AA7BC9" w14:textId="47480BF1" w:rsidR="00402BF9" w:rsidRPr="00166607" w:rsidRDefault="00402BF9" w:rsidP="00402BF9">
            <w:pPr>
              <w:jc w:val="center"/>
              <w:rPr>
                <w:rFonts w:ascii="Times New Roman" w:eastAsia="Times New Roman" w:hAnsi="Times New Roman"/>
                <w:color w:val="000000"/>
                <w:sz w:val="20"/>
                <w:szCs w:val="20"/>
              </w:rPr>
            </w:pPr>
          </w:p>
        </w:tc>
        <w:tc>
          <w:tcPr>
            <w:tcW w:w="1310" w:type="dxa"/>
            <w:tcBorders>
              <w:top w:val="nil"/>
              <w:left w:val="nil"/>
              <w:bottom w:val="nil"/>
              <w:right w:val="nil"/>
            </w:tcBorders>
            <w:shd w:val="clear" w:color="000000" w:fill="FFFFFF"/>
            <w:noWrap/>
            <w:vAlign w:val="center"/>
            <w:hideMark/>
          </w:tcPr>
          <w:p w14:paraId="485B7CB3"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(0.006)</w:t>
            </w:r>
          </w:p>
        </w:tc>
        <w:tc>
          <w:tcPr>
            <w:tcW w:w="236" w:type="dxa"/>
            <w:tcBorders>
              <w:top w:val="nil"/>
              <w:left w:val="nil"/>
              <w:bottom w:val="nil"/>
              <w:right w:val="nil"/>
            </w:tcBorders>
            <w:shd w:val="clear" w:color="000000" w:fill="FFFFFF"/>
            <w:noWrap/>
            <w:vAlign w:val="center"/>
            <w:hideMark/>
          </w:tcPr>
          <w:p w14:paraId="78CBBF15" w14:textId="31FEFB69"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nil"/>
              <w:right w:val="nil"/>
            </w:tcBorders>
            <w:shd w:val="clear" w:color="000000" w:fill="FFFFFF"/>
            <w:noWrap/>
            <w:vAlign w:val="center"/>
            <w:hideMark/>
          </w:tcPr>
          <w:p w14:paraId="3B6E8396" w14:textId="1DFFC356" w:rsidR="00402BF9" w:rsidRPr="00166607" w:rsidRDefault="00402BF9" w:rsidP="00920049">
            <w:pPr>
              <w:jc w:val="center"/>
              <w:rPr>
                <w:rFonts w:ascii="Times New Roman" w:eastAsia="Times New Roman" w:hAnsi="Times New Roman"/>
                <w:color w:val="000000"/>
                <w:sz w:val="20"/>
                <w:szCs w:val="20"/>
              </w:rPr>
            </w:pPr>
          </w:p>
        </w:tc>
        <w:tc>
          <w:tcPr>
            <w:tcW w:w="1400" w:type="dxa"/>
            <w:tcBorders>
              <w:top w:val="nil"/>
              <w:left w:val="nil"/>
              <w:bottom w:val="nil"/>
              <w:right w:val="nil"/>
            </w:tcBorders>
            <w:shd w:val="clear" w:color="000000" w:fill="FFFFFF"/>
            <w:noWrap/>
            <w:vAlign w:val="center"/>
            <w:hideMark/>
          </w:tcPr>
          <w:p w14:paraId="19BAEE2E"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(0.007)*</w:t>
            </w:r>
          </w:p>
        </w:tc>
      </w:tr>
      <w:tr w:rsidR="002D2C02" w:rsidRPr="00166607" w14:paraId="303E67B1" w14:textId="77777777" w:rsidTr="004E36D2">
        <w:trPr>
          <w:trHeight w:val="300"/>
        </w:trPr>
        <w:tc>
          <w:tcPr>
            <w:tcW w:w="4425" w:type="dxa"/>
            <w:tcBorders>
              <w:top w:val="nil"/>
              <w:left w:val="nil"/>
              <w:bottom w:val="double" w:sz="6" w:space="0" w:color="auto"/>
              <w:right w:val="nil"/>
            </w:tcBorders>
            <w:shd w:val="clear" w:color="000000" w:fill="FFFFFF"/>
            <w:vAlign w:val="center"/>
            <w:hideMark/>
          </w:tcPr>
          <w:p w14:paraId="2533CB76" w14:textId="77777777" w:rsidR="00402BF9" w:rsidRPr="00166607" w:rsidRDefault="00402BF9" w:rsidP="00402BF9">
            <w:pPr>
              <w:rPr>
                <w:rFonts w:ascii="Times New Roman" w:eastAsia="Times New Roman" w:hAnsi="Times New Roman"/>
                <w:i/>
                <w:iCs/>
                <w:color w:val="000000"/>
                <w:sz w:val="20"/>
                <w:szCs w:val="20"/>
              </w:rPr>
            </w:pPr>
            <w:r w:rsidRPr="00166607">
              <w:rPr>
                <w:rFonts w:ascii="Times New Roman" w:eastAsia="Times New Roman" w:hAnsi="Times New Roman"/>
                <w:i/>
                <w:iCs/>
                <w:color w:val="000000"/>
                <w:sz w:val="20"/>
                <w:szCs w:val="20"/>
              </w:rPr>
              <w:t>N</w:t>
            </w:r>
          </w:p>
        </w:tc>
        <w:tc>
          <w:tcPr>
            <w:tcW w:w="1220" w:type="dxa"/>
            <w:tcBorders>
              <w:top w:val="nil"/>
              <w:left w:val="nil"/>
              <w:bottom w:val="double" w:sz="6" w:space="0" w:color="auto"/>
              <w:right w:val="nil"/>
            </w:tcBorders>
            <w:shd w:val="clear" w:color="000000" w:fill="FFFFFF"/>
            <w:noWrap/>
            <w:vAlign w:val="center"/>
            <w:hideMark/>
          </w:tcPr>
          <w:p w14:paraId="4F1123F7"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1519</w:t>
            </w:r>
          </w:p>
        </w:tc>
        <w:tc>
          <w:tcPr>
            <w:tcW w:w="1400" w:type="dxa"/>
            <w:tcBorders>
              <w:top w:val="nil"/>
              <w:left w:val="nil"/>
              <w:bottom w:val="double" w:sz="6" w:space="0" w:color="auto"/>
              <w:right w:val="nil"/>
            </w:tcBorders>
            <w:shd w:val="clear" w:color="000000" w:fill="FFFFFF"/>
            <w:noWrap/>
            <w:vAlign w:val="center"/>
            <w:hideMark/>
          </w:tcPr>
          <w:p w14:paraId="5F9D9A1D"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3661</w:t>
            </w:r>
          </w:p>
        </w:tc>
        <w:tc>
          <w:tcPr>
            <w:tcW w:w="265" w:type="dxa"/>
            <w:tcBorders>
              <w:top w:val="nil"/>
              <w:left w:val="nil"/>
              <w:bottom w:val="double" w:sz="6" w:space="0" w:color="auto"/>
              <w:right w:val="nil"/>
            </w:tcBorders>
            <w:shd w:val="clear" w:color="000000" w:fill="FFFFFF"/>
            <w:noWrap/>
            <w:vAlign w:val="center"/>
            <w:hideMark/>
          </w:tcPr>
          <w:p w14:paraId="3C2E2D24"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205" w:type="dxa"/>
            <w:tcBorders>
              <w:top w:val="nil"/>
              <w:left w:val="nil"/>
              <w:bottom w:val="double" w:sz="6" w:space="0" w:color="auto"/>
              <w:right w:val="nil"/>
            </w:tcBorders>
            <w:shd w:val="clear" w:color="000000" w:fill="FFFFFF"/>
            <w:noWrap/>
            <w:vAlign w:val="center"/>
            <w:hideMark/>
          </w:tcPr>
          <w:p w14:paraId="5286996A" w14:textId="77777777" w:rsidR="00402BF9" w:rsidRPr="00166607" w:rsidRDefault="00402BF9" w:rsidP="00402BF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803</w:t>
            </w:r>
          </w:p>
        </w:tc>
        <w:tc>
          <w:tcPr>
            <w:tcW w:w="1310" w:type="dxa"/>
            <w:tcBorders>
              <w:top w:val="nil"/>
              <w:left w:val="nil"/>
              <w:bottom w:val="double" w:sz="6" w:space="0" w:color="auto"/>
              <w:right w:val="nil"/>
            </w:tcBorders>
            <w:shd w:val="clear" w:color="000000" w:fill="FFFFFF"/>
            <w:noWrap/>
            <w:vAlign w:val="center"/>
            <w:hideMark/>
          </w:tcPr>
          <w:p w14:paraId="10B86176"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1901</w:t>
            </w:r>
          </w:p>
        </w:tc>
        <w:tc>
          <w:tcPr>
            <w:tcW w:w="236" w:type="dxa"/>
            <w:tcBorders>
              <w:top w:val="nil"/>
              <w:left w:val="nil"/>
              <w:bottom w:val="double" w:sz="6" w:space="0" w:color="auto"/>
              <w:right w:val="nil"/>
            </w:tcBorders>
            <w:shd w:val="clear" w:color="000000" w:fill="FFFFFF"/>
            <w:noWrap/>
            <w:vAlign w:val="center"/>
            <w:hideMark/>
          </w:tcPr>
          <w:p w14:paraId="0C7F9934" w14:textId="77F58C10" w:rsidR="00402BF9" w:rsidRPr="00166607" w:rsidRDefault="00402BF9" w:rsidP="00920049">
            <w:pPr>
              <w:jc w:val="center"/>
              <w:rPr>
                <w:rFonts w:ascii="Times New Roman" w:eastAsia="Times New Roman" w:hAnsi="Times New Roman"/>
                <w:color w:val="000000"/>
                <w:sz w:val="20"/>
                <w:szCs w:val="20"/>
              </w:rPr>
            </w:pPr>
          </w:p>
        </w:tc>
        <w:tc>
          <w:tcPr>
            <w:tcW w:w="1160" w:type="dxa"/>
            <w:tcBorders>
              <w:top w:val="nil"/>
              <w:left w:val="nil"/>
              <w:bottom w:val="double" w:sz="6" w:space="0" w:color="auto"/>
              <w:right w:val="nil"/>
            </w:tcBorders>
            <w:shd w:val="clear" w:color="000000" w:fill="FFFFFF"/>
            <w:noWrap/>
            <w:vAlign w:val="center"/>
            <w:hideMark/>
          </w:tcPr>
          <w:p w14:paraId="16250F40"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613</w:t>
            </w:r>
          </w:p>
        </w:tc>
        <w:tc>
          <w:tcPr>
            <w:tcW w:w="1400" w:type="dxa"/>
            <w:tcBorders>
              <w:top w:val="nil"/>
              <w:left w:val="nil"/>
              <w:bottom w:val="double" w:sz="6" w:space="0" w:color="auto"/>
              <w:right w:val="nil"/>
            </w:tcBorders>
            <w:shd w:val="clear" w:color="000000" w:fill="FFFFFF"/>
            <w:noWrap/>
            <w:vAlign w:val="center"/>
            <w:hideMark/>
          </w:tcPr>
          <w:p w14:paraId="26C6B5EF" w14:textId="77777777" w:rsidR="00402BF9" w:rsidRPr="00166607" w:rsidRDefault="00402BF9" w:rsidP="00920049">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1512</w:t>
            </w:r>
          </w:p>
        </w:tc>
      </w:tr>
    </w:tbl>
    <w:p w14:paraId="1A4C283D" w14:textId="578CA9B5" w:rsidR="00E40EFB" w:rsidRPr="00166607" w:rsidRDefault="002C76E0" w:rsidP="004E36D2">
      <w:pPr>
        <w:pStyle w:val="ListParagraph"/>
        <w:ind w:left="0"/>
        <w:rPr>
          <w:rFonts w:ascii="Times New Roman" w:hAnsi="Times New Roman"/>
          <w:sz w:val="20"/>
          <w:szCs w:val="20"/>
        </w:rPr>
      </w:pPr>
      <w:r w:rsidRPr="00166607">
        <w:rPr>
          <w:rFonts w:ascii="Times New Roman" w:hAnsi="Times New Roman"/>
          <w:i/>
          <w:sz w:val="20"/>
          <w:szCs w:val="20"/>
        </w:rPr>
        <w:t xml:space="preserve">Notes: </w:t>
      </w:r>
      <w:r w:rsidRPr="00166607">
        <w:rPr>
          <w:rFonts w:ascii="Times New Roman" w:hAnsi="Times New Roman"/>
          <w:sz w:val="20"/>
          <w:szCs w:val="20"/>
        </w:rPr>
        <w:t xml:space="preserve">Table reports </w:t>
      </w:r>
      <w:r w:rsidR="00A40FB1" w:rsidRPr="00166607">
        <w:rPr>
          <w:rFonts w:ascii="Times New Roman" w:hAnsi="Times New Roman"/>
          <w:sz w:val="20"/>
          <w:szCs w:val="20"/>
        </w:rPr>
        <w:t>scholarship lottery loser</w:t>
      </w:r>
      <w:r w:rsidRPr="00166607">
        <w:rPr>
          <w:rFonts w:ascii="Times New Roman" w:hAnsi="Times New Roman"/>
          <w:sz w:val="20"/>
          <w:szCs w:val="20"/>
        </w:rPr>
        <w:t>’s means and estimated effects of winning a scholarship</w:t>
      </w:r>
      <w:r w:rsidR="00346CBE" w:rsidRPr="00166607">
        <w:rPr>
          <w:rFonts w:ascii="Times New Roman" w:hAnsi="Times New Roman"/>
          <w:sz w:val="20"/>
          <w:szCs w:val="20"/>
        </w:rPr>
        <w:t xml:space="preserve"> with </w:t>
      </w:r>
      <w:r w:rsidR="00A23E3A" w:rsidRPr="00166607">
        <w:rPr>
          <w:rFonts w:ascii="Times New Roman" w:hAnsi="Times New Roman"/>
          <w:sz w:val="20"/>
          <w:szCs w:val="20"/>
        </w:rPr>
        <w:t>application c</w:t>
      </w:r>
      <w:r w:rsidR="00346CBE" w:rsidRPr="00166607">
        <w:rPr>
          <w:rFonts w:ascii="Times New Roman" w:hAnsi="Times New Roman"/>
          <w:sz w:val="20"/>
          <w:szCs w:val="20"/>
        </w:rPr>
        <w:t>ontrols</w:t>
      </w:r>
      <w:r w:rsidRPr="00166607">
        <w:rPr>
          <w:rFonts w:ascii="Times New Roman" w:hAnsi="Times New Roman"/>
          <w:sz w:val="20"/>
          <w:szCs w:val="20"/>
        </w:rPr>
        <w:t>.</w:t>
      </w:r>
      <w:r w:rsidR="00346CBE" w:rsidRPr="00166607">
        <w:rPr>
          <w:rFonts w:ascii="Times New Roman" w:hAnsi="Times New Roman"/>
          <w:sz w:val="20"/>
          <w:szCs w:val="20"/>
        </w:rPr>
        <w:t xml:space="preserve"> Controls include age, male and whether the applicant had a phone number at the time of scholarship application. </w:t>
      </w:r>
      <w:r w:rsidR="00AB1F99" w:rsidRPr="00166607">
        <w:rPr>
          <w:rFonts w:ascii="Times New Roman" w:hAnsi="Times New Roman"/>
          <w:sz w:val="20"/>
          <w:szCs w:val="20"/>
        </w:rPr>
        <w:t>Estimates in columns 2,</w:t>
      </w:r>
      <w:r w:rsidR="00A23E3A" w:rsidRPr="00166607">
        <w:rPr>
          <w:rFonts w:ascii="Times New Roman" w:hAnsi="Times New Roman"/>
          <w:sz w:val="20"/>
          <w:szCs w:val="20"/>
        </w:rPr>
        <w:t>4 and 6</w:t>
      </w:r>
      <w:r w:rsidR="00AB1F99" w:rsidRPr="00166607">
        <w:rPr>
          <w:rFonts w:ascii="Times New Roman" w:hAnsi="Times New Roman"/>
          <w:sz w:val="20"/>
          <w:szCs w:val="20"/>
        </w:rPr>
        <w:t xml:space="preserve"> are from linear probability models.</w:t>
      </w:r>
      <w:r w:rsidRPr="00166607">
        <w:rPr>
          <w:rFonts w:ascii="Times New Roman" w:hAnsi="Times New Roman"/>
          <w:sz w:val="20"/>
          <w:szCs w:val="20"/>
        </w:rPr>
        <w:t xml:space="preserve"> Numbers in parentheses are </w:t>
      </w:r>
      <w:r w:rsidR="00320F23" w:rsidRPr="00166607">
        <w:rPr>
          <w:rFonts w:ascii="Times New Roman" w:hAnsi="Times New Roman"/>
          <w:sz w:val="20"/>
          <w:szCs w:val="20"/>
        </w:rPr>
        <w:t xml:space="preserve">robust </w:t>
      </w:r>
      <w:r w:rsidRPr="00166607">
        <w:rPr>
          <w:rFonts w:ascii="Times New Roman" w:hAnsi="Times New Roman"/>
          <w:sz w:val="20"/>
          <w:szCs w:val="20"/>
        </w:rPr>
        <w:t xml:space="preserve">standard errors in columns of estimated scholarship effects. </w:t>
      </w:r>
      <w:r w:rsidR="003532A3" w:rsidRPr="00166607">
        <w:rPr>
          <w:rFonts w:ascii="Times New Roman" w:hAnsi="Times New Roman"/>
          <w:sz w:val="20"/>
          <w:szCs w:val="20"/>
        </w:rPr>
        <w:t xml:space="preserve">Graduated on schedule </w:t>
      </w:r>
      <w:r w:rsidR="00FF10F9" w:rsidRPr="00166607">
        <w:rPr>
          <w:rFonts w:ascii="Times New Roman" w:hAnsi="Times New Roman"/>
          <w:sz w:val="20"/>
          <w:szCs w:val="20"/>
        </w:rPr>
        <w:t>is if the applicant took the college entry test in 2001 or before; graduated with up to a two-, four- or six-year delay is if the applicant took the college entry test on or before 20</w:t>
      </w:r>
      <w:r w:rsidR="00320F23" w:rsidRPr="00166607">
        <w:rPr>
          <w:rFonts w:ascii="Times New Roman" w:hAnsi="Times New Roman"/>
          <w:sz w:val="20"/>
          <w:szCs w:val="20"/>
        </w:rPr>
        <w:t>03, 2005 and 2007, respectively</w:t>
      </w:r>
      <w:r w:rsidR="00AA640D" w:rsidRPr="00166607">
        <w:rPr>
          <w:rFonts w:ascii="Times New Roman" w:hAnsi="Times New Roman"/>
          <w:sz w:val="20"/>
          <w:szCs w:val="20"/>
        </w:rPr>
        <w:t>.</w:t>
      </w:r>
      <w:r w:rsidR="00FF10F9" w:rsidRPr="00166607">
        <w:rPr>
          <w:rFonts w:ascii="Times New Roman" w:hAnsi="Times New Roman"/>
          <w:sz w:val="20"/>
          <w:szCs w:val="20"/>
        </w:rPr>
        <w:t xml:space="preserve"> </w:t>
      </w:r>
      <w:r w:rsidR="00244B87" w:rsidRPr="00166607">
        <w:rPr>
          <w:rFonts w:ascii="Times New Roman" w:hAnsi="Times New Roman"/>
          <w:sz w:val="20"/>
          <w:szCs w:val="20"/>
        </w:rPr>
        <w:t>* significant 10%, ** significant 5%, *** significant 1%</w:t>
      </w:r>
      <w:r w:rsidR="00D41012" w:rsidRPr="00166607">
        <w:rPr>
          <w:rFonts w:ascii="Times New Roman" w:hAnsi="Times New Roman"/>
          <w:sz w:val="20"/>
          <w:szCs w:val="20"/>
        </w:rPr>
        <w:t>.</w:t>
      </w:r>
    </w:p>
    <w:p w14:paraId="2E56E293" w14:textId="77777777" w:rsidR="004E36D2" w:rsidRPr="00166607" w:rsidRDefault="004E36D2" w:rsidP="004E36D2">
      <w:pPr>
        <w:pStyle w:val="ListParagraph"/>
        <w:ind w:left="0"/>
        <w:rPr>
          <w:rFonts w:ascii="Times New Roman" w:hAnsi="Times New Roman"/>
          <w:sz w:val="20"/>
          <w:szCs w:val="20"/>
        </w:rPr>
      </w:pPr>
    </w:p>
    <w:p w14:paraId="563EF6AB" w14:textId="77777777" w:rsidR="004E36D2" w:rsidRPr="00166607" w:rsidRDefault="004E36D2" w:rsidP="004E36D2">
      <w:pPr>
        <w:pStyle w:val="ListParagraph"/>
        <w:ind w:left="0"/>
        <w:rPr>
          <w:rFonts w:ascii="Times New Roman" w:hAnsi="Times New Roman"/>
          <w:sz w:val="20"/>
          <w:szCs w:val="20"/>
        </w:rPr>
      </w:pPr>
    </w:p>
    <w:p w14:paraId="4889F315" w14:textId="77777777" w:rsidR="004E36D2" w:rsidRPr="00166607" w:rsidRDefault="004E36D2" w:rsidP="004E36D2">
      <w:pPr>
        <w:pStyle w:val="ListParagraph"/>
        <w:ind w:left="0"/>
        <w:rPr>
          <w:rFonts w:ascii="Times New Roman" w:hAnsi="Times New Roman"/>
          <w:sz w:val="20"/>
          <w:szCs w:val="20"/>
        </w:rPr>
      </w:pPr>
    </w:p>
    <w:p w14:paraId="6F3F5B38" w14:textId="77777777" w:rsidR="004E36D2" w:rsidRPr="00166607" w:rsidRDefault="004E36D2" w:rsidP="004E36D2">
      <w:pPr>
        <w:pStyle w:val="ListParagraph"/>
        <w:ind w:left="0"/>
        <w:rPr>
          <w:rFonts w:ascii="Times New Roman" w:hAnsi="Times New Roman"/>
          <w:sz w:val="20"/>
          <w:szCs w:val="20"/>
        </w:rPr>
      </w:pPr>
    </w:p>
    <w:p w14:paraId="6C9B7771" w14:textId="77777777" w:rsidR="004E36D2" w:rsidRPr="00166607" w:rsidRDefault="004E36D2" w:rsidP="004E36D2">
      <w:pPr>
        <w:pStyle w:val="ListParagraph"/>
        <w:ind w:left="0"/>
        <w:rPr>
          <w:rFonts w:ascii="Times New Roman" w:hAnsi="Times New Roman"/>
          <w:sz w:val="20"/>
          <w:szCs w:val="20"/>
        </w:rPr>
      </w:pPr>
    </w:p>
    <w:p w14:paraId="23420CE2" w14:textId="77777777" w:rsidR="004E36D2" w:rsidRPr="00166607" w:rsidRDefault="004E36D2" w:rsidP="004E36D2">
      <w:pPr>
        <w:pStyle w:val="ListParagraph"/>
        <w:ind w:left="0"/>
        <w:rPr>
          <w:rFonts w:ascii="Times New Roman" w:hAnsi="Times New Roman"/>
          <w:sz w:val="20"/>
          <w:szCs w:val="20"/>
        </w:rPr>
      </w:pPr>
    </w:p>
    <w:p w14:paraId="37F5040E" w14:textId="77777777" w:rsidR="004E36D2" w:rsidRPr="00166607" w:rsidRDefault="004E36D2" w:rsidP="004E36D2">
      <w:pPr>
        <w:pStyle w:val="ListParagraph"/>
        <w:ind w:left="0"/>
        <w:rPr>
          <w:rFonts w:ascii="Times New Roman" w:hAnsi="Times New Roman"/>
          <w:sz w:val="20"/>
          <w:szCs w:val="20"/>
        </w:rPr>
      </w:pPr>
    </w:p>
    <w:p w14:paraId="4DA971A4" w14:textId="77777777" w:rsidR="004E36D2" w:rsidRPr="00166607" w:rsidRDefault="004E36D2" w:rsidP="004E36D2">
      <w:pPr>
        <w:pStyle w:val="ListParagraph"/>
        <w:ind w:left="0"/>
        <w:rPr>
          <w:rFonts w:ascii="Times New Roman" w:hAnsi="Times New Roman"/>
          <w:sz w:val="20"/>
          <w:szCs w:val="20"/>
        </w:rPr>
      </w:pPr>
    </w:p>
    <w:p w14:paraId="78797146" w14:textId="77777777" w:rsidR="004E36D2" w:rsidRPr="00166607" w:rsidRDefault="004E36D2" w:rsidP="004E36D2">
      <w:pPr>
        <w:pStyle w:val="ListParagraph"/>
        <w:ind w:left="0"/>
        <w:rPr>
          <w:rFonts w:ascii="Times New Roman" w:hAnsi="Times New Roman"/>
          <w:sz w:val="20"/>
          <w:szCs w:val="20"/>
        </w:rPr>
      </w:pPr>
    </w:p>
    <w:p w14:paraId="65FB7C52" w14:textId="77777777" w:rsidR="004E36D2" w:rsidRPr="00166607" w:rsidRDefault="004E36D2" w:rsidP="004E36D2">
      <w:pPr>
        <w:pStyle w:val="ListParagraph"/>
        <w:ind w:left="0"/>
        <w:rPr>
          <w:rFonts w:ascii="Times New Roman" w:hAnsi="Times New Roman"/>
          <w:sz w:val="20"/>
          <w:szCs w:val="20"/>
        </w:rPr>
      </w:pPr>
    </w:p>
    <w:p w14:paraId="7BDD3339" w14:textId="77777777" w:rsidR="004E36D2" w:rsidRPr="00166607" w:rsidRDefault="004E36D2" w:rsidP="004E36D2">
      <w:pPr>
        <w:pStyle w:val="ListParagraph"/>
        <w:ind w:left="0"/>
        <w:rPr>
          <w:rFonts w:ascii="Times New Roman" w:hAnsi="Times New Roman"/>
          <w:sz w:val="20"/>
          <w:szCs w:val="20"/>
        </w:rPr>
      </w:pPr>
    </w:p>
    <w:p w14:paraId="7002FEF3" w14:textId="77777777" w:rsidR="004E36D2" w:rsidRPr="00166607" w:rsidRDefault="004E36D2" w:rsidP="004E36D2">
      <w:pPr>
        <w:pStyle w:val="ListParagraph"/>
        <w:ind w:left="0"/>
        <w:rPr>
          <w:rFonts w:ascii="Times New Roman" w:hAnsi="Times New Roman"/>
          <w:sz w:val="20"/>
          <w:szCs w:val="20"/>
        </w:rPr>
      </w:pPr>
    </w:p>
    <w:p w14:paraId="3DFBAA30" w14:textId="77777777" w:rsidR="004E36D2" w:rsidRPr="00166607" w:rsidRDefault="004E36D2" w:rsidP="004E36D2">
      <w:pPr>
        <w:pStyle w:val="ListParagraph"/>
        <w:ind w:left="0"/>
        <w:rPr>
          <w:rFonts w:ascii="Times New Roman" w:hAnsi="Times New Roman"/>
          <w:sz w:val="20"/>
          <w:szCs w:val="20"/>
        </w:rPr>
      </w:pPr>
    </w:p>
    <w:p w14:paraId="7ABCBB4A" w14:textId="77777777" w:rsidR="004E36D2" w:rsidRPr="00166607" w:rsidRDefault="004E36D2" w:rsidP="004E36D2">
      <w:pPr>
        <w:pStyle w:val="ListParagraph"/>
        <w:ind w:left="0"/>
        <w:rPr>
          <w:rFonts w:ascii="Times New Roman" w:hAnsi="Times New Roman"/>
          <w:sz w:val="20"/>
          <w:szCs w:val="20"/>
        </w:rPr>
      </w:pPr>
    </w:p>
    <w:p w14:paraId="356A0D81" w14:textId="77777777" w:rsidR="004E36D2" w:rsidRPr="00166607" w:rsidRDefault="004E36D2" w:rsidP="004E36D2">
      <w:pPr>
        <w:pStyle w:val="ListParagraph"/>
        <w:ind w:left="0"/>
        <w:rPr>
          <w:rFonts w:ascii="Times New Roman" w:hAnsi="Times New Roman"/>
          <w:sz w:val="20"/>
          <w:szCs w:val="20"/>
        </w:rPr>
      </w:pPr>
    </w:p>
    <w:p w14:paraId="4094DF03" w14:textId="77777777" w:rsidR="004E36D2" w:rsidRPr="00166607" w:rsidRDefault="004E36D2" w:rsidP="004E36D2">
      <w:pPr>
        <w:pStyle w:val="ListParagraph"/>
        <w:ind w:left="0"/>
        <w:rPr>
          <w:rFonts w:ascii="Times New Roman" w:hAnsi="Times New Roman"/>
          <w:sz w:val="20"/>
          <w:szCs w:val="20"/>
        </w:rPr>
      </w:pPr>
    </w:p>
    <w:p w14:paraId="2A3C4511" w14:textId="77777777" w:rsidR="004E36D2" w:rsidRPr="00166607" w:rsidRDefault="004E36D2" w:rsidP="004E36D2">
      <w:pPr>
        <w:pStyle w:val="ListParagraph"/>
        <w:ind w:left="0"/>
        <w:rPr>
          <w:rFonts w:ascii="Times New Roman" w:hAnsi="Times New Roman"/>
          <w:sz w:val="20"/>
          <w:szCs w:val="20"/>
        </w:rPr>
      </w:pPr>
    </w:p>
    <w:p w14:paraId="653261E2" w14:textId="77777777" w:rsidR="004E36D2" w:rsidRPr="00166607" w:rsidRDefault="004E36D2" w:rsidP="004E36D2">
      <w:pPr>
        <w:pStyle w:val="ListParagraph"/>
        <w:ind w:left="0"/>
        <w:rPr>
          <w:rFonts w:ascii="Times New Roman" w:hAnsi="Times New Roman"/>
          <w:sz w:val="20"/>
          <w:szCs w:val="20"/>
        </w:rPr>
      </w:pPr>
    </w:p>
    <w:p w14:paraId="58E20A98" w14:textId="77777777" w:rsidR="004E36D2" w:rsidRPr="00166607" w:rsidRDefault="004E36D2" w:rsidP="004E36D2">
      <w:pPr>
        <w:pStyle w:val="ListParagraph"/>
        <w:ind w:left="0"/>
        <w:rPr>
          <w:rFonts w:ascii="Times New Roman" w:hAnsi="Times New Roman"/>
          <w:sz w:val="20"/>
          <w:szCs w:val="20"/>
        </w:rPr>
      </w:pPr>
    </w:p>
    <w:p w14:paraId="72BD4DD8" w14:textId="77777777" w:rsidR="004E36D2" w:rsidRPr="00166607" w:rsidRDefault="004E36D2" w:rsidP="004E36D2">
      <w:pPr>
        <w:pStyle w:val="ListParagraph"/>
        <w:ind w:left="0"/>
        <w:rPr>
          <w:rFonts w:ascii="Times New Roman" w:hAnsi="Times New Roman"/>
          <w:sz w:val="20"/>
          <w:szCs w:val="20"/>
        </w:rPr>
      </w:pPr>
    </w:p>
    <w:p w14:paraId="6360557F" w14:textId="77777777" w:rsidR="004E36D2" w:rsidRPr="00166607" w:rsidRDefault="004E36D2" w:rsidP="004E36D2">
      <w:pPr>
        <w:pStyle w:val="ListParagraph"/>
        <w:ind w:left="0"/>
        <w:rPr>
          <w:rFonts w:ascii="Times New Roman" w:hAnsi="Times New Roman"/>
          <w:sz w:val="20"/>
          <w:szCs w:val="20"/>
        </w:rPr>
      </w:pPr>
    </w:p>
    <w:p w14:paraId="01BCD710" w14:textId="4963DB3B" w:rsidR="004E36D2" w:rsidRPr="00166607" w:rsidRDefault="00E55872" w:rsidP="004E36D2">
      <w:pPr>
        <w:pStyle w:val="ListParagraph"/>
        <w:ind w:left="0"/>
        <w:rPr>
          <w:rFonts w:ascii="Times New Roman" w:hAnsi="Times New Roman"/>
        </w:rPr>
      </w:pPr>
      <w:r w:rsidRPr="00166607">
        <w:rPr>
          <w:rFonts w:ascii="Times New Roman" w:hAnsi="Times New Roman"/>
        </w:rPr>
        <w:lastRenderedPageBreak/>
        <w:t>Table 3. Match rates to SISPRO formal earnings data</w:t>
      </w:r>
    </w:p>
    <w:p w14:paraId="4990113E" w14:textId="77777777" w:rsidR="00E55872" w:rsidRPr="00166607" w:rsidRDefault="00E55872" w:rsidP="004E36D2">
      <w:pPr>
        <w:pStyle w:val="ListParagraph"/>
        <w:ind w:left="0"/>
        <w:rPr>
          <w:rFonts w:ascii="Times New Roman" w:hAnsi="Times New Roman"/>
        </w:rPr>
      </w:pPr>
    </w:p>
    <w:tbl>
      <w:tblPr>
        <w:tblW w:w="11520" w:type="dxa"/>
        <w:tblCellMar>
          <w:left w:w="0" w:type="dxa"/>
          <w:right w:w="0" w:type="dxa"/>
        </w:tblCellMar>
        <w:tblLook w:val="04A0" w:firstRow="1" w:lastRow="0" w:firstColumn="1" w:lastColumn="0" w:noHBand="0" w:noVBand="1"/>
      </w:tblPr>
      <w:tblGrid>
        <w:gridCol w:w="3720"/>
        <w:gridCol w:w="1300"/>
        <w:gridCol w:w="1300"/>
        <w:gridCol w:w="1300"/>
        <w:gridCol w:w="1300"/>
        <w:gridCol w:w="1300"/>
        <w:gridCol w:w="1300"/>
      </w:tblGrid>
      <w:tr w:rsidR="00A04BF8" w:rsidRPr="00166607" w14:paraId="6213D4CA" w14:textId="77777777" w:rsidTr="00A04BF8">
        <w:trPr>
          <w:trHeight w:val="160"/>
        </w:trPr>
        <w:tc>
          <w:tcPr>
            <w:tcW w:w="3720" w:type="dxa"/>
            <w:tcBorders>
              <w:top w:val="nil"/>
              <w:left w:val="nil"/>
              <w:bottom w:val="nil"/>
              <w:right w:val="nil"/>
            </w:tcBorders>
            <w:shd w:val="clear" w:color="auto" w:fill="auto"/>
            <w:noWrap/>
            <w:tcMar>
              <w:top w:w="15" w:type="dxa"/>
              <w:left w:w="15" w:type="dxa"/>
              <w:bottom w:w="0" w:type="dxa"/>
              <w:right w:w="15" w:type="dxa"/>
            </w:tcMar>
            <w:vAlign w:val="bottom"/>
            <w:hideMark/>
          </w:tcPr>
          <w:p w14:paraId="583A8EA6" w14:textId="77777777" w:rsidR="00A04BF8" w:rsidRPr="00166607" w:rsidRDefault="00A04BF8">
            <w:pPr>
              <w:rPr>
                <w:rFonts w:ascii="Times New Roman" w:eastAsia="Times New Roman" w:hAnsi="Times New Roman"/>
                <w:color w:val="000000"/>
                <w:sz w:val="22"/>
                <w:szCs w:val="22"/>
              </w:rPr>
            </w:pPr>
          </w:p>
        </w:tc>
        <w:tc>
          <w:tcPr>
            <w:tcW w:w="1300" w:type="dxa"/>
            <w:tcBorders>
              <w:top w:val="nil"/>
              <w:left w:val="nil"/>
              <w:bottom w:val="nil"/>
              <w:right w:val="nil"/>
            </w:tcBorders>
            <w:shd w:val="clear" w:color="auto" w:fill="auto"/>
            <w:noWrap/>
            <w:tcMar>
              <w:top w:w="15" w:type="dxa"/>
              <w:left w:w="15" w:type="dxa"/>
              <w:bottom w:w="0" w:type="dxa"/>
              <w:right w:w="15" w:type="dxa"/>
            </w:tcMar>
            <w:vAlign w:val="bottom"/>
            <w:hideMark/>
          </w:tcPr>
          <w:p w14:paraId="597F6400" w14:textId="77777777" w:rsidR="00A04BF8" w:rsidRPr="00166607" w:rsidRDefault="00A04BF8">
            <w:pPr>
              <w:rPr>
                <w:rFonts w:ascii="Calibri" w:eastAsia="Times New Roman" w:hAnsi="Calibri"/>
                <w:color w:val="000000"/>
                <w:sz w:val="22"/>
                <w:szCs w:val="22"/>
              </w:rPr>
            </w:pPr>
          </w:p>
        </w:tc>
        <w:tc>
          <w:tcPr>
            <w:tcW w:w="1300" w:type="dxa"/>
            <w:tcBorders>
              <w:top w:val="nil"/>
              <w:left w:val="nil"/>
              <w:bottom w:val="nil"/>
              <w:right w:val="nil"/>
            </w:tcBorders>
            <w:shd w:val="clear" w:color="auto" w:fill="auto"/>
            <w:noWrap/>
            <w:tcMar>
              <w:top w:w="15" w:type="dxa"/>
              <w:left w:w="15" w:type="dxa"/>
              <w:bottom w:w="0" w:type="dxa"/>
              <w:right w:w="15" w:type="dxa"/>
            </w:tcMar>
            <w:vAlign w:val="bottom"/>
            <w:hideMark/>
          </w:tcPr>
          <w:p w14:paraId="072C2AD8" w14:textId="77777777" w:rsidR="00A04BF8" w:rsidRPr="00166607" w:rsidRDefault="00A04BF8">
            <w:pPr>
              <w:rPr>
                <w:rFonts w:ascii="Calibri" w:eastAsia="Times New Roman" w:hAnsi="Calibri"/>
                <w:color w:val="000000"/>
                <w:sz w:val="22"/>
                <w:szCs w:val="22"/>
              </w:rPr>
            </w:pPr>
          </w:p>
        </w:tc>
        <w:tc>
          <w:tcPr>
            <w:tcW w:w="1300" w:type="dxa"/>
            <w:tcBorders>
              <w:top w:val="nil"/>
              <w:left w:val="nil"/>
              <w:bottom w:val="nil"/>
              <w:right w:val="nil"/>
            </w:tcBorders>
            <w:shd w:val="clear" w:color="auto" w:fill="auto"/>
            <w:noWrap/>
            <w:tcMar>
              <w:top w:w="15" w:type="dxa"/>
              <w:left w:w="15" w:type="dxa"/>
              <w:bottom w:w="0" w:type="dxa"/>
              <w:right w:w="15" w:type="dxa"/>
            </w:tcMar>
            <w:vAlign w:val="bottom"/>
            <w:hideMark/>
          </w:tcPr>
          <w:p w14:paraId="447467F3" w14:textId="77777777" w:rsidR="00A04BF8" w:rsidRPr="00166607" w:rsidRDefault="00A04BF8">
            <w:pPr>
              <w:rPr>
                <w:rFonts w:ascii="Calibri" w:eastAsia="Times New Roman" w:hAnsi="Calibri"/>
                <w:color w:val="000000"/>
                <w:sz w:val="22"/>
                <w:szCs w:val="22"/>
              </w:rPr>
            </w:pPr>
          </w:p>
        </w:tc>
        <w:tc>
          <w:tcPr>
            <w:tcW w:w="1300" w:type="dxa"/>
            <w:tcBorders>
              <w:top w:val="nil"/>
              <w:left w:val="nil"/>
              <w:bottom w:val="nil"/>
              <w:right w:val="nil"/>
            </w:tcBorders>
            <w:shd w:val="clear" w:color="auto" w:fill="auto"/>
            <w:noWrap/>
            <w:tcMar>
              <w:top w:w="15" w:type="dxa"/>
              <w:left w:w="15" w:type="dxa"/>
              <w:bottom w:w="0" w:type="dxa"/>
              <w:right w:w="15" w:type="dxa"/>
            </w:tcMar>
            <w:vAlign w:val="bottom"/>
            <w:hideMark/>
          </w:tcPr>
          <w:p w14:paraId="40C4BA0E" w14:textId="77777777" w:rsidR="00A04BF8" w:rsidRPr="00166607" w:rsidRDefault="00A04BF8">
            <w:pPr>
              <w:rPr>
                <w:rFonts w:ascii="Calibri" w:eastAsia="Times New Roman" w:hAnsi="Calibri"/>
                <w:color w:val="000000"/>
                <w:sz w:val="22"/>
                <w:szCs w:val="22"/>
              </w:rPr>
            </w:pPr>
          </w:p>
        </w:tc>
        <w:tc>
          <w:tcPr>
            <w:tcW w:w="1300" w:type="dxa"/>
            <w:tcBorders>
              <w:top w:val="nil"/>
              <w:left w:val="nil"/>
              <w:bottom w:val="nil"/>
              <w:right w:val="nil"/>
            </w:tcBorders>
            <w:shd w:val="clear" w:color="auto" w:fill="auto"/>
            <w:noWrap/>
            <w:tcMar>
              <w:top w:w="15" w:type="dxa"/>
              <w:left w:w="15" w:type="dxa"/>
              <w:bottom w:w="0" w:type="dxa"/>
              <w:right w:w="15" w:type="dxa"/>
            </w:tcMar>
            <w:vAlign w:val="bottom"/>
            <w:hideMark/>
          </w:tcPr>
          <w:p w14:paraId="562290B0" w14:textId="77777777" w:rsidR="00A04BF8" w:rsidRPr="00166607" w:rsidRDefault="00A04BF8">
            <w:pPr>
              <w:rPr>
                <w:rFonts w:ascii="Calibri" w:eastAsia="Times New Roman" w:hAnsi="Calibri"/>
                <w:color w:val="000000"/>
                <w:sz w:val="22"/>
                <w:szCs w:val="22"/>
              </w:rPr>
            </w:pPr>
          </w:p>
        </w:tc>
        <w:tc>
          <w:tcPr>
            <w:tcW w:w="1300" w:type="dxa"/>
            <w:tcBorders>
              <w:top w:val="nil"/>
              <w:left w:val="nil"/>
              <w:bottom w:val="nil"/>
              <w:right w:val="nil"/>
            </w:tcBorders>
            <w:shd w:val="clear" w:color="auto" w:fill="auto"/>
            <w:noWrap/>
            <w:tcMar>
              <w:top w:w="15" w:type="dxa"/>
              <w:left w:w="15" w:type="dxa"/>
              <w:bottom w:w="0" w:type="dxa"/>
              <w:right w:w="15" w:type="dxa"/>
            </w:tcMar>
            <w:vAlign w:val="bottom"/>
            <w:hideMark/>
          </w:tcPr>
          <w:p w14:paraId="07159578" w14:textId="77777777" w:rsidR="00A04BF8" w:rsidRPr="00166607" w:rsidRDefault="00A04BF8">
            <w:pPr>
              <w:rPr>
                <w:rFonts w:ascii="Calibri" w:eastAsia="Times New Roman" w:hAnsi="Calibri"/>
                <w:color w:val="000000"/>
                <w:sz w:val="22"/>
                <w:szCs w:val="22"/>
              </w:rPr>
            </w:pPr>
          </w:p>
        </w:tc>
      </w:tr>
      <w:tr w:rsidR="00A04BF8" w:rsidRPr="00166607" w14:paraId="080D6BA5" w14:textId="77777777" w:rsidTr="00A04BF8">
        <w:trPr>
          <w:trHeight w:val="300"/>
        </w:trPr>
        <w:tc>
          <w:tcPr>
            <w:tcW w:w="3720" w:type="dxa"/>
            <w:tcBorders>
              <w:top w:val="double" w:sz="6" w:space="0" w:color="auto"/>
              <w:left w:val="nil"/>
              <w:bottom w:val="nil"/>
              <w:right w:val="nil"/>
            </w:tcBorders>
            <w:shd w:val="clear" w:color="000000" w:fill="FFFFFF"/>
            <w:tcMar>
              <w:top w:w="15" w:type="dxa"/>
              <w:left w:w="15" w:type="dxa"/>
              <w:bottom w:w="0" w:type="dxa"/>
              <w:right w:w="15" w:type="dxa"/>
            </w:tcMar>
            <w:vAlign w:val="center"/>
            <w:hideMark/>
          </w:tcPr>
          <w:p w14:paraId="2DD72C11" w14:textId="77777777" w:rsidR="00A04BF8" w:rsidRPr="00166607" w:rsidRDefault="00A04BF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0" w:type="auto"/>
            <w:gridSpan w:val="5"/>
            <w:tcBorders>
              <w:top w:val="double" w:sz="6" w:space="0" w:color="auto"/>
              <w:left w:val="nil"/>
              <w:bottom w:val="nil"/>
              <w:right w:val="nil"/>
            </w:tcBorders>
            <w:shd w:val="clear" w:color="000000" w:fill="FFFFFF"/>
            <w:noWrap/>
            <w:tcMar>
              <w:top w:w="15" w:type="dxa"/>
              <w:left w:w="15" w:type="dxa"/>
              <w:bottom w:w="0" w:type="dxa"/>
              <w:right w:w="15" w:type="dxa"/>
            </w:tcMar>
            <w:vAlign w:val="center"/>
            <w:hideMark/>
          </w:tcPr>
          <w:p w14:paraId="32C2441F"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0" w:type="auto"/>
            <w:tcBorders>
              <w:top w:val="double" w:sz="6" w:space="0" w:color="auto"/>
              <w:left w:val="nil"/>
              <w:bottom w:val="nil"/>
              <w:right w:val="nil"/>
            </w:tcBorders>
            <w:shd w:val="clear" w:color="000000" w:fill="FFFFFF"/>
            <w:noWrap/>
            <w:tcMar>
              <w:top w:w="15" w:type="dxa"/>
              <w:left w:w="15" w:type="dxa"/>
              <w:bottom w:w="0" w:type="dxa"/>
              <w:right w:w="15" w:type="dxa"/>
            </w:tcMar>
            <w:vAlign w:val="center"/>
            <w:hideMark/>
          </w:tcPr>
          <w:p w14:paraId="61BC18B9"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r>
      <w:tr w:rsidR="00A04BF8" w:rsidRPr="00166607" w14:paraId="28B2EF6B" w14:textId="77777777" w:rsidTr="00A04BF8">
        <w:trPr>
          <w:trHeight w:val="600"/>
        </w:trPr>
        <w:tc>
          <w:tcPr>
            <w:tcW w:w="3720" w:type="dxa"/>
            <w:tcBorders>
              <w:top w:val="nil"/>
              <w:left w:val="nil"/>
              <w:bottom w:val="nil"/>
              <w:right w:val="nil"/>
            </w:tcBorders>
            <w:shd w:val="clear" w:color="000000" w:fill="FFFFFF"/>
            <w:tcMar>
              <w:top w:w="15" w:type="dxa"/>
              <w:left w:w="15" w:type="dxa"/>
              <w:bottom w:w="0" w:type="dxa"/>
              <w:right w:w="15" w:type="dxa"/>
            </w:tcMar>
            <w:vAlign w:val="center"/>
            <w:hideMark/>
          </w:tcPr>
          <w:p w14:paraId="05E744C7" w14:textId="77777777" w:rsidR="00A04BF8" w:rsidRPr="00166607" w:rsidRDefault="00A04BF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2600"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14:paraId="144643BD"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All Applicants</w:t>
            </w:r>
          </w:p>
        </w:tc>
        <w:tc>
          <w:tcPr>
            <w:tcW w:w="2600"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14:paraId="66A15B09"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Academic School Applicants</w:t>
            </w:r>
          </w:p>
        </w:tc>
        <w:tc>
          <w:tcPr>
            <w:tcW w:w="2600"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14:paraId="572E5D02"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Vocational School Applicants</w:t>
            </w:r>
          </w:p>
        </w:tc>
      </w:tr>
      <w:tr w:rsidR="00A04BF8" w:rsidRPr="00166607" w14:paraId="70CB3DEC" w14:textId="77777777" w:rsidTr="00A04BF8">
        <w:trPr>
          <w:trHeight w:val="300"/>
        </w:trPr>
        <w:tc>
          <w:tcPr>
            <w:tcW w:w="3720" w:type="dxa"/>
            <w:tcBorders>
              <w:top w:val="nil"/>
              <w:left w:val="nil"/>
              <w:bottom w:val="single" w:sz="8" w:space="0" w:color="auto"/>
              <w:right w:val="nil"/>
            </w:tcBorders>
            <w:shd w:val="clear" w:color="000000" w:fill="FFFFFF"/>
            <w:tcMar>
              <w:top w:w="15" w:type="dxa"/>
              <w:left w:w="15" w:type="dxa"/>
              <w:bottom w:w="0" w:type="dxa"/>
              <w:right w:w="15" w:type="dxa"/>
            </w:tcMar>
            <w:vAlign w:val="center"/>
            <w:hideMark/>
          </w:tcPr>
          <w:p w14:paraId="73979F9A"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0" w:type="auto"/>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1AD2DEF1"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w:t>
            </w:r>
          </w:p>
        </w:tc>
        <w:tc>
          <w:tcPr>
            <w:tcW w:w="0" w:type="auto"/>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26BF911A"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w:t>
            </w:r>
          </w:p>
        </w:tc>
        <w:tc>
          <w:tcPr>
            <w:tcW w:w="0" w:type="auto"/>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1E2E6C36"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w:t>
            </w:r>
          </w:p>
        </w:tc>
        <w:tc>
          <w:tcPr>
            <w:tcW w:w="0" w:type="auto"/>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75FA1E51"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w:t>
            </w:r>
          </w:p>
        </w:tc>
        <w:tc>
          <w:tcPr>
            <w:tcW w:w="0" w:type="auto"/>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176A0D4D"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w:t>
            </w:r>
          </w:p>
        </w:tc>
        <w:tc>
          <w:tcPr>
            <w:tcW w:w="0" w:type="auto"/>
            <w:tcBorders>
              <w:top w:val="nil"/>
              <w:left w:val="nil"/>
              <w:bottom w:val="single" w:sz="8" w:space="0" w:color="auto"/>
              <w:right w:val="nil"/>
            </w:tcBorders>
            <w:shd w:val="clear" w:color="000000" w:fill="FFFFFF"/>
            <w:noWrap/>
            <w:tcMar>
              <w:top w:w="15" w:type="dxa"/>
              <w:left w:w="15" w:type="dxa"/>
              <w:bottom w:w="0" w:type="dxa"/>
              <w:right w:w="15" w:type="dxa"/>
            </w:tcMar>
            <w:vAlign w:val="center"/>
            <w:hideMark/>
          </w:tcPr>
          <w:p w14:paraId="5A8D10D2"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(6)</w:t>
            </w:r>
          </w:p>
        </w:tc>
      </w:tr>
      <w:tr w:rsidR="00A04BF8" w:rsidRPr="00166607" w14:paraId="68C8BA32" w14:textId="77777777" w:rsidTr="00A04BF8">
        <w:trPr>
          <w:trHeight w:val="280"/>
        </w:trPr>
        <w:tc>
          <w:tcPr>
            <w:tcW w:w="3720" w:type="dxa"/>
            <w:tcBorders>
              <w:top w:val="nil"/>
              <w:left w:val="nil"/>
              <w:bottom w:val="nil"/>
              <w:right w:val="nil"/>
            </w:tcBorders>
            <w:shd w:val="clear" w:color="000000" w:fill="FFFFFF"/>
            <w:tcMar>
              <w:top w:w="15" w:type="dxa"/>
              <w:left w:w="15" w:type="dxa"/>
              <w:bottom w:w="0" w:type="dxa"/>
              <w:right w:w="15" w:type="dxa"/>
            </w:tcMar>
            <w:vAlign w:val="center"/>
            <w:hideMark/>
          </w:tcPr>
          <w:p w14:paraId="40138DAE" w14:textId="77777777" w:rsidR="00A04BF8" w:rsidRPr="00166607" w:rsidRDefault="00A04BF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Won a scholarship</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92F2B4B"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0.008</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319CC958"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-0.086</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66E4FA6D"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0.009</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7968100B"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-0.052</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283C7E25"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0.012</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33C00691"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-0.221</w:t>
            </w:r>
          </w:p>
        </w:tc>
      </w:tr>
      <w:tr w:rsidR="00A04BF8" w:rsidRPr="00166607" w14:paraId="54D55BC5" w14:textId="77777777" w:rsidTr="00A04BF8">
        <w:trPr>
          <w:trHeight w:val="280"/>
        </w:trPr>
        <w:tc>
          <w:tcPr>
            <w:tcW w:w="3720" w:type="dxa"/>
            <w:tcBorders>
              <w:top w:val="nil"/>
              <w:left w:val="nil"/>
              <w:bottom w:val="nil"/>
              <w:right w:val="nil"/>
            </w:tcBorders>
            <w:shd w:val="clear" w:color="000000" w:fill="FFFFFF"/>
            <w:tcMar>
              <w:top w:w="15" w:type="dxa"/>
              <w:left w:w="15" w:type="dxa"/>
              <w:bottom w:w="0" w:type="dxa"/>
              <w:right w:w="15" w:type="dxa"/>
            </w:tcMar>
            <w:vAlign w:val="center"/>
            <w:hideMark/>
          </w:tcPr>
          <w:p w14:paraId="779C01FA" w14:textId="77777777" w:rsidR="00A04BF8" w:rsidRPr="00166607" w:rsidRDefault="00A04BF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3704D0A7"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(0.013)</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EC561D2"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(0.137)</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05469640"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(0.018)</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7FFECA5F"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(0.197)</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6CA69665"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(0.020)</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DE49282"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(0.206)</w:t>
            </w:r>
          </w:p>
        </w:tc>
      </w:tr>
      <w:tr w:rsidR="00A04BF8" w:rsidRPr="00166607" w14:paraId="3C636703" w14:textId="77777777" w:rsidTr="00A04BF8">
        <w:trPr>
          <w:trHeight w:val="280"/>
        </w:trPr>
        <w:tc>
          <w:tcPr>
            <w:tcW w:w="3720" w:type="dxa"/>
            <w:tcBorders>
              <w:top w:val="nil"/>
              <w:left w:val="nil"/>
              <w:bottom w:val="nil"/>
              <w:right w:val="nil"/>
            </w:tcBorders>
            <w:shd w:val="clear" w:color="000000" w:fill="FFFFFF"/>
            <w:tcMar>
              <w:top w:w="15" w:type="dxa"/>
              <w:left w:w="15" w:type="dxa"/>
              <w:bottom w:w="0" w:type="dxa"/>
              <w:right w:w="15" w:type="dxa"/>
            </w:tcMar>
            <w:vAlign w:val="center"/>
            <w:hideMark/>
          </w:tcPr>
          <w:p w14:paraId="182E668A" w14:textId="77777777" w:rsidR="00A04BF8" w:rsidRPr="00166607" w:rsidRDefault="00A04BF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Age * won a scholarship</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7208B08"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6829603"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0.005</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1AC1BE58"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15AFF3DD"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0.003</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1A2B1A1D"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02958030"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0.017</w:t>
            </w:r>
          </w:p>
        </w:tc>
      </w:tr>
      <w:tr w:rsidR="00A04BF8" w:rsidRPr="00166607" w14:paraId="75183D58" w14:textId="77777777" w:rsidTr="00A04BF8">
        <w:trPr>
          <w:trHeight w:val="280"/>
        </w:trPr>
        <w:tc>
          <w:tcPr>
            <w:tcW w:w="3720" w:type="dxa"/>
            <w:tcBorders>
              <w:top w:val="nil"/>
              <w:left w:val="nil"/>
              <w:bottom w:val="nil"/>
              <w:right w:val="nil"/>
            </w:tcBorders>
            <w:shd w:val="clear" w:color="000000" w:fill="FFFFFF"/>
            <w:tcMar>
              <w:top w:w="15" w:type="dxa"/>
              <w:left w:w="15" w:type="dxa"/>
              <w:bottom w:w="0" w:type="dxa"/>
              <w:right w:w="15" w:type="dxa"/>
            </w:tcMar>
            <w:vAlign w:val="center"/>
            <w:hideMark/>
          </w:tcPr>
          <w:p w14:paraId="4C73B30F" w14:textId="77777777" w:rsidR="00A04BF8" w:rsidRPr="00166607" w:rsidRDefault="00A04BF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0DA9368C"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2F9E4225"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(0.010)</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655C6280"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243BB945"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(0.015)</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223F4DB5"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7194D0B9"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(0.016)</w:t>
            </w:r>
          </w:p>
        </w:tc>
      </w:tr>
      <w:tr w:rsidR="00A04BF8" w:rsidRPr="00166607" w14:paraId="0EFC944F" w14:textId="77777777" w:rsidTr="00A04BF8">
        <w:trPr>
          <w:trHeight w:val="280"/>
        </w:trPr>
        <w:tc>
          <w:tcPr>
            <w:tcW w:w="3720" w:type="dxa"/>
            <w:tcBorders>
              <w:top w:val="nil"/>
              <w:left w:val="nil"/>
              <w:bottom w:val="nil"/>
              <w:right w:val="nil"/>
            </w:tcBorders>
            <w:shd w:val="clear" w:color="000000" w:fill="FFFFFF"/>
            <w:tcMar>
              <w:top w:w="15" w:type="dxa"/>
              <w:left w:w="15" w:type="dxa"/>
              <w:bottom w:w="0" w:type="dxa"/>
              <w:right w:w="15" w:type="dxa"/>
            </w:tcMar>
            <w:vAlign w:val="center"/>
            <w:hideMark/>
          </w:tcPr>
          <w:p w14:paraId="3DF647CA" w14:textId="77777777" w:rsidR="00A04BF8" w:rsidRPr="00166607" w:rsidRDefault="00A04BF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Phone * won a scholarship</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2C2CDCBC"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01CF5A8"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0.041</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02091450"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315CF237"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0.053</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5C507D1"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02C9B39F"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0.015</w:t>
            </w:r>
          </w:p>
        </w:tc>
      </w:tr>
      <w:tr w:rsidR="00A04BF8" w:rsidRPr="00166607" w14:paraId="74ECA99C" w14:textId="77777777" w:rsidTr="00A04BF8">
        <w:trPr>
          <w:trHeight w:val="280"/>
        </w:trPr>
        <w:tc>
          <w:tcPr>
            <w:tcW w:w="3720" w:type="dxa"/>
            <w:tcBorders>
              <w:top w:val="nil"/>
              <w:left w:val="nil"/>
              <w:bottom w:val="nil"/>
              <w:right w:val="nil"/>
            </w:tcBorders>
            <w:shd w:val="clear" w:color="000000" w:fill="FFFFFF"/>
            <w:tcMar>
              <w:top w:w="15" w:type="dxa"/>
              <w:left w:w="15" w:type="dxa"/>
              <w:bottom w:w="0" w:type="dxa"/>
              <w:right w:w="15" w:type="dxa"/>
            </w:tcMar>
            <w:vAlign w:val="center"/>
            <w:hideMark/>
          </w:tcPr>
          <w:p w14:paraId="0AD2615D" w14:textId="77777777" w:rsidR="00A04BF8" w:rsidRPr="00166607" w:rsidRDefault="00A04BF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3EDDBEA"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171A8384"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(0.041)</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6F341AD1"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3CF5C926"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(0.054)</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3C328F25"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7AAA5E32"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(0.065)</w:t>
            </w:r>
          </w:p>
        </w:tc>
      </w:tr>
      <w:tr w:rsidR="00A04BF8" w:rsidRPr="00166607" w14:paraId="17C6B678" w14:textId="77777777" w:rsidTr="00A04BF8">
        <w:trPr>
          <w:trHeight w:val="280"/>
        </w:trPr>
        <w:tc>
          <w:tcPr>
            <w:tcW w:w="3720" w:type="dxa"/>
            <w:tcBorders>
              <w:top w:val="nil"/>
              <w:left w:val="nil"/>
              <w:bottom w:val="nil"/>
              <w:right w:val="nil"/>
            </w:tcBorders>
            <w:shd w:val="clear" w:color="000000" w:fill="FFFFFF"/>
            <w:tcMar>
              <w:top w:w="15" w:type="dxa"/>
              <w:left w:w="15" w:type="dxa"/>
              <w:bottom w:w="0" w:type="dxa"/>
              <w:right w:w="15" w:type="dxa"/>
            </w:tcMar>
            <w:vAlign w:val="center"/>
            <w:hideMark/>
          </w:tcPr>
          <w:p w14:paraId="3633B2D8" w14:textId="77777777" w:rsidR="00A04BF8" w:rsidRPr="00166607" w:rsidRDefault="00A04BF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Male * won a scholarship</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7860D4F8"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35D71964"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-0.022</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17F5EF5E"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0EC9B0D"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-0.041</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20051A84"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7ED6F6CB"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0.002</w:t>
            </w:r>
          </w:p>
        </w:tc>
      </w:tr>
      <w:tr w:rsidR="00A04BF8" w:rsidRPr="00166607" w14:paraId="4BA617BC" w14:textId="77777777" w:rsidTr="00A04BF8">
        <w:trPr>
          <w:trHeight w:val="280"/>
        </w:trPr>
        <w:tc>
          <w:tcPr>
            <w:tcW w:w="3720" w:type="dxa"/>
            <w:tcBorders>
              <w:top w:val="nil"/>
              <w:left w:val="nil"/>
              <w:bottom w:val="nil"/>
              <w:right w:val="nil"/>
            </w:tcBorders>
            <w:shd w:val="clear" w:color="000000" w:fill="FFFFFF"/>
            <w:tcMar>
              <w:top w:w="15" w:type="dxa"/>
              <w:left w:w="15" w:type="dxa"/>
              <w:bottom w:w="0" w:type="dxa"/>
              <w:right w:w="15" w:type="dxa"/>
            </w:tcMar>
            <w:vAlign w:val="center"/>
            <w:hideMark/>
          </w:tcPr>
          <w:p w14:paraId="3D52E2A6" w14:textId="77777777" w:rsidR="00A04BF8" w:rsidRPr="00166607" w:rsidRDefault="00A04BF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2FCDD7F7"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06E2FA85"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(0.026)</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CB18759"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1A242AA"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(0.037)</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8E44BB9"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939DB7D"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(0.040)</w:t>
            </w:r>
          </w:p>
        </w:tc>
      </w:tr>
      <w:tr w:rsidR="00A04BF8" w:rsidRPr="00166607" w14:paraId="25C3A870" w14:textId="77777777" w:rsidTr="00A04BF8">
        <w:trPr>
          <w:trHeight w:val="280"/>
        </w:trPr>
        <w:tc>
          <w:tcPr>
            <w:tcW w:w="3720" w:type="dxa"/>
            <w:tcBorders>
              <w:top w:val="nil"/>
              <w:left w:val="nil"/>
              <w:bottom w:val="nil"/>
              <w:right w:val="nil"/>
            </w:tcBorders>
            <w:shd w:val="clear" w:color="000000" w:fill="FFFFFF"/>
            <w:tcMar>
              <w:top w:w="15" w:type="dxa"/>
              <w:left w:w="15" w:type="dxa"/>
              <w:bottom w:w="0" w:type="dxa"/>
              <w:right w:w="15" w:type="dxa"/>
            </w:tcMar>
            <w:vAlign w:val="center"/>
            <w:hideMark/>
          </w:tcPr>
          <w:p w14:paraId="3DE97285" w14:textId="77777777" w:rsidR="00A04BF8" w:rsidRPr="00166607" w:rsidRDefault="00A04BF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Loser's mean</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3FDB2F62"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0.801</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6B59EFD"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10A12854"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0.797</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1194DEE2"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173738B4"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0.811</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3C871880"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r>
      <w:tr w:rsidR="00A04BF8" w:rsidRPr="00166607" w14:paraId="4C0212E7" w14:textId="77777777" w:rsidTr="00A04BF8">
        <w:trPr>
          <w:trHeight w:val="520"/>
        </w:trPr>
        <w:tc>
          <w:tcPr>
            <w:tcW w:w="3720" w:type="dxa"/>
            <w:tcBorders>
              <w:top w:val="nil"/>
              <w:left w:val="nil"/>
              <w:bottom w:val="nil"/>
              <w:right w:val="nil"/>
            </w:tcBorders>
            <w:shd w:val="clear" w:color="000000" w:fill="FFFFFF"/>
            <w:tcMar>
              <w:top w:w="15" w:type="dxa"/>
              <w:left w:w="15" w:type="dxa"/>
              <w:bottom w:w="0" w:type="dxa"/>
              <w:right w:w="15" w:type="dxa"/>
            </w:tcMar>
            <w:vAlign w:val="center"/>
            <w:hideMark/>
          </w:tcPr>
          <w:p w14:paraId="5E21A488" w14:textId="77777777" w:rsidR="00A04BF8" w:rsidRPr="00166607" w:rsidRDefault="00A04BF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p-value on F-stat of joint test of interactions</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BB1D90F"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00E1049F"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0.609</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537AF804"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2F898A65"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0.545</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4A8F1AEF"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14:paraId="6F091F48"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0.733</w:t>
            </w:r>
          </w:p>
        </w:tc>
      </w:tr>
      <w:tr w:rsidR="00A04BF8" w:rsidRPr="00166607" w14:paraId="1580E540" w14:textId="77777777" w:rsidTr="00A04BF8">
        <w:trPr>
          <w:trHeight w:val="300"/>
        </w:trPr>
        <w:tc>
          <w:tcPr>
            <w:tcW w:w="3720" w:type="dxa"/>
            <w:tcBorders>
              <w:top w:val="nil"/>
              <w:left w:val="nil"/>
              <w:bottom w:val="double" w:sz="6" w:space="0" w:color="auto"/>
              <w:right w:val="nil"/>
            </w:tcBorders>
            <w:shd w:val="clear" w:color="000000" w:fill="FFFFFF"/>
            <w:tcMar>
              <w:top w:w="15" w:type="dxa"/>
              <w:left w:w="15" w:type="dxa"/>
              <w:bottom w:w="0" w:type="dxa"/>
              <w:right w:w="15" w:type="dxa"/>
            </w:tcMar>
            <w:vAlign w:val="center"/>
            <w:hideMark/>
          </w:tcPr>
          <w:p w14:paraId="069C0A9A" w14:textId="77777777" w:rsidR="00A04BF8" w:rsidRPr="00166607" w:rsidRDefault="00A04BF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N</w:t>
            </w:r>
          </w:p>
        </w:tc>
        <w:tc>
          <w:tcPr>
            <w:tcW w:w="0" w:type="auto"/>
            <w:tcBorders>
              <w:top w:val="nil"/>
              <w:left w:val="nil"/>
              <w:bottom w:val="double" w:sz="6" w:space="0" w:color="auto"/>
              <w:right w:val="nil"/>
            </w:tcBorders>
            <w:shd w:val="clear" w:color="000000" w:fill="FFFFFF"/>
            <w:noWrap/>
            <w:tcMar>
              <w:top w:w="15" w:type="dxa"/>
              <w:left w:w="15" w:type="dxa"/>
              <w:bottom w:w="0" w:type="dxa"/>
              <w:right w:w="15" w:type="dxa"/>
            </w:tcMar>
            <w:vAlign w:val="center"/>
            <w:hideMark/>
          </w:tcPr>
          <w:p w14:paraId="2B4F71E4"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3661</w:t>
            </w:r>
          </w:p>
        </w:tc>
        <w:tc>
          <w:tcPr>
            <w:tcW w:w="0" w:type="auto"/>
            <w:tcBorders>
              <w:top w:val="nil"/>
              <w:left w:val="nil"/>
              <w:bottom w:val="double" w:sz="6" w:space="0" w:color="auto"/>
              <w:right w:val="nil"/>
            </w:tcBorders>
            <w:shd w:val="clear" w:color="000000" w:fill="FFFFFF"/>
            <w:noWrap/>
            <w:tcMar>
              <w:top w:w="15" w:type="dxa"/>
              <w:left w:w="15" w:type="dxa"/>
              <w:bottom w:w="0" w:type="dxa"/>
              <w:right w:w="15" w:type="dxa"/>
            </w:tcMar>
            <w:vAlign w:val="center"/>
            <w:hideMark/>
          </w:tcPr>
          <w:p w14:paraId="21D0F74B"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3661</w:t>
            </w:r>
          </w:p>
        </w:tc>
        <w:tc>
          <w:tcPr>
            <w:tcW w:w="0" w:type="auto"/>
            <w:tcBorders>
              <w:top w:val="nil"/>
              <w:left w:val="nil"/>
              <w:bottom w:val="double" w:sz="6" w:space="0" w:color="auto"/>
              <w:right w:val="nil"/>
            </w:tcBorders>
            <w:shd w:val="clear" w:color="000000" w:fill="FFFFFF"/>
            <w:noWrap/>
            <w:tcMar>
              <w:top w:w="15" w:type="dxa"/>
              <w:left w:w="15" w:type="dxa"/>
              <w:bottom w:w="0" w:type="dxa"/>
              <w:right w:w="15" w:type="dxa"/>
            </w:tcMar>
            <w:vAlign w:val="center"/>
            <w:hideMark/>
          </w:tcPr>
          <w:p w14:paraId="68ABCC50"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1901</w:t>
            </w:r>
          </w:p>
        </w:tc>
        <w:tc>
          <w:tcPr>
            <w:tcW w:w="0" w:type="auto"/>
            <w:tcBorders>
              <w:top w:val="nil"/>
              <w:left w:val="nil"/>
              <w:bottom w:val="double" w:sz="6" w:space="0" w:color="auto"/>
              <w:right w:val="nil"/>
            </w:tcBorders>
            <w:shd w:val="clear" w:color="000000" w:fill="FFFFFF"/>
            <w:noWrap/>
            <w:tcMar>
              <w:top w:w="15" w:type="dxa"/>
              <w:left w:w="15" w:type="dxa"/>
              <w:bottom w:w="0" w:type="dxa"/>
              <w:right w:w="15" w:type="dxa"/>
            </w:tcMar>
            <w:vAlign w:val="center"/>
            <w:hideMark/>
          </w:tcPr>
          <w:p w14:paraId="21CA11A0"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1901</w:t>
            </w:r>
          </w:p>
        </w:tc>
        <w:tc>
          <w:tcPr>
            <w:tcW w:w="0" w:type="auto"/>
            <w:tcBorders>
              <w:top w:val="nil"/>
              <w:left w:val="nil"/>
              <w:bottom w:val="double" w:sz="6" w:space="0" w:color="auto"/>
              <w:right w:val="nil"/>
            </w:tcBorders>
            <w:shd w:val="clear" w:color="000000" w:fill="FFFFFF"/>
            <w:noWrap/>
            <w:tcMar>
              <w:top w:w="15" w:type="dxa"/>
              <w:left w:w="15" w:type="dxa"/>
              <w:bottom w:w="0" w:type="dxa"/>
              <w:right w:w="15" w:type="dxa"/>
            </w:tcMar>
            <w:vAlign w:val="center"/>
            <w:hideMark/>
          </w:tcPr>
          <w:p w14:paraId="6012E491"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1512</w:t>
            </w:r>
          </w:p>
        </w:tc>
        <w:tc>
          <w:tcPr>
            <w:tcW w:w="0" w:type="auto"/>
            <w:tcBorders>
              <w:top w:val="nil"/>
              <w:left w:val="nil"/>
              <w:bottom w:val="double" w:sz="6" w:space="0" w:color="auto"/>
              <w:right w:val="nil"/>
            </w:tcBorders>
            <w:shd w:val="clear" w:color="000000" w:fill="FFFFFF"/>
            <w:noWrap/>
            <w:tcMar>
              <w:top w:w="15" w:type="dxa"/>
              <w:left w:w="15" w:type="dxa"/>
              <w:bottom w:w="0" w:type="dxa"/>
              <w:right w:w="15" w:type="dxa"/>
            </w:tcMar>
            <w:vAlign w:val="center"/>
            <w:hideMark/>
          </w:tcPr>
          <w:p w14:paraId="4FD7666B" w14:textId="77777777" w:rsidR="00A04BF8" w:rsidRPr="00166607" w:rsidRDefault="00A04BF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1512</w:t>
            </w:r>
          </w:p>
        </w:tc>
      </w:tr>
    </w:tbl>
    <w:p w14:paraId="44931FD5" w14:textId="0CE77B94" w:rsidR="004E36D2" w:rsidRPr="00166607" w:rsidRDefault="00A04BF8" w:rsidP="004E36D2">
      <w:pPr>
        <w:pStyle w:val="ListParagraph"/>
        <w:ind w:left="0"/>
        <w:rPr>
          <w:rFonts w:ascii="Times New Roman" w:hAnsi="Times New Roman"/>
          <w:sz w:val="20"/>
          <w:szCs w:val="20"/>
        </w:rPr>
        <w:sectPr w:rsidR="004E36D2" w:rsidRPr="00166607" w:rsidSect="00402892">
          <w:endnotePr>
            <w:numFmt w:val="decimal"/>
          </w:endnotePr>
          <w:pgSz w:w="15840" w:h="12240" w:orient="landscape"/>
          <w:pgMar w:top="1584" w:right="1440" w:bottom="1584" w:left="1440" w:header="720" w:footer="720" w:gutter="0"/>
          <w:cols w:space="720"/>
          <w:docGrid w:linePitch="360"/>
        </w:sectPr>
      </w:pPr>
      <w:r w:rsidRPr="00166607">
        <w:rPr>
          <w:rFonts w:ascii="Times New Roman" w:hAnsi="Times New Roman"/>
          <w:i/>
          <w:color w:val="000000"/>
          <w:sz w:val="20"/>
          <w:szCs w:val="20"/>
        </w:rPr>
        <w:t xml:space="preserve"> </w:t>
      </w:r>
      <w:r w:rsidR="00E55872" w:rsidRPr="00166607">
        <w:rPr>
          <w:rFonts w:ascii="Times New Roman" w:hAnsi="Times New Roman"/>
          <w:i/>
          <w:color w:val="000000"/>
          <w:sz w:val="20"/>
          <w:szCs w:val="20"/>
        </w:rPr>
        <w:t>Notes</w:t>
      </w:r>
      <w:r w:rsidR="00E55872" w:rsidRPr="00166607">
        <w:rPr>
          <w:rFonts w:ascii="Times New Roman" w:hAnsi="Times New Roman"/>
          <w:color w:val="000000"/>
          <w:sz w:val="20"/>
          <w:szCs w:val="20"/>
        </w:rPr>
        <w:t>: Table reports scholarship lottery loser’s means and estimated effects of winning a scholarship on the probability of being matched to SISPRO data using linear probability models. Additional controls, not shown in the table include, age, male and whether the applicant had a phone number at the time of scholarship application. SISPRO sample is from July 2008 to 2014.</w:t>
      </w:r>
    </w:p>
    <w:p w14:paraId="3D4DC5E5" w14:textId="0569E857" w:rsidR="00EC7488" w:rsidRPr="00166607" w:rsidRDefault="00E43914" w:rsidP="00C6061A">
      <w:pPr>
        <w:rPr>
          <w:rFonts w:ascii="Times New Roman" w:hAnsi="Times New Roman"/>
          <w:color w:val="000000"/>
        </w:rPr>
      </w:pPr>
      <w:r w:rsidRPr="00166607">
        <w:rPr>
          <w:rFonts w:ascii="Times New Roman" w:hAnsi="Times New Roman"/>
          <w:color w:val="000000"/>
        </w:rPr>
        <w:lastRenderedPageBreak/>
        <w:t xml:space="preserve">Table </w:t>
      </w:r>
      <w:r w:rsidR="002F3F5C" w:rsidRPr="00166607">
        <w:rPr>
          <w:rFonts w:ascii="Times New Roman" w:hAnsi="Times New Roman"/>
          <w:color w:val="000000"/>
        </w:rPr>
        <w:t>4</w:t>
      </w:r>
      <w:r w:rsidRPr="00166607">
        <w:rPr>
          <w:rFonts w:ascii="Times New Roman" w:hAnsi="Times New Roman"/>
          <w:color w:val="000000"/>
        </w:rPr>
        <w:t>. Scholarship impacts on</w:t>
      </w:r>
      <w:r w:rsidR="00DD40B6" w:rsidRPr="00166607">
        <w:rPr>
          <w:rFonts w:ascii="Times New Roman" w:hAnsi="Times New Roman"/>
          <w:color w:val="000000"/>
        </w:rPr>
        <w:t xml:space="preserve"> </w:t>
      </w:r>
      <w:r w:rsidR="002F3F5C" w:rsidRPr="00166607">
        <w:rPr>
          <w:rFonts w:ascii="Times New Roman" w:hAnsi="Times New Roman"/>
          <w:color w:val="000000"/>
        </w:rPr>
        <w:t xml:space="preserve">formal sector employment intensity, </w:t>
      </w:r>
      <w:r w:rsidRPr="00166607">
        <w:rPr>
          <w:rFonts w:ascii="Times New Roman" w:hAnsi="Times New Roman"/>
          <w:color w:val="000000"/>
        </w:rPr>
        <w:t>earnings</w:t>
      </w:r>
      <w:r w:rsidR="00F67C65" w:rsidRPr="00166607">
        <w:rPr>
          <w:rFonts w:ascii="Times New Roman" w:hAnsi="Times New Roman"/>
          <w:color w:val="000000"/>
        </w:rPr>
        <w:t xml:space="preserve"> and payroll taxes</w:t>
      </w:r>
    </w:p>
    <w:tbl>
      <w:tblPr>
        <w:tblW w:w="12685" w:type="dxa"/>
        <w:tblInd w:w="93" w:type="dxa"/>
        <w:tblLayout w:type="fixed"/>
        <w:tblLook w:val="04A0" w:firstRow="1" w:lastRow="0" w:firstColumn="1" w:lastColumn="0" w:noHBand="0" w:noVBand="1"/>
      </w:tblPr>
      <w:tblGrid>
        <w:gridCol w:w="5200"/>
        <w:gridCol w:w="968"/>
        <w:gridCol w:w="1310"/>
        <w:gridCol w:w="1177"/>
        <w:gridCol w:w="1420"/>
        <w:gridCol w:w="1190"/>
        <w:gridCol w:w="1420"/>
      </w:tblGrid>
      <w:tr w:rsidR="009C6661" w:rsidRPr="00166607" w14:paraId="3EBF9AAA" w14:textId="77777777" w:rsidTr="009C6661">
        <w:trPr>
          <w:trHeight w:val="140"/>
        </w:trPr>
        <w:tc>
          <w:tcPr>
            <w:tcW w:w="5200" w:type="dxa"/>
            <w:tcBorders>
              <w:top w:val="nil"/>
              <w:left w:val="nil"/>
              <w:bottom w:val="nil"/>
              <w:right w:val="nil"/>
            </w:tcBorders>
            <w:shd w:val="clear" w:color="auto" w:fill="auto"/>
            <w:noWrap/>
            <w:vAlign w:val="bottom"/>
            <w:hideMark/>
          </w:tcPr>
          <w:p w14:paraId="7ECD45CF" w14:textId="77777777" w:rsidR="009C6661" w:rsidRPr="00166607" w:rsidRDefault="009C6661" w:rsidP="009C6661">
            <w:pPr>
              <w:rPr>
                <w:rFonts w:ascii="Times New Roman" w:eastAsia="Times New Roman" w:hAnsi="Times New Roman"/>
                <w:color w:val="000000"/>
                <w:sz w:val="22"/>
                <w:szCs w:val="22"/>
              </w:rPr>
            </w:pPr>
          </w:p>
        </w:tc>
        <w:tc>
          <w:tcPr>
            <w:tcW w:w="968" w:type="dxa"/>
            <w:tcBorders>
              <w:top w:val="nil"/>
              <w:left w:val="nil"/>
              <w:bottom w:val="nil"/>
              <w:right w:val="nil"/>
            </w:tcBorders>
            <w:shd w:val="clear" w:color="auto" w:fill="auto"/>
            <w:noWrap/>
            <w:vAlign w:val="bottom"/>
            <w:hideMark/>
          </w:tcPr>
          <w:p w14:paraId="23FC191A" w14:textId="77777777" w:rsidR="009C6661" w:rsidRPr="00166607" w:rsidRDefault="009C6661" w:rsidP="009C6661">
            <w:pPr>
              <w:rPr>
                <w:rFonts w:ascii="Times New Roman" w:eastAsia="Times New Roman" w:hAnsi="Times New Roman"/>
                <w:color w:val="000000"/>
                <w:sz w:val="22"/>
                <w:szCs w:val="22"/>
              </w:rPr>
            </w:pPr>
          </w:p>
        </w:tc>
        <w:tc>
          <w:tcPr>
            <w:tcW w:w="1310" w:type="dxa"/>
            <w:tcBorders>
              <w:top w:val="nil"/>
              <w:left w:val="nil"/>
              <w:bottom w:val="nil"/>
              <w:right w:val="nil"/>
            </w:tcBorders>
            <w:shd w:val="clear" w:color="auto" w:fill="auto"/>
            <w:noWrap/>
            <w:vAlign w:val="bottom"/>
            <w:hideMark/>
          </w:tcPr>
          <w:p w14:paraId="195BBA83" w14:textId="77777777" w:rsidR="009C6661" w:rsidRPr="00166607" w:rsidRDefault="009C6661" w:rsidP="009C6661">
            <w:pPr>
              <w:rPr>
                <w:rFonts w:ascii="Times New Roman" w:eastAsia="Times New Roman" w:hAnsi="Times New Roman"/>
                <w:color w:val="000000"/>
                <w:sz w:val="22"/>
                <w:szCs w:val="22"/>
              </w:rPr>
            </w:pPr>
          </w:p>
        </w:tc>
        <w:tc>
          <w:tcPr>
            <w:tcW w:w="1177" w:type="dxa"/>
            <w:tcBorders>
              <w:top w:val="nil"/>
              <w:left w:val="nil"/>
              <w:bottom w:val="nil"/>
              <w:right w:val="nil"/>
            </w:tcBorders>
            <w:shd w:val="clear" w:color="auto" w:fill="auto"/>
            <w:noWrap/>
            <w:vAlign w:val="bottom"/>
            <w:hideMark/>
          </w:tcPr>
          <w:p w14:paraId="6F0EF2AD" w14:textId="77777777" w:rsidR="009C6661" w:rsidRPr="00166607" w:rsidRDefault="009C6661" w:rsidP="009C6661">
            <w:pPr>
              <w:rPr>
                <w:rFonts w:ascii="Times New Roman" w:eastAsia="Times New Roman" w:hAnsi="Times New Roman"/>
                <w:color w:val="000000"/>
                <w:sz w:val="22"/>
                <w:szCs w:val="22"/>
              </w:rPr>
            </w:pPr>
          </w:p>
        </w:tc>
        <w:tc>
          <w:tcPr>
            <w:tcW w:w="1420" w:type="dxa"/>
            <w:tcBorders>
              <w:top w:val="nil"/>
              <w:left w:val="nil"/>
              <w:bottom w:val="nil"/>
              <w:right w:val="nil"/>
            </w:tcBorders>
            <w:shd w:val="clear" w:color="auto" w:fill="auto"/>
            <w:noWrap/>
            <w:vAlign w:val="bottom"/>
            <w:hideMark/>
          </w:tcPr>
          <w:p w14:paraId="2B80D4CE" w14:textId="77777777" w:rsidR="009C6661" w:rsidRPr="00166607" w:rsidRDefault="009C6661" w:rsidP="009C6661">
            <w:pPr>
              <w:rPr>
                <w:rFonts w:ascii="Times New Roman" w:eastAsia="Times New Roman" w:hAnsi="Times New Roman"/>
                <w:color w:val="000000"/>
                <w:sz w:val="22"/>
                <w:szCs w:val="22"/>
              </w:rPr>
            </w:pPr>
          </w:p>
        </w:tc>
        <w:tc>
          <w:tcPr>
            <w:tcW w:w="1190" w:type="dxa"/>
            <w:tcBorders>
              <w:top w:val="nil"/>
              <w:left w:val="nil"/>
              <w:bottom w:val="nil"/>
              <w:right w:val="nil"/>
            </w:tcBorders>
            <w:shd w:val="clear" w:color="auto" w:fill="auto"/>
            <w:noWrap/>
            <w:vAlign w:val="bottom"/>
            <w:hideMark/>
          </w:tcPr>
          <w:p w14:paraId="0870A35A" w14:textId="77777777" w:rsidR="009C6661" w:rsidRPr="00166607" w:rsidRDefault="009C6661" w:rsidP="009C6661">
            <w:pPr>
              <w:rPr>
                <w:rFonts w:ascii="Times New Roman" w:eastAsia="Times New Roman" w:hAnsi="Times New Roman"/>
                <w:color w:val="000000"/>
                <w:sz w:val="22"/>
                <w:szCs w:val="22"/>
              </w:rPr>
            </w:pPr>
          </w:p>
        </w:tc>
        <w:tc>
          <w:tcPr>
            <w:tcW w:w="1420" w:type="dxa"/>
            <w:tcBorders>
              <w:top w:val="nil"/>
              <w:left w:val="nil"/>
              <w:bottom w:val="nil"/>
              <w:right w:val="nil"/>
            </w:tcBorders>
            <w:shd w:val="clear" w:color="auto" w:fill="auto"/>
            <w:noWrap/>
            <w:vAlign w:val="bottom"/>
            <w:hideMark/>
          </w:tcPr>
          <w:p w14:paraId="6437763B" w14:textId="77777777" w:rsidR="009C6661" w:rsidRPr="00166607" w:rsidRDefault="009C6661" w:rsidP="009C6661">
            <w:pPr>
              <w:rPr>
                <w:rFonts w:ascii="Times New Roman" w:eastAsia="Times New Roman" w:hAnsi="Times New Roman"/>
                <w:color w:val="000000"/>
                <w:sz w:val="22"/>
                <w:szCs w:val="22"/>
              </w:rPr>
            </w:pPr>
          </w:p>
        </w:tc>
      </w:tr>
      <w:tr w:rsidR="009C6661" w:rsidRPr="00166607" w14:paraId="4636BA97" w14:textId="77777777" w:rsidTr="009C6661">
        <w:trPr>
          <w:trHeight w:val="320"/>
        </w:trPr>
        <w:tc>
          <w:tcPr>
            <w:tcW w:w="5200" w:type="dxa"/>
            <w:tcBorders>
              <w:top w:val="double" w:sz="6" w:space="0" w:color="auto"/>
              <w:left w:val="nil"/>
              <w:bottom w:val="nil"/>
              <w:right w:val="nil"/>
            </w:tcBorders>
            <w:shd w:val="clear" w:color="000000" w:fill="FFFFFF"/>
            <w:vAlign w:val="center"/>
            <w:hideMark/>
          </w:tcPr>
          <w:p w14:paraId="579D2E71"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2278" w:type="dxa"/>
            <w:gridSpan w:val="2"/>
            <w:tcBorders>
              <w:top w:val="double" w:sz="6" w:space="0" w:color="auto"/>
              <w:left w:val="nil"/>
              <w:bottom w:val="single" w:sz="8" w:space="0" w:color="auto"/>
              <w:right w:val="nil"/>
            </w:tcBorders>
            <w:shd w:val="clear" w:color="000000" w:fill="FFFFFF"/>
            <w:noWrap/>
            <w:vAlign w:val="center"/>
            <w:hideMark/>
          </w:tcPr>
          <w:p w14:paraId="440B9837"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All</w:t>
            </w:r>
          </w:p>
        </w:tc>
        <w:tc>
          <w:tcPr>
            <w:tcW w:w="2597" w:type="dxa"/>
            <w:gridSpan w:val="2"/>
            <w:tcBorders>
              <w:top w:val="double" w:sz="6" w:space="0" w:color="auto"/>
              <w:left w:val="nil"/>
              <w:bottom w:val="single" w:sz="8" w:space="0" w:color="auto"/>
              <w:right w:val="nil"/>
            </w:tcBorders>
            <w:shd w:val="clear" w:color="000000" w:fill="FFFFFF"/>
            <w:noWrap/>
            <w:vAlign w:val="center"/>
            <w:hideMark/>
          </w:tcPr>
          <w:p w14:paraId="0BDB56CB"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Academic School Applicants</w:t>
            </w:r>
          </w:p>
        </w:tc>
        <w:tc>
          <w:tcPr>
            <w:tcW w:w="2610" w:type="dxa"/>
            <w:gridSpan w:val="2"/>
            <w:tcBorders>
              <w:top w:val="double" w:sz="6" w:space="0" w:color="auto"/>
              <w:left w:val="nil"/>
              <w:bottom w:val="single" w:sz="8" w:space="0" w:color="auto"/>
              <w:right w:val="nil"/>
            </w:tcBorders>
            <w:shd w:val="clear" w:color="000000" w:fill="FFFFFF"/>
            <w:noWrap/>
            <w:vAlign w:val="center"/>
            <w:hideMark/>
          </w:tcPr>
          <w:p w14:paraId="789D50EE"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Vocational School Applicants</w:t>
            </w:r>
          </w:p>
        </w:tc>
      </w:tr>
      <w:tr w:rsidR="009C6661" w:rsidRPr="00166607" w14:paraId="3CD20D63" w14:textId="77777777" w:rsidTr="009C6661">
        <w:trPr>
          <w:trHeight w:val="1300"/>
        </w:trPr>
        <w:tc>
          <w:tcPr>
            <w:tcW w:w="5200" w:type="dxa"/>
            <w:tcBorders>
              <w:top w:val="nil"/>
              <w:left w:val="nil"/>
              <w:bottom w:val="nil"/>
              <w:right w:val="nil"/>
            </w:tcBorders>
            <w:shd w:val="clear" w:color="000000" w:fill="FFFFFF"/>
            <w:vAlign w:val="center"/>
            <w:hideMark/>
          </w:tcPr>
          <w:p w14:paraId="3CA0FDB6" w14:textId="77777777" w:rsidR="009C6661" w:rsidRPr="00166607" w:rsidRDefault="009C6661" w:rsidP="009C6661">
            <w:pPr>
              <w:jc w:val="center"/>
              <w:rPr>
                <w:rFonts w:ascii="Times New Roman" w:eastAsia="Times New Roman" w:hAnsi="Times New Roman"/>
                <w:b/>
                <w:bCs/>
                <w:color w:val="000000"/>
                <w:sz w:val="22"/>
                <w:szCs w:val="22"/>
              </w:rPr>
            </w:pPr>
            <w:r w:rsidRPr="00166607">
              <w:rPr>
                <w:rFonts w:ascii="Times New Roman" w:eastAsia="Times New Roman" w:hAnsi="Times New Roman"/>
                <w:b/>
                <w:bCs/>
                <w:color w:val="000000"/>
                <w:sz w:val="22"/>
                <w:szCs w:val="22"/>
              </w:rPr>
              <w:t> </w:t>
            </w:r>
          </w:p>
        </w:tc>
        <w:tc>
          <w:tcPr>
            <w:tcW w:w="968" w:type="dxa"/>
            <w:tcBorders>
              <w:top w:val="nil"/>
              <w:left w:val="nil"/>
              <w:bottom w:val="nil"/>
              <w:right w:val="nil"/>
            </w:tcBorders>
            <w:shd w:val="clear" w:color="000000" w:fill="FFFFFF"/>
            <w:vAlign w:val="center"/>
            <w:hideMark/>
          </w:tcPr>
          <w:p w14:paraId="0731F434"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Loser's</w:t>
            </w:r>
            <w:r w:rsidRPr="00166607">
              <w:rPr>
                <w:rFonts w:ascii="Times New Roman" w:eastAsia="Times New Roman" w:hAnsi="Times New Roman"/>
                <w:color w:val="000000"/>
                <w:sz w:val="22"/>
                <w:szCs w:val="22"/>
              </w:rPr>
              <w:br/>
              <w:t>Mean</w:t>
            </w:r>
            <w:r w:rsidRPr="00166607">
              <w:rPr>
                <w:rFonts w:ascii="Times New Roman" w:eastAsia="Times New Roman" w:hAnsi="Times New Roman"/>
                <w:color w:val="000000"/>
                <w:sz w:val="22"/>
                <w:szCs w:val="22"/>
              </w:rPr>
              <w:br/>
              <w:t>(s.d)</w:t>
            </w:r>
          </w:p>
        </w:tc>
        <w:tc>
          <w:tcPr>
            <w:tcW w:w="1310" w:type="dxa"/>
            <w:tcBorders>
              <w:top w:val="nil"/>
              <w:left w:val="nil"/>
              <w:bottom w:val="nil"/>
              <w:right w:val="nil"/>
            </w:tcBorders>
            <w:shd w:val="clear" w:color="000000" w:fill="FFFFFF"/>
            <w:vAlign w:val="center"/>
            <w:hideMark/>
          </w:tcPr>
          <w:p w14:paraId="22723480"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Won a Scholarship, Application Controls            (s.e)</w:t>
            </w:r>
          </w:p>
        </w:tc>
        <w:tc>
          <w:tcPr>
            <w:tcW w:w="1177" w:type="dxa"/>
            <w:tcBorders>
              <w:top w:val="nil"/>
              <w:left w:val="nil"/>
              <w:bottom w:val="nil"/>
              <w:right w:val="nil"/>
            </w:tcBorders>
            <w:shd w:val="clear" w:color="000000" w:fill="FFFFFF"/>
            <w:vAlign w:val="center"/>
            <w:hideMark/>
          </w:tcPr>
          <w:p w14:paraId="1254E287"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Loser's</w:t>
            </w:r>
            <w:r w:rsidRPr="00166607">
              <w:rPr>
                <w:rFonts w:ascii="Times New Roman" w:eastAsia="Times New Roman" w:hAnsi="Times New Roman"/>
                <w:color w:val="000000"/>
                <w:sz w:val="22"/>
                <w:szCs w:val="22"/>
              </w:rPr>
              <w:br/>
              <w:t>Mean</w:t>
            </w:r>
            <w:r w:rsidRPr="00166607">
              <w:rPr>
                <w:rFonts w:ascii="Times New Roman" w:eastAsia="Times New Roman" w:hAnsi="Times New Roman"/>
                <w:color w:val="000000"/>
                <w:sz w:val="22"/>
                <w:szCs w:val="22"/>
              </w:rPr>
              <w:br/>
              <w:t>(s.d)</w:t>
            </w:r>
          </w:p>
        </w:tc>
        <w:tc>
          <w:tcPr>
            <w:tcW w:w="1420" w:type="dxa"/>
            <w:tcBorders>
              <w:top w:val="nil"/>
              <w:left w:val="nil"/>
              <w:bottom w:val="nil"/>
              <w:right w:val="nil"/>
            </w:tcBorders>
            <w:shd w:val="clear" w:color="000000" w:fill="FFFFFF"/>
            <w:vAlign w:val="center"/>
            <w:hideMark/>
          </w:tcPr>
          <w:p w14:paraId="5D830838"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Won a Scholarship, Application Controls           (s.e)</w:t>
            </w:r>
          </w:p>
        </w:tc>
        <w:tc>
          <w:tcPr>
            <w:tcW w:w="1190" w:type="dxa"/>
            <w:tcBorders>
              <w:top w:val="nil"/>
              <w:left w:val="nil"/>
              <w:bottom w:val="nil"/>
              <w:right w:val="nil"/>
            </w:tcBorders>
            <w:shd w:val="clear" w:color="000000" w:fill="FFFFFF"/>
            <w:vAlign w:val="center"/>
            <w:hideMark/>
          </w:tcPr>
          <w:p w14:paraId="06DF2882"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Loser's</w:t>
            </w:r>
            <w:r w:rsidRPr="00166607">
              <w:rPr>
                <w:rFonts w:ascii="Times New Roman" w:eastAsia="Times New Roman" w:hAnsi="Times New Roman"/>
                <w:color w:val="000000"/>
                <w:sz w:val="22"/>
                <w:szCs w:val="22"/>
              </w:rPr>
              <w:br/>
              <w:t>Mean</w:t>
            </w:r>
            <w:r w:rsidRPr="00166607">
              <w:rPr>
                <w:rFonts w:ascii="Times New Roman" w:eastAsia="Times New Roman" w:hAnsi="Times New Roman"/>
                <w:color w:val="000000"/>
                <w:sz w:val="22"/>
                <w:szCs w:val="22"/>
              </w:rPr>
              <w:br/>
              <w:t>(s.d)</w:t>
            </w:r>
          </w:p>
        </w:tc>
        <w:tc>
          <w:tcPr>
            <w:tcW w:w="1420" w:type="dxa"/>
            <w:tcBorders>
              <w:top w:val="nil"/>
              <w:left w:val="nil"/>
              <w:bottom w:val="nil"/>
              <w:right w:val="nil"/>
            </w:tcBorders>
            <w:shd w:val="clear" w:color="000000" w:fill="FFFFFF"/>
            <w:vAlign w:val="center"/>
            <w:hideMark/>
          </w:tcPr>
          <w:p w14:paraId="3A21C6BD"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Won a Scholarship, Application Controls                 (s.e)</w:t>
            </w:r>
          </w:p>
        </w:tc>
      </w:tr>
      <w:tr w:rsidR="009C6661" w:rsidRPr="00166607" w14:paraId="038E1820" w14:textId="77777777" w:rsidTr="009C6661">
        <w:trPr>
          <w:trHeight w:val="280"/>
        </w:trPr>
        <w:tc>
          <w:tcPr>
            <w:tcW w:w="5200" w:type="dxa"/>
            <w:tcBorders>
              <w:top w:val="nil"/>
              <w:left w:val="nil"/>
              <w:bottom w:val="nil"/>
              <w:right w:val="nil"/>
            </w:tcBorders>
            <w:shd w:val="clear" w:color="000000" w:fill="FFFFFF"/>
            <w:vAlign w:val="center"/>
            <w:hideMark/>
          </w:tcPr>
          <w:p w14:paraId="615868CD"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968" w:type="dxa"/>
            <w:tcBorders>
              <w:top w:val="nil"/>
              <w:left w:val="nil"/>
              <w:bottom w:val="nil"/>
              <w:right w:val="nil"/>
            </w:tcBorders>
            <w:shd w:val="clear" w:color="000000" w:fill="FFFFFF"/>
            <w:vAlign w:val="center"/>
            <w:hideMark/>
          </w:tcPr>
          <w:p w14:paraId="17B97883"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vAlign w:val="center"/>
            <w:hideMark/>
          </w:tcPr>
          <w:p w14:paraId="4150EC9E"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177" w:type="dxa"/>
            <w:tcBorders>
              <w:top w:val="nil"/>
              <w:left w:val="nil"/>
              <w:bottom w:val="nil"/>
              <w:right w:val="nil"/>
            </w:tcBorders>
            <w:shd w:val="clear" w:color="000000" w:fill="FFFFFF"/>
            <w:vAlign w:val="center"/>
            <w:hideMark/>
          </w:tcPr>
          <w:p w14:paraId="5892379F"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420" w:type="dxa"/>
            <w:tcBorders>
              <w:top w:val="nil"/>
              <w:left w:val="nil"/>
              <w:bottom w:val="nil"/>
              <w:right w:val="nil"/>
            </w:tcBorders>
            <w:shd w:val="clear" w:color="000000" w:fill="FFFFFF"/>
            <w:vAlign w:val="center"/>
            <w:hideMark/>
          </w:tcPr>
          <w:p w14:paraId="7C6CC0E0"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190" w:type="dxa"/>
            <w:tcBorders>
              <w:top w:val="nil"/>
              <w:left w:val="nil"/>
              <w:bottom w:val="nil"/>
              <w:right w:val="nil"/>
            </w:tcBorders>
            <w:shd w:val="clear" w:color="000000" w:fill="FFFFFF"/>
            <w:vAlign w:val="center"/>
            <w:hideMark/>
          </w:tcPr>
          <w:p w14:paraId="733043B6"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420" w:type="dxa"/>
            <w:tcBorders>
              <w:top w:val="nil"/>
              <w:left w:val="nil"/>
              <w:bottom w:val="nil"/>
              <w:right w:val="nil"/>
            </w:tcBorders>
            <w:shd w:val="clear" w:color="000000" w:fill="FFFFFF"/>
            <w:vAlign w:val="center"/>
            <w:hideMark/>
          </w:tcPr>
          <w:p w14:paraId="1DA2A484"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r>
      <w:tr w:rsidR="009C6661" w:rsidRPr="00166607" w14:paraId="0923AC10" w14:textId="77777777" w:rsidTr="009C6661">
        <w:trPr>
          <w:trHeight w:val="280"/>
        </w:trPr>
        <w:tc>
          <w:tcPr>
            <w:tcW w:w="5200" w:type="dxa"/>
            <w:tcBorders>
              <w:top w:val="nil"/>
              <w:left w:val="nil"/>
              <w:bottom w:val="nil"/>
              <w:right w:val="nil"/>
            </w:tcBorders>
            <w:shd w:val="clear" w:color="000000" w:fill="FFFFFF"/>
            <w:vAlign w:val="center"/>
            <w:hideMark/>
          </w:tcPr>
          <w:p w14:paraId="7D4031A1"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968" w:type="dxa"/>
            <w:tcBorders>
              <w:top w:val="nil"/>
              <w:left w:val="nil"/>
              <w:bottom w:val="nil"/>
              <w:right w:val="nil"/>
            </w:tcBorders>
            <w:shd w:val="clear" w:color="000000" w:fill="FFFFFF"/>
            <w:noWrap/>
            <w:vAlign w:val="center"/>
            <w:hideMark/>
          </w:tcPr>
          <w:p w14:paraId="22BCDB8F" w14:textId="77777777" w:rsidR="009C6661" w:rsidRPr="00166607" w:rsidRDefault="009C6661" w:rsidP="009C6661">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w:t>
            </w:r>
          </w:p>
        </w:tc>
        <w:tc>
          <w:tcPr>
            <w:tcW w:w="1310" w:type="dxa"/>
            <w:tcBorders>
              <w:top w:val="nil"/>
              <w:left w:val="nil"/>
              <w:bottom w:val="nil"/>
              <w:right w:val="nil"/>
            </w:tcBorders>
            <w:shd w:val="clear" w:color="000000" w:fill="FFFFFF"/>
            <w:noWrap/>
            <w:vAlign w:val="center"/>
            <w:hideMark/>
          </w:tcPr>
          <w:p w14:paraId="423FD058" w14:textId="77777777" w:rsidR="009C6661" w:rsidRPr="00166607" w:rsidRDefault="009C6661" w:rsidP="009C6661">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(2)</w:t>
            </w:r>
          </w:p>
        </w:tc>
        <w:tc>
          <w:tcPr>
            <w:tcW w:w="1177" w:type="dxa"/>
            <w:tcBorders>
              <w:top w:val="nil"/>
              <w:left w:val="nil"/>
              <w:bottom w:val="nil"/>
              <w:right w:val="nil"/>
            </w:tcBorders>
            <w:shd w:val="clear" w:color="000000" w:fill="FFFFFF"/>
            <w:noWrap/>
            <w:vAlign w:val="center"/>
            <w:hideMark/>
          </w:tcPr>
          <w:p w14:paraId="2528A02E" w14:textId="77777777" w:rsidR="009C6661" w:rsidRPr="00166607" w:rsidRDefault="009C6661" w:rsidP="009C6661">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(3)</w:t>
            </w:r>
          </w:p>
        </w:tc>
        <w:tc>
          <w:tcPr>
            <w:tcW w:w="1420" w:type="dxa"/>
            <w:tcBorders>
              <w:top w:val="nil"/>
              <w:left w:val="nil"/>
              <w:bottom w:val="nil"/>
              <w:right w:val="nil"/>
            </w:tcBorders>
            <w:shd w:val="clear" w:color="000000" w:fill="FFFFFF"/>
            <w:noWrap/>
            <w:vAlign w:val="center"/>
            <w:hideMark/>
          </w:tcPr>
          <w:p w14:paraId="2295C0E1" w14:textId="77777777" w:rsidR="009C6661" w:rsidRPr="00166607" w:rsidRDefault="009C6661" w:rsidP="009C6661">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(4)</w:t>
            </w:r>
          </w:p>
        </w:tc>
        <w:tc>
          <w:tcPr>
            <w:tcW w:w="1190" w:type="dxa"/>
            <w:tcBorders>
              <w:top w:val="nil"/>
              <w:left w:val="nil"/>
              <w:bottom w:val="nil"/>
              <w:right w:val="nil"/>
            </w:tcBorders>
            <w:shd w:val="clear" w:color="000000" w:fill="FFFFFF"/>
            <w:noWrap/>
            <w:vAlign w:val="center"/>
            <w:hideMark/>
          </w:tcPr>
          <w:p w14:paraId="66154C1B" w14:textId="77777777" w:rsidR="009C6661" w:rsidRPr="00166607" w:rsidRDefault="009C6661" w:rsidP="009C6661">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(5)</w:t>
            </w:r>
          </w:p>
        </w:tc>
        <w:tc>
          <w:tcPr>
            <w:tcW w:w="1420" w:type="dxa"/>
            <w:tcBorders>
              <w:top w:val="nil"/>
              <w:left w:val="nil"/>
              <w:bottom w:val="nil"/>
              <w:right w:val="nil"/>
            </w:tcBorders>
            <w:shd w:val="clear" w:color="000000" w:fill="FFFFFF"/>
            <w:noWrap/>
            <w:vAlign w:val="center"/>
            <w:hideMark/>
          </w:tcPr>
          <w:p w14:paraId="5A1595E1" w14:textId="77777777" w:rsidR="009C6661" w:rsidRPr="00166607" w:rsidRDefault="009C6661" w:rsidP="009C6661">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(6)</w:t>
            </w:r>
          </w:p>
        </w:tc>
      </w:tr>
      <w:tr w:rsidR="009C6661" w:rsidRPr="00166607" w14:paraId="060CDB2C" w14:textId="77777777" w:rsidTr="009C6661">
        <w:trPr>
          <w:trHeight w:val="300"/>
        </w:trPr>
        <w:tc>
          <w:tcPr>
            <w:tcW w:w="5200" w:type="dxa"/>
            <w:tcBorders>
              <w:top w:val="nil"/>
              <w:left w:val="nil"/>
              <w:bottom w:val="single" w:sz="8" w:space="0" w:color="auto"/>
              <w:right w:val="nil"/>
            </w:tcBorders>
            <w:shd w:val="clear" w:color="000000" w:fill="FFFFFF"/>
            <w:vAlign w:val="center"/>
            <w:hideMark/>
          </w:tcPr>
          <w:p w14:paraId="388C94B1"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968" w:type="dxa"/>
            <w:tcBorders>
              <w:top w:val="nil"/>
              <w:left w:val="nil"/>
              <w:bottom w:val="single" w:sz="8" w:space="0" w:color="auto"/>
              <w:right w:val="nil"/>
            </w:tcBorders>
            <w:shd w:val="clear" w:color="000000" w:fill="FFFFFF"/>
            <w:noWrap/>
            <w:vAlign w:val="center"/>
            <w:hideMark/>
          </w:tcPr>
          <w:p w14:paraId="04310A98"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single" w:sz="8" w:space="0" w:color="auto"/>
              <w:right w:val="nil"/>
            </w:tcBorders>
            <w:shd w:val="clear" w:color="000000" w:fill="FFFFFF"/>
            <w:noWrap/>
            <w:vAlign w:val="center"/>
            <w:hideMark/>
          </w:tcPr>
          <w:p w14:paraId="687016D9"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177" w:type="dxa"/>
            <w:tcBorders>
              <w:top w:val="nil"/>
              <w:left w:val="nil"/>
              <w:bottom w:val="single" w:sz="8" w:space="0" w:color="auto"/>
              <w:right w:val="nil"/>
            </w:tcBorders>
            <w:shd w:val="clear" w:color="000000" w:fill="FFFFFF"/>
            <w:noWrap/>
            <w:vAlign w:val="center"/>
            <w:hideMark/>
          </w:tcPr>
          <w:p w14:paraId="2F29746D"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420" w:type="dxa"/>
            <w:tcBorders>
              <w:top w:val="nil"/>
              <w:left w:val="nil"/>
              <w:bottom w:val="single" w:sz="8" w:space="0" w:color="auto"/>
              <w:right w:val="nil"/>
            </w:tcBorders>
            <w:shd w:val="clear" w:color="000000" w:fill="FFFFFF"/>
            <w:noWrap/>
            <w:vAlign w:val="center"/>
            <w:hideMark/>
          </w:tcPr>
          <w:p w14:paraId="64643B28"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190" w:type="dxa"/>
            <w:tcBorders>
              <w:top w:val="nil"/>
              <w:left w:val="nil"/>
              <w:bottom w:val="single" w:sz="8" w:space="0" w:color="auto"/>
              <w:right w:val="nil"/>
            </w:tcBorders>
            <w:shd w:val="clear" w:color="000000" w:fill="FFFFFF"/>
            <w:noWrap/>
            <w:vAlign w:val="center"/>
            <w:hideMark/>
          </w:tcPr>
          <w:p w14:paraId="743E6B42"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420" w:type="dxa"/>
            <w:tcBorders>
              <w:top w:val="nil"/>
              <w:left w:val="nil"/>
              <w:bottom w:val="single" w:sz="8" w:space="0" w:color="auto"/>
              <w:right w:val="nil"/>
            </w:tcBorders>
            <w:shd w:val="clear" w:color="000000" w:fill="FFFFFF"/>
            <w:noWrap/>
            <w:vAlign w:val="center"/>
            <w:hideMark/>
          </w:tcPr>
          <w:p w14:paraId="19A5BB3D"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r>
      <w:tr w:rsidR="009C6661" w:rsidRPr="00166607" w14:paraId="53A34C57" w14:textId="77777777" w:rsidTr="009C6661">
        <w:trPr>
          <w:trHeight w:val="300"/>
        </w:trPr>
        <w:tc>
          <w:tcPr>
            <w:tcW w:w="5200" w:type="dxa"/>
            <w:tcBorders>
              <w:top w:val="nil"/>
              <w:left w:val="nil"/>
              <w:bottom w:val="single" w:sz="8" w:space="0" w:color="auto"/>
              <w:right w:val="nil"/>
            </w:tcBorders>
            <w:shd w:val="clear" w:color="000000" w:fill="FFFFFF"/>
            <w:vAlign w:val="center"/>
            <w:hideMark/>
          </w:tcPr>
          <w:p w14:paraId="3640C974"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7485" w:type="dxa"/>
            <w:gridSpan w:val="6"/>
            <w:tcBorders>
              <w:top w:val="single" w:sz="8" w:space="0" w:color="auto"/>
              <w:left w:val="nil"/>
              <w:bottom w:val="single" w:sz="8" w:space="0" w:color="auto"/>
              <w:right w:val="nil"/>
            </w:tcBorders>
            <w:shd w:val="clear" w:color="000000" w:fill="FFFFFF"/>
            <w:noWrap/>
            <w:vAlign w:val="center"/>
            <w:hideMark/>
          </w:tcPr>
          <w:p w14:paraId="6E7D2FE5" w14:textId="77777777" w:rsidR="009C6661" w:rsidRPr="00166607" w:rsidRDefault="009C6661" w:rsidP="009C6661">
            <w:pPr>
              <w:jc w:val="center"/>
              <w:rPr>
                <w:rFonts w:ascii="Times New Roman" w:eastAsia="Times New Roman" w:hAnsi="Times New Roman"/>
                <w:i/>
                <w:iCs/>
                <w:color w:val="000000"/>
                <w:sz w:val="22"/>
                <w:szCs w:val="22"/>
              </w:rPr>
            </w:pPr>
            <w:r w:rsidRPr="00166607">
              <w:rPr>
                <w:rFonts w:ascii="Times New Roman" w:eastAsia="Times New Roman" w:hAnsi="Times New Roman"/>
                <w:i/>
                <w:iCs/>
                <w:color w:val="000000"/>
                <w:sz w:val="22"/>
                <w:szCs w:val="22"/>
              </w:rPr>
              <w:t xml:space="preserve">A. All applicants </w:t>
            </w:r>
          </w:p>
        </w:tc>
      </w:tr>
      <w:tr w:rsidR="009C6661" w:rsidRPr="00166607" w14:paraId="10481482" w14:textId="77777777" w:rsidTr="009C6661">
        <w:trPr>
          <w:trHeight w:val="280"/>
        </w:trPr>
        <w:tc>
          <w:tcPr>
            <w:tcW w:w="5200" w:type="dxa"/>
            <w:tcBorders>
              <w:top w:val="nil"/>
              <w:left w:val="nil"/>
              <w:bottom w:val="nil"/>
              <w:right w:val="nil"/>
            </w:tcBorders>
            <w:shd w:val="clear" w:color="000000" w:fill="FFFFFF"/>
            <w:noWrap/>
            <w:vAlign w:val="center"/>
            <w:hideMark/>
          </w:tcPr>
          <w:p w14:paraId="3AB49207"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Average annual formal sector tenure 2008-2014 (months)</w:t>
            </w:r>
          </w:p>
        </w:tc>
        <w:tc>
          <w:tcPr>
            <w:tcW w:w="968" w:type="dxa"/>
            <w:tcBorders>
              <w:top w:val="nil"/>
              <w:left w:val="nil"/>
              <w:bottom w:val="nil"/>
              <w:right w:val="nil"/>
            </w:tcBorders>
            <w:shd w:val="clear" w:color="000000" w:fill="FFFFFF"/>
            <w:noWrap/>
            <w:vAlign w:val="bottom"/>
            <w:hideMark/>
          </w:tcPr>
          <w:p w14:paraId="3C52EA03"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5.52</w:t>
            </w:r>
          </w:p>
        </w:tc>
        <w:tc>
          <w:tcPr>
            <w:tcW w:w="1310" w:type="dxa"/>
            <w:tcBorders>
              <w:top w:val="nil"/>
              <w:left w:val="nil"/>
              <w:bottom w:val="nil"/>
              <w:right w:val="nil"/>
            </w:tcBorders>
            <w:shd w:val="clear" w:color="000000" w:fill="FFFFFF"/>
            <w:noWrap/>
            <w:vAlign w:val="bottom"/>
            <w:hideMark/>
          </w:tcPr>
          <w:p w14:paraId="53E85C44"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0.23</w:t>
            </w:r>
          </w:p>
        </w:tc>
        <w:tc>
          <w:tcPr>
            <w:tcW w:w="1177" w:type="dxa"/>
            <w:tcBorders>
              <w:top w:val="nil"/>
              <w:left w:val="nil"/>
              <w:bottom w:val="nil"/>
              <w:right w:val="nil"/>
            </w:tcBorders>
            <w:shd w:val="clear" w:color="000000" w:fill="FFFFFF"/>
            <w:noWrap/>
            <w:vAlign w:val="bottom"/>
            <w:hideMark/>
          </w:tcPr>
          <w:p w14:paraId="14287B1E"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5.57</w:t>
            </w:r>
          </w:p>
        </w:tc>
        <w:tc>
          <w:tcPr>
            <w:tcW w:w="1420" w:type="dxa"/>
            <w:tcBorders>
              <w:top w:val="nil"/>
              <w:left w:val="nil"/>
              <w:bottom w:val="nil"/>
              <w:right w:val="nil"/>
            </w:tcBorders>
            <w:shd w:val="clear" w:color="000000" w:fill="FFFFFF"/>
            <w:noWrap/>
            <w:vAlign w:val="bottom"/>
            <w:hideMark/>
          </w:tcPr>
          <w:p w14:paraId="7007DC47"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0.22</w:t>
            </w:r>
          </w:p>
        </w:tc>
        <w:tc>
          <w:tcPr>
            <w:tcW w:w="1190" w:type="dxa"/>
            <w:tcBorders>
              <w:top w:val="nil"/>
              <w:left w:val="nil"/>
              <w:bottom w:val="nil"/>
              <w:right w:val="nil"/>
            </w:tcBorders>
            <w:shd w:val="clear" w:color="000000" w:fill="FFFFFF"/>
            <w:noWrap/>
            <w:vAlign w:val="bottom"/>
            <w:hideMark/>
          </w:tcPr>
          <w:p w14:paraId="789A7A56"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5.59</w:t>
            </w:r>
          </w:p>
        </w:tc>
        <w:tc>
          <w:tcPr>
            <w:tcW w:w="1420" w:type="dxa"/>
            <w:tcBorders>
              <w:top w:val="nil"/>
              <w:left w:val="nil"/>
              <w:bottom w:val="nil"/>
              <w:right w:val="nil"/>
            </w:tcBorders>
            <w:shd w:val="clear" w:color="000000" w:fill="FFFFFF"/>
            <w:noWrap/>
            <w:vAlign w:val="bottom"/>
            <w:hideMark/>
          </w:tcPr>
          <w:p w14:paraId="595440D5"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0.28</w:t>
            </w:r>
          </w:p>
        </w:tc>
      </w:tr>
      <w:tr w:rsidR="009C6661" w:rsidRPr="00166607" w14:paraId="7588BB9A" w14:textId="77777777" w:rsidTr="009C6661">
        <w:trPr>
          <w:trHeight w:val="280"/>
        </w:trPr>
        <w:tc>
          <w:tcPr>
            <w:tcW w:w="5200" w:type="dxa"/>
            <w:tcBorders>
              <w:top w:val="nil"/>
              <w:left w:val="nil"/>
              <w:bottom w:val="nil"/>
              <w:right w:val="nil"/>
            </w:tcBorders>
            <w:shd w:val="clear" w:color="000000" w:fill="FFFFFF"/>
            <w:noWrap/>
            <w:vAlign w:val="center"/>
            <w:hideMark/>
          </w:tcPr>
          <w:p w14:paraId="38476CA2"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968" w:type="dxa"/>
            <w:tcBorders>
              <w:top w:val="nil"/>
              <w:left w:val="nil"/>
              <w:bottom w:val="nil"/>
              <w:right w:val="nil"/>
            </w:tcBorders>
            <w:shd w:val="clear" w:color="000000" w:fill="FFFFFF"/>
            <w:noWrap/>
            <w:vAlign w:val="bottom"/>
            <w:hideMark/>
          </w:tcPr>
          <w:p w14:paraId="271F5F8A"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(4.4)</w:t>
            </w:r>
          </w:p>
        </w:tc>
        <w:tc>
          <w:tcPr>
            <w:tcW w:w="1310" w:type="dxa"/>
            <w:tcBorders>
              <w:top w:val="nil"/>
              <w:left w:val="nil"/>
              <w:bottom w:val="nil"/>
              <w:right w:val="nil"/>
            </w:tcBorders>
            <w:shd w:val="clear" w:color="000000" w:fill="FFFFFF"/>
            <w:noWrap/>
            <w:vAlign w:val="bottom"/>
            <w:hideMark/>
          </w:tcPr>
          <w:p w14:paraId="79A0FF0E"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(0.15)</w:t>
            </w:r>
          </w:p>
        </w:tc>
        <w:tc>
          <w:tcPr>
            <w:tcW w:w="1177" w:type="dxa"/>
            <w:tcBorders>
              <w:top w:val="nil"/>
              <w:left w:val="nil"/>
              <w:bottom w:val="nil"/>
              <w:right w:val="nil"/>
            </w:tcBorders>
            <w:shd w:val="clear" w:color="000000" w:fill="FFFFFF"/>
            <w:noWrap/>
            <w:vAlign w:val="bottom"/>
            <w:hideMark/>
          </w:tcPr>
          <w:p w14:paraId="3065B8B1"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(4.4)</w:t>
            </w:r>
          </w:p>
        </w:tc>
        <w:tc>
          <w:tcPr>
            <w:tcW w:w="1420" w:type="dxa"/>
            <w:tcBorders>
              <w:top w:val="nil"/>
              <w:left w:val="nil"/>
              <w:bottom w:val="nil"/>
              <w:right w:val="nil"/>
            </w:tcBorders>
            <w:shd w:val="clear" w:color="000000" w:fill="FFFFFF"/>
            <w:noWrap/>
            <w:vAlign w:val="bottom"/>
            <w:hideMark/>
          </w:tcPr>
          <w:p w14:paraId="496B3AD6"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w:t>
            </w:r>
          </w:p>
        </w:tc>
        <w:tc>
          <w:tcPr>
            <w:tcW w:w="1190" w:type="dxa"/>
            <w:tcBorders>
              <w:top w:val="nil"/>
              <w:left w:val="nil"/>
              <w:bottom w:val="nil"/>
              <w:right w:val="nil"/>
            </w:tcBorders>
            <w:shd w:val="clear" w:color="000000" w:fill="FFFFFF"/>
            <w:noWrap/>
            <w:vAlign w:val="bottom"/>
            <w:hideMark/>
          </w:tcPr>
          <w:p w14:paraId="31BD0A18"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(4.42)</w:t>
            </w:r>
          </w:p>
        </w:tc>
        <w:tc>
          <w:tcPr>
            <w:tcW w:w="1420" w:type="dxa"/>
            <w:tcBorders>
              <w:top w:val="nil"/>
              <w:left w:val="nil"/>
              <w:bottom w:val="nil"/>
              <w:right w:val="nil"/>
            </w:tcBorders>
            <w:shd w:val="clear" w:color="000000" w:fill="FFFFFF"/>
            <w:noWrap/>
            <w:vAlign w:val="bottom"/>
            <w:hideMark/>
          </w:tcPr>
          <w:p w14:paraId="3C391934"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(0.23)</w:t>
            </w:r>
          </w:p>
        </w:tc>
      </w:tr>
      <w:tr w:rsidR="009C6661" w:rsidRPr="00166607" w14:paraId="48E78C21" w14:textId="77777777" w:rsidTr="009C6661">
        <w:trPr>
          <w:trHeight w:val="280"/>
        </w:trPr>
        <w:tc>
          <w:tcPr>
            <w:tcW w:w="5200" w:type="dxa"/>
            <w:tcBorders>
              <w:top w:val="nil"/>
              <w:left w:val="nil"/>
              <w:bottom w:val="nil"/>
              <w:right w:val="nil"/>
            </w:tcBorders>
            <w:shd w:val="clear" w:color="000000" w:fill="FFFFFF"/>
            <w:noWrap/>
            <w:vAlign w:val="center"/>
            <w:hideMark/>
          </w:tcPr>
          <w:p w14:paraId="1991E960"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Average Annual Formal Sector Earnings 2008-2014</w:t>
            </w:r>
          </w:p>
        </w:tc>
        <w:tc>
          <w:tcPr>
            <w:tcW w:w="968" w:type="dxa"/>
            <w:tcBorders>
              <w:top w:val="nil"/>
              <w:left w:val="nil"/>
              <w:bottom w:val="nil"/>
              <w:right w:val="nil"/>
            </w:tcBorders>
            <w:shd w:val="clear" w:color="000000" w:fill="FFFFFF"/>
            <w:noWrap/>
            <w:vAlign w:val="bottom"/>
            <w:hideMark/>
          </w:tcPr>
          <w:p w14:paraId="0DB2C70B"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2,470.5</w:t>
            </w:r>
          </w:p>
        </w:tc>
        <w:tc>
          <w:tcPr>
            <w:tcW w:w="1310" w:type="dxa"/>
            <w:tcBorders>
              <w:top w:val="nil"/>
              <w:left w:val="nil"/>
              <w:bottom w:val="nil"/>
              <w:right w:val="nil"/>
            </w:tcBorders>
            <w:shd w:val="clear" w:color="000000" w:fill="FFFFFF"/>
            <w:noWrap/>
            <w:vAlign w:val="bottom"/>
            <w:hideMark/>
          </w:tcPr>
          <w:p w14:paraId="1E8AA932"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196.0</w:t>
            </w:r>
          </w:p>
        </w:tc>
        <w:tc>
          <w:tcPr>
            <w:tcW w:w="1177" w:type="dxa"/>
            <w:tcBorders>
              <w:top w:val="nil"/>
              <w:left w:val="nil"/>
              <w:bottom w:val="nil"/>
              <w:right w:val="nil"/>
            </w:tcBorders>
            <w:shd w:val="clear" w:color="000000" w:fill="FFFFFF"/>
            <w:noWrap/>
            <w:vAlign w:val="bottom"/>
            <w:hideMark/>
          </w:tcPr>
          <w:p w14:paraId="48899F7B"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2,462.5</w:t>
            </w:r>
          </w:p>
        </w:tc>
        <w:tc>
          <w:tcPr>
            <w:tcW w:w="1420" w:type="dxa"/>
            <w:tcBorders>
              <w:top w:val="nil"/>
              <w:left w:val="nil"/>
              <w:bottom w:val="nil"/>
              <w:right w:val="nil"/>
            </w:tcBorders>
            <w:shd w:val="clear" w:color="000000" w:fill="FFFFFF"/>
            <w:noWrap/>
            <w:vAlign w:val="bottom"/>
            <w:hideMark/>
          </w:tcPr>
          <w:p w14:paraId="62B813FD"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31.4</w:t>
            </w:r>
          </w:p>
        </w:tc>
        <w:tc>
          <w:tcPr>
            <w:tcW w:w="1190" w:type="dxa"/>
            <w:tcBorders>
              <w:top w:val="nil"/>
              <w:left w:val="nil"/>
              <w:bottom w:val="nil"/>
              <w:right w:val="nil"/>
            </w:tcBorders>
            <w:shd w:val="clear" w:color="000000" w:fill="FFFFFF"/>
            <w:noWrap/>
            <w:vAlign w:val="bottom"/>
            <w:hideMark/>
          </w:tcPr>
          <w:p w14:paraId="4AE3B6BD"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2,568.3</w:t>
            </w:r>
          </w:p>
        </w:tc>
        <w:tc>
          <w:tcPr>
            <w:tcW w:w="1420" w:type="dxa"/>
            <w:tcBorders>
              <w:top w:val="nil"/>
              <w:left w:val="nil"/>
              <w:bottom w:val="nil"/>
              <w:right w:val="nil"/>
            </w:tcBorders>
            <w:shd w:val="clear" w:color="000000" w:fill="FFFFFF"/>
            <w:noWrap/>
            <w:vAlign w:val="bottom"/>
            <w:hideMark/>
          </w:tcPr>
          <w:p w14:paraId="1CE644BB"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427.0</w:t>
            </w:r>
          </w:p>
        </w:tc>
      </w:tr>
      <w:tr w:rsidR="009C6661" w:rsidRPr="00166607" w14:paraId="202F17F5" w14:textId="77777777" w:rsidTr="009C6661">
        <w:trPr>
          <w:trHeight w:val="280"/>
        </w:trPr>
        <w:tc>
          <w:tcPr>
            <w:tcW w:w="5200" w:type="dxa"/>
            <w:tcBorders>
              <w:top w:val="nil"/>
              <w:left w:val="nil"/>
              <w:bottom w:val="nil"/>
              <w:right w:val="nil"/>
            </w:tcBorders>
            <w:shd w:val="clear" w:color="000000" w:fill="FFFFFF"/>
            <w:noWrap/>
            <w:vAlign w:val="center"/>
            <w:hideMark/>
          </w:tcPr>
          <w:p w14:paraId="75F7B1CA"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968" w:type="dxa"/>
            <w:tcBorders>
              <w:top w:val="nil"/>
              <w:left w:val="nil"/>
              <w:bottom w:val="nil"/>
              <w:right w:val="nil"/>
            </w:tcBorders>
            <w:shd w:val="clear" w:color="000000" w:fill="FFFFFF"/>
            <w:noWrap/>
            <w:vAlign w:val="bottom"/>
            <w:hideMark/>
          </w:tcPr>
          <w:p w14:paraId="3A6C907D"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(3019.9)</w:t>
            </w:r>
          </w:p>
        </w:tc>
        <w:tc>
          <w:tcPr>
            <w:tcW w:w="1310" w:type="dxa"/>
            <w:tcBorders>
              <w:top w:val="nil"/>
              <w:left w:val="nil"/>
              <w:bottom w:val="nil"/>
              <w:right w:val="nil"/>
            </w:tcBorders>
            <w:shd w:val="clear" w:color="000000" w:fill="FFFFFF"/>
            <w:noWrap/>
            <w:vAlign w:val="bottom"/>
            <w:hideMark/>
          </w:tcPr>
          <w:p w14:paraId="71EFD9DB"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(104.7)*</w:t>
            </w:r>
          </w:p>
        </w:tc>
        <w:tc>
          <w:tcPr>
            <w:tcW w:w="1177" w:type="dxa"/>
            <w:tcBorders>
              <w:top w:val="nil"/>
              <w:left w:val="nil"/>
              <w:bottom w:val="nil"/>
              <w:right w:val="nil"/>
            </w:tcBorders>
            <w:shd w:val="clear" w:color="000000" w:fill="FFFFFF"/>
            <w:noWrap/>
            <w:vAlign w:val="bottom"/>
            <w:hideMark/>
          </w:tcPr>
          <w:p w14:paraId="1985AD95"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(2986.2)</w:t>
            </w:r>
          </w:p>
        </w:tc>
        <w:tc>
          <w:tcPr>
            <w:tcW w:w="1420" w:type="dxa"/>
            <w:tcBorders>
              <w:top w:val="nil"/>
              <w:left w:val="nil"/>
              <w:bottom w:val="nil"/>
              <w:right w:val="nil"/>
            </w:tcBorders>
            <w:shd w:val="clear" w:color="000000" w:fill="FFFFFF"/>
            <w:noWrap/>
            <w:vAlign w:val="bottom"/>
            <w:hideMark/>
          </w:tcPr>
          <w:p w14:paraId="3860ECE5"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(132.7)</w:t>
            </w:r>
          </w:p>
        </w:tc>
        <w:tc>
          <w:tcPr>
            <w:tcW w:w="1190" w:type="dxa"/>
            <w:tcBorders>
              <w:top w:val="nil"/>
              <w:left w:val="nil"/>
              <w:bottom w:val="nil"/>
              <w:right w:val="nil"/>
            </w:tcBorders>
            <w:shd w:val="clear" w:color="000000" w:fill="FFFFFF"/>
            <w:noWrap/>
            <w:vAlign w:val="bottom"/>
            <w:hideMark/>
          </w:tcPr>
          <w:p w14:paraId="796CD6C5"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(3147.3)</w:t>
            </w:r>
          </w:p>
        </w:tc>
        <w:tc>
          <w:tcPr>
            <w:tcW w:w="1420" w:type="dxa"/>
            <w:tcBorders>
              <w:top w:val="nil"/>
              <w:left w:val="nil"/>
              <w:bottom w:val="nil"/>
              <w:right w:val="nil"/>
            </w:tcBorders>
            <w:shd w:val="clear" w:color="000000" w:fill="FFFFFF"/>
            <w:noWrap/>
            <w:vAlign w:val="bottom"/>
            <w:hideMark/>
          </w:tcPr>
          <w:p w14:paraId="5F782BA4"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(184)**</w:t>
            </w:r>
          </w:p>
        </w:tc>
      </w:tr>
      <w:tr w:rsidR="009C6661" w:rsidRPr="00166607" w14:paraId="4F7D68C9" w14:textId="77777777" w:rsidTr="009C6661">
        <w:trPr>
          <w:trHeight w:val="280"/>
        </w:trPr>
        <w:tc>
          <w:tcPr>
            <w:tcW w:w="5200" w:type="dxa"/>
            <w:tcBorders>
              <w:top w:val="nil"/>
              <w:left w:val="nil"/>
              <w:bottom w:val="nil"/>
              <w:right w:val="nil"/>
            </w:tcBorders>
            <w:shd w:val="clear" w:color="000000" w:fill="FFFFFF"/>
            <w:noWrap/>
            <w:vAlign w:val="center"/>
            <w:hideMark/>
          </w:tcPr>
          <w:p w14:paraId="49B6E2A0"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Average Annual Payroll Taxes 2008-2014</w:t>
            </w:r>
          </w:p>
        </w:tc>
        <w:tc>
          <w:tcPr>
            <w:tcW w:w="968" w:type="dxa"/>
            <w:tcBorders>
              <w:top w:val="nil"/>
              <w:left w:val="nil"/>
              <w:bottom w:val="nil"/>
              <w:right w:val="nil"/>
            </w:tcBorders>
            <w:shd w:val="clear" w:color="000000" w:fill="FFFFFF"/>
            <w:noWrap/>
            <w:vAlign w:val="bottom"/>
            <w:hideMark/>
          </w:tcPr>
          <w:p w14:paraId="0820FF0D"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695.9</w:t>
            </w:r>
          </w:p>
        </w:tc>
        <w:tc>
          <w:tcPr>
            <w:tcW w:w="1310" w:type="dxa"/>
            <w:tcBorders>
              <w:top w:val="nil"/>
              <w:left w:val="nil"/>
              <w:bottom w:val="nil"/>
              <w:right w:val="nil"/>
            </w:tcBorders>
            <w:shd w:val="clear" w:color="000000" w:fill="FFFFFF"/>
            <w:noWrap/>
            <w:vAlign w:val="bottom"/>
            <w:hideMark/>
          </w:tcPr>
          <w:p w14:paraId="74E550EA"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55.1</w:t>
            </w:r>
          </w:p>
        </w:tc>
        <w:tc>
          <w:tcPr>
            <w:tcW w:w="1177" w:type="dxa"/>
            <w:tcBorders>
              <w:top w:val="nil"/>
              <w:left w:val="nil"/>
              <w:bottom w:val="nil"/>
              <w:right w:val="nil"/>
            </w:tcBorders>
            <w:shd w:val="clear" w:color="000000" w:fill="FFFFFF"/>
            <w:noWrap/>
            <w:vAlign w:val="bottom"/>
            <w:hideMark/>
          </w:tcPr>
          <w:p w14:paraId="1C5E0DE2"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694.2</w:t>
            </w:r>
          </w:p>
        </w:tc>
        <w:tc>
          <w:tcPr>
            <w:tcW w:w="1420" w:type="dxa"/>
            <w:tcBorders>
              <w:top w:val="nil"/>
              <w:left w:val="nil"/>
              <w:bottom w:val="nil"/>
              <w:right w:val="nil"/>
            </w:tcBorders>
            <w:shd w:val="clear" w:color="000000" w:fill="FFFFFF"/>
            <w:noWrap/>
            <w:vAlign w:val="bottom"/>
            <w:hideMark/>
          </w:tcPr>
          <w:p w14:paraId="5F4747BA"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3.9</w:t>
            </w:r>
          </w:p>
        </w:tc>
        <w:tc>
          <w:tcPr>
            <w:tcW w:w="1190" w:type="dxa"/>
            <w:tcBorders>
              <w:top w:val="nil"/>
              <w:left w:val="nil"/>
              <w:bottom w:val="nil"/>
              <w:right w:val="nil"/>
            </w:tcBorders>
            <w:shd w:val="clear" w:color="000000" w:fill="FFFFFF"/>
            <w:noWrap/>
            <w:vAlign w:val="bottom"/>
            <w:hideMark/>
          </w:tcPr>
          <w:p w14:paraId="4C97A65A"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723.5</w:t>
            </w:r>
          </w:p>
        </w:tc>
        <w:tc>
          <w:tcPr>
            <w:tcW w:w="1420" w:type="dxa"/>
            <w:tcBorders>
              <w:top w:val="nil"/>
              <w:left w:val="nil"/>
              <w:bottom w:val="nil"/>
              <w:right w:val="nil"/>
            </w:tcBorders>
            <w:shd w:val="clear" w:color="000000" w:fill="FFFFFF"/>
            <w:noWrap/>
            <w:vAlign w:val="bottom"/>
            <w:hideMark/>
          </w:tcPr>
          <w:p w14:paraId="70D5A73B"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125.3</w:t>
            </w:r>
          </w:p>
        </w:tc>
      </w:tr>
      <w:tr w:rsidR="009C6661" w:rsidRPr="00166607" w14:paraId="416CF5E7" w14:textId="77777777" w:rsidTr="009C6661">
        <w:trPr>
          <w:trHeight w:val="300"/>
        </w:trPr>
        <w:tc>
          <w:tcPr>
            <w:tcW w:w="5200" w:type="dxa"/>
            <w:tcBorders>
              <w:top w:val="nil"/>
              <w:left w:val="nil"/>
              <w:bottom w:val="single" w:sz="8" w:space="0" w:color="auto"/>
              <w:right w:val="nil"/>
            </w:tcBorders>
            <w:shd w:val="clear" w:color="000000" w:fill="FFFFFF"/>
            <w:noWrap/>
            <w:vAlign w:val="center"/>
            <w:hideMark/>
          </w:tcPr>
          <w:p w14:paraId="1929C5A8"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968" w:type="dxa"/>
            <w:tcBorders>
              <w:top w:val="nil"/>
              <w:left w:val="nil"/>
              <w:bottom w:val="single" w:sz="8" w:space="0" w:color="auto"/>
              <w:right w:val="nil"/>
            </w:tcBorders>
            <w:shd w:val="clear" w:color="000000" w:fill="FFFFFF"/>
            <w:noWrap/>
            <w:vAlign w:val="bottom"/>
            <w:hideMark/>
          </w:tcPr>
          <w:p w14:paraId="72908150"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(880.1)</w:t>
            </w:r>
          </w:p>
        </w:tc>
        <w:tc>
          <w:tcPr>
            <w:tcW w:w="1310" w:type="dxa"/>
            <w:tcBorders>
              <w:top w:val="nil"/>
              <w:left w:val="nil"/>
              <w:bottom w:val="single" w:sz="8" w:space="0" w:color="auto"/>
              <w:right w:val="nil"/>
            </w:tcBorders>
            <w:shd w:val="clear" w:color="000000" w:fill="FFFFFF"/>
            <w:noWrap/>
            <w:vAlign w:val="bottom"/>
            <w:hideMark/>
          </w:tcPr>
          <w:p w14:paraId="2CBDDE9D"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(30.4)*</w:t>
            </w:r>
          </w:p>
        </w:tc>
        <w:tc>
          <w:tcPr>
            <w:tcW w:w="1177" w:type="dxa"/>
            <w:tcBorders>
              <w:top w:val="nil"/>
              <w:left w:val="nil"/>
              <w:bottom w:val="single" w:sz="8" w:space="0" w:color="auto"/>
              <w:right w:val="nil"/>
            </w:tcBorders>
            <w:shd w:val="clear" w:color="000000" w:fill="FFFFFF"/>
            <w:noWrap/>
            <w:vAlign w:val="bottom"/>
            <w:hideMark/>
          </w:tcPr>
          <w:p w14:paraId="0B11ECF4"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(878.6)</w:t>
            </w:r>
          </w:p>
        </w:tc>
        <w:tc>
          <w:tcPr>
            <w:tcW w:w="1420" w:type="dxa"/>
            <w:tcBorders>
              <w:top w:val="nil"/>
              <w:left w:val="nil"/>
              <w:bottom w:val="single" w:sz="8" w:space="0" w:color="auto"/>
              <w:right w:val="nil"/>
            </w:tcBorders>
            <w:shd w:val="clear" w:color="000000" w:fill="FFFFFF"/>
            <w:noWrap/>
            <w:vAlign w:val="bottom"/>
            <w:hideMark/>
          </w:tcPr>
          <w:p w14:paraId="49BBFDCB"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(38.7)</w:t>
            </w:r>
          </w:p>
        </w:tc>
        <w:tc>
          <w:tcPr>
            <w:tcW w:w="1190" w:type="dxa"/>
            <w:tcBorders>
              <w:top w:val="nil"/>
              <w:left w:val="nil"/>
              <w:bottom w:val="single" w:sz="8" w:space="0" w:color="auto"/>
              <w:right w:val="nil"/>
            </w:tcBorders>
            <w:shd w:val="clear" w:color="000000" w:fill="FFFFFF"/>
            <w:noWrap/>
            <w:vAlign w:val="bottom"/>
            <w:hideMark/>
          </w:tcPr>
          <w:p w14:paraId="4C043494"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(908.4)</w:t>
            </w:r>
          </w:p>
        </w:tc>
        <w:tc>
          <w:tcPr>
            <w:tcW w:w="1420" w:type="dxa"/>
            <w:tcBorders>
              <w:top w:val="nil"/>
              <w:left w:val="nil"/>
              <w:bottom w:val="single" w:sz="8" w:space="0" w:color="auto"/>
              <w:right w:val="nil"/>
            </w:tcBorders>
            <w:shd w:val="clear" w:color="000000" w:fill="FFFFFF"/>
            <w:noWrap/>
            <w:vAlign w:val="bottom"/>
            <w:hideMark/>
          </w:tcPr>
          <w:p w14:paraId="5861F7D1"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(53.3)**</w:t>
            </w:r>
          </w:p>
        </w:tc>
      </w:tr>
      <w:tr w:rsidR="009C6661" w:rsidRPr="00166607" w14:paraId="2F5A2663" w14:textId="77777777" w:rsidTr="009C6661">
        <w:trPr>
          <w:trHeight w:val="300"/>
        </w:trPr>
        <w:tc>
          <w:tcPr>
            <w:tcW w:w="5200" w:type="dxa"/>
            <w:tcBorders>
              <w:top w:val="nil"/>
              <w:left w:val="nil"/>
              <w:bottom w:val="single" w:sz="8" w:space="0" w:color="auto"/>
              <w:right w:val="nil"/>
            </w:tcBorders>
            <w:shd w:val="clear" w:color="000000" w:fill="FFFFFF"/>
            <w:vAlign w:val="center"/>
            <w:hideMark/>
          </w:tcPr>
          <w:p w14:paraId="0C2264C1"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7485" w:type="dxa"/>
            <w:gridSpan w:val="6"/>
            <w:tcBorders>
              <w:top w:val="single" w:sz="8" w:space="0" w:color="auto"/>
              <w:left w:val="nil"/>
              <w:bottom w:val="single" w:sz="8" w:space="0" w:color="auto"/>
              <w:right w:val="nil"/>
            </w:tcBorders>
            <w:shd w:val="clear" w:color="000000" w:fill="FFFFFF"/>
            <w:noWrap/>
            <w:vAlign w:val="center"/>
            <w:hideMark/>
          </w:tcPr>
          <w:p w14:paraId="1E7FFEAE" w14:textId="77777777" w:rsidR="009C6661" w:rsidRPr="00166607" w:rsidRDefault="009C6661" w:rsidP="009C6661">
            <w:pPr>
              <w:jc w:val="center"/>
              <w:rPr>
                <w:rFonts w:ascii="Times New Roman" w:eastAsia="Times New Roman" w:hAnsi="Times New Roman"/>
                <w:i/>
                <w:iCs/>
                <w:color w:val="000000"/>
                <w:sz w:val="22"/>
                <w:szCs w:val="22"/>
              </w:rPr>
            </w:pPr>
            <w:r w:rsidRPr="00166607">
              <w:rPr>
                <w:rFonts w:ascii="Times New Roman" w:eastAsia="Times New Roman" w:hAnsi="Times New Roman"/>
                <w:i/>
                <w:iCs/>
                <w:color w:val="000000"/>
                <w:sz w:val="22"/>
                <w:szCs w:val="22"/>
              </w:rPr>
              <w:t>B. Females</w:t>
            </w:r>
          </w:p>
        </w:tc>
      </w:tr>
      <w:tr w:rsidR="009C6661" w:rsidRPr="00166607" w14:paraId="0E0923C5" w14:textId="77777777" w:rsidTr="009C6661">
        <w:trPr>
          <w:trHeight w:val="280"/>
        </w:trPr>
        <w:tc>
          <w:tcPr>
            <w:tcW w:w="5200" w:type="dxa"/>
            <w:tcBorders>
              <w:top w:val="nil"/>
              <w:left w:val="nil"/>
              <w:bottom w:val="nil"/>
              <w:right w:val="nil"/>
            </w:tcBorders>
            <w:shd w:val="clear" w:color="000000" w:fill="FFFFFF"/>
            <w:noWrap/>
            <w:vAlign w:val="center"/>
            <w:hideMark/>
          </w:tcPr>
          <w:p w14:paraId="307F8140"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Average annual formal sector tenure 2008-2014 (months)</w:t>
            </w:r>
          </w:p>
        </w:tc>
        <w:tc>
          <w:tcPr>
            <w:tcW w:w="968" w:type="dxa"/>
            <w:tcBorders>
              <w:top w:val="nil"/>
              <w:left w:val="nil"/>
              <w:bottom w:val="nil"/>
              <w:right w:val="nil"/>
            </w:tcBorders>
            <w:shd w:val="clear" w:color="000000" w:fill="FFFFFF"/>
            <w:noWrap/>
            <w:vAlign w:val="bottom"/>
            <w:hideMark/>
          </w:tcPr>
          <w:p w14:paraId="268E5390"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5.17</w:t>
            </w:r>
          </w:p>
        </w:tc>
        <w:tc>
          <w:tcPr>
            <w:tcW w:w="1310" w:type="dxa"/>
            <w:tcBorders>
              <w:top w:val="nil"/>
              <w:left w:val="nil"/>
              <w:bottom w:val="nil"/>
              <w:right w:val="nil"/>
            </w:tcBorders>
            <w:shd w:val="clear" w:color="000000" w:fill="FFFFFF"/>
            <w:noWrap/>
            <w:vAlign w:val="bottom"/>
            <w:hideMark/>
          </w:tcPr>
          <w:p w14:paraId="3D287096"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0.26</w:t>
            </w:r>
          </w:p>
        </w:tc>
        <w:tc>
          <w:tcPr>
            <w:tcW w:w="1177" w:type="dxa"/>
            <w:tcBorders>
              <w:top w:val="nil"/>
              <w:left w:val="nil"/>
              <w:bottom w:val="nil"/>
              <w:right w:val="nil"/>
            </w:tcBorders>
            <w:shd w:val="clear" w:color="000000" w:fill="FFFFFF"/>
            <w:noWrap/>
            <w:vAlign w:val="bottom"/>
            <w:hideMark/>
          </w:tcPr>
          <w:p w14:paraId="537409F3"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5.22</w:t>
            </w:r>
          </w:p>
        </w:tc>
        <w:tc>
          <w:tcPr>
            <w:tcW w:w="1420" w:type="dxa"/>
            <w:tcBorders>
              <w:top w:val="nil"/>
              <w:left w:val="nil"/>
              <w:bottom w:val="nil"/>
              <w:right w:val="nil"/>
            </w:tcBorders>
            <w:shd w:val="clear" w:color="000000" w:fill="FFFFFF"/>
            <w:noWrap/>
            <w:vAlign w:val="bottom"/>
            <w:hideMark/>
          </w:tcPr>
          <w:p w14:paraId="25AE98DA"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0.29</w:t>
            </w:r>
          </w:p>
        </w:tc>
        <w:tc>
          <w:tcPr>
            <w:tcW w:w="1190" w:type="dxa"/>
            <w:tcBorders>
              <w:top w:val="nil"/>
              <w:left w:val="nil"/>
              <w:bottom w:val="nil"/>
              <w:right w:val="nil"/>
            </w:tcBorders>
            <w:shd w:val="clear" w:color="000000" w:fill="FFFFFF"/>
            <w:noWrap/>
            <w:vAlign w:val="bottom"/>
            <w:hideMark/>
          </w:tcPr>
          <w:p w14:paraId="362ABA6A"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5.32</w:t>
            </w:r>
          </w:p>
        </w:tc>
        <w:tc>
          <w:tcPr>
            <w:tcW w:w="1420" w:type="dxa"/>
            <w:tcBorders>
              <w:top w:val="nil"/>
              <w:left w:val="nil"/>
              <w:bottom w:val="nil"/>
              <w:right w:val="nil"/>
            </w:tcBorders>
            <w:shd w:val="clear" w:color="000000" w:fill="FFFFFF"/>
            <w:noWrap/>
            <w:vAlign w:val="bottom"/>
            <w:hideMark/>
          </w:tcPr>
          <w:p w14:paraId="203E3878"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0.12</w:t>
            </w:r>
          </w:p>
        </w:tc>
      </w:tr>
      <w:tr w:rsidR="009C6661" w:rsidRPr="00166607" w14:paraId="75ED334F" w14:textId="77777777" w:rsidTr="009C6661">
        <w:trPr>
          <w:trHeight w:val="280"/>
        </w:trPr>
        <w:tc>
          <w:tcPr>
            <w:tcW w:w="5200" w:type="dxa"/>
            <w:tcBorders>
              <w:top w:val="nil"/>
              <w:left w:val="nil"/>
              <w:bottom w:val="nil"/>
              <w:right w:val="nil"/>
            </w:tcBorders>
            <w:shd w:val="clear" w:color="000000" w:fill="FFFFFF"/>
            <w:noWrap/>
            <w:vAlign w:val="center"/>
            <w:hideMark/>
          </w:tcPr>
          <w:p w14:paraId="0FADFDAF"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968" w:type="dxa"/>
            <w:tcBorders>
              <w:top w:val="nil"/>
              <w:left w:val="nil"/>
              <w:bottom w:val="nil"/>
              <w:right w:val="nil"/>
            </w:tcBorders>
            <w:shd w:val="clear" w:color="000000" w:fill="FFFFFF"/>
            <w:noWrap/>
            <w:vAlign w:val="bottom"/>
            <w:hideMark/>
          </w:tcPr>
          <w:p w14:paraId="20E9D022"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(4.41)</w:t>
            </w:r>
          </w:p>
        </w:tc>
        <w:tc>
          <w:tcPr>
            <w:tcW w:w="1310" w:type="dxa"/>
            <w:tcBorders>
              <w:top w:val="nil"/>
              <w:left w:val="nil"/>
              <w:bottom w:val="nil"/>
              <w:right w:val="nil"/>
            </w:tcBorders>
            <w:shd w:val="clear" w:color="000000" w:fill="FFFFFF"/>
            <w:noWrap/>
            <w:vAlign w:val="bottom"/>
            <w:hideMark/>
          </w:tcPr>
          <w:p w14:paraId="44E26C9C"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w:t>
            </w:r>
          </w:p>
        </w:tc>
        <w:tc>
          <w:tcPr>
            <w:tcW w:w="1177" w:type="dxa"/>
            <w:tcBorders>
              <w:top w:val="nil"/>
              <w:left w:val="nil"/>
              <w:bottom w:val="nil"/>
              <w:right w:val="nil"/>
            </w:tcBorders>
            <w:shd w:val="clear" w:color="000000" w:fill="FFFFFF"/>
            <w:noWrap/>
            <w:vAlign w:val="bottom"/>
            <w:hideMark/>
          </w:tcPr>
          <w:p w14:paraId="3D6D88B8"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(4.38)</w:t>
            </w:r>
          </w:p>
        </w:tc>
        <w:tc>
          <w:tcPr>
            <w:tcW w:w="1420" w:type="dxa"/>
            <w:tcBorders>
              <w:top w:val="nil"/>
              <w:left w:val="nil"/>
              <w:bottom w:val="nil"/>
              <w:right w:val="nil"/>
            </w:tcBorders>
            <w:shd w:val="clear" w:color="000000" w:fill="FFFFFF"/>
            <w:noWrap/>
            <w:vAlign w:val="bottom"/>
            <w:hideMark/>
          </w:tcPr>
          <w:p w14:paraId="2E22D1D6"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(0.28)</w:t>
            </w:r>
          </w:p>
        </w:tc>
        <w:tc>
          <w:tcPr>
            <w:tcW w:w="1190" w:type="dxa"/>
            <w:tcBorders>
              <w:top w:val="nil"/>
              <w:left w:val="nil"/>
              <w:bottom w:val="nil"/>
              <w:right w:val="nil"/>
            </w:tcBorders>
            <w:shd w:val="clear" w:color="000000" w:fill="FFFFFF"/>
            <w:noWrap/>
            <w:vAlign w:val="bottom"/>
            <w:hideMark/>
          </w:tcPr>
          <w:p w14:paraId="08D8D42A"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(4.49)</w:t>
            </w:r>
          </w:p>
        </w:tc>
        <w:tc>
          <w:tcPr>
            <w:tcW w:w="1420" w:type="dxa"/>
            <w:tcBorders>
              <w:top w:val="nil"/>
              <w:left w:val="nil"/>
              <w:bottom w:val="nil"/>
              <w:right w:val="nil"/>
            </w:tcBorders>
            <w:shd w:val="clear" w:color="000000" w:fill="FFFFFF"/>
            <w:noWrap/>
            <w:vAlign w:val="bottom"/>
            <w:hideMark/>
          </w:tcPr>
          <w:p w14:paraId="0150056F"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(0.32)</w:t>
            </w:r>
          </w:p>
        </w:tc>
      </w:tr>
      <w:tr w:rsidR="009C6661" w:rsidRPr="00166607" w14:paraId="6B5C6387" w14:textId="77777777" w:rsidTr="009C6661">
        <w:trPr>
          <w:trHeight w:val="280"/>
        </w:trPr>
        <w:tc>
          <w:tcPr>
            <w:tcW w:w="5200" w:type="dxa"/>
            <w:tcBorders>
              <w:top w:val="nil"/>
              <w:left w:val="nil"/>
              <w:bottom w:val="nil"/>
              <w:right w:val="nil"/>
            </w:tcBorders>
            <w:shd w:val="clear" w:color="000000" w:fill="FFFFFF"/>
            <w:noWrap/>
            <w:vAlign w:val="center"/>
            <w:hideMark/>
          </w:tcPr>
          <w:p w14:paraId="27D6628D"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Average Annual Formal Sector Earnings 2008-2014</w:t>
            </w:r>
          </w:p>
        </w:tc>
        <w:tc>
          <w:tcPr>
            <w:tcW w:w="968" w:type="dxa"/>
            <w:tcBorders>
              <w:top w:val="nil"/>
              <w:left w:val="nil"/>
              <w:bottom w:val="nil"/>
              <w:right w:val="nil"/>
            </w:tcBorders>
            <w:shd w:val="clear" w:color="000000" w:fill="FFFFFF"/>
            <w:noWrap/>
            <w:vAlign w:val="bottom"/>
            <w:hideMark/>
          </w:tcPr>
          <w:p w14:paraId="668F7C2F"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2,264.1</w:t>
            </w:r>
          </w:p>
        </w:tc>
        <w:tc>
          <w:tcPr>
            <w:tcW w:w="1310" w:type="dxa"/>
            <w:tcBorders>
              <w:top w:val="nil"/>
              <w:left w:val="nil"/>
              <w:bottom w:val="nil"/>
              <w:right w:val="nil"/>
            </w:tcBorders>
            <w:shd w:val="clear" w:color="000000" w:fill="FFFFFF"/>
            <w:noWrap/>
            <w:vAlign w:val="bottom"/>
            <w:hideMark/>
          </w:tcPr>
          <w:p w14:paraId="299C036C"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240.6</w:t>
            </w:r>
          </w:p>
        </w:tc>
        <w:tc>
          <w:tcPr>
            <w:tcW w:w="1177" w:type="dxa"/>
            <w:tcBorders>
              <w:top w:val="nil"/>
              <w:left w:val="nil"/>
              <w:bottom w:val="nil"/>
              <w:right w:val="nil"/>
            </w:tcBorders>
            <w:shd w:val="clear" w:color="000000" w:fill="FFFFFF"/>
            <w:noWrap/>
            <w:vAlign w:val="bottom"/>
            <w:hideMark/>
          </w:tcPr>
          <w:p w14:paraId="613C12BC"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2,238.0</w:t>
            </w:r>
          </w:p>
        </w:tc>
        <w:tc>
          <w:tcPr>
            <w:tcW w:w="1420" w:type="dxa"/>
            <w:tcBorders>
              <w:top w:val="nil"/>
              <w:left w:val="nil"/>
              <w:bottom w:val="nil"/>
              <w:right w:val="nil"/>
            </w:tcBorders>
            <w:shd w:val="clear" w:color="000000" w:fill="FFFFFF"/>
            <w:noWrap/>
            <w:vAlign w:val="bottom"/>
            <w:hideMark/>
          </w:tcPr>
          <w:p w14:paraId="58A7A198"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121.6</w:t>
            </w:r>
          </w:p>
        </w:tc>
        <w:tc>
          <w:tcPr>
            <w:tcW w:w="1190" w:type="dxa"/>
            <w:tcBorders>
              <w:top w:val="nil"/>
              <w:left w:val="nil"/>
              <w:bottom w:val="nil"/>
              <w:right w:val="nil"/>
            </w:tcBorders>
            <w:shd w:val="clear" w:color="000000" w:fill="FFFFFF"/>
            <w:noWrap/>
            <w:vAlign w:val="bottom"/>
            <w:hideMark/>
          </w:tcPr>
          <w:p w14:paraId="31EF2241"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2,422.4</w:t>
            </w:r>
          </w:p>
        </w:tc>
        <w:tc>
          <w:tcPr>
            <w:tcW w:w="1420" w:type="dxa"/>
            <w:tcBorders>
              <w:top w:val="nil"/>
              <w:left w:val="nil"/>
              <w:bottom w:val="nil"/>
              <w:right w:val="nil"/>
            </w:tcBorders>
            <w:shd w:val="clear" w:color="000000" w:fill="FFFFFF"/>
            <w:noWrap/>
            <w:vAlign w:val="bottom"/>
            <w:hideMark/>
          </w:tcPr>
          <w:p w14:paraId="3E01EFE1"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328.8</w:t>
            </w:r>
          </w:p>
        </w:tc>
      </w:tr>
      <w:tr w:rsidR="009C6661" w:rsidRPr="00166607" w14:paraId="76625454" w14:textId="77777777" w:rsidTr="009C6661">
        <w:trPr>
          <w:trHeight w:val="280"/>
        </w:trPr>
        <w:tc>
          <w:tcPr>
            <w:tcW w:w="5200" w:type="dxa"/>
            <w:tcBorders>
              <w:top w:val="nil"/>
              <w:left w:val="nil"/>
              <w:bottom w:val="nil"/>
              <w:right w:val="nil"/>
            </w:tcBorders>
            <w:shd w:val="clear" w:color="000000" w:fill="FFFFFF"/>
            <w:noWrap/>
            <w:vAlign w:val="center"/>
            <w:hideMark/>
          </w:tcPr>
          <w:p w14:paraId="5263153F"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968" w:type="dxa"/>
            <w:tcBorders>
              <w:top w:val="nil"/>
              <w:left w:val="nil"/>
              <w:bottom w:val="nil"/>
              <w:right w:val="nil"/>
            </w:tcBorders>
            <w:shd w:val="clear" w:color="000000" w:fill="FFFFFF"/>
            <w:noWrap/>
            <w:vAlign w:val="bottom"/>
            <w:hideMark/>
          </w:tcPr>
          <w:p w14:paraId="3E32FE9C"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(2826.9)</w:t>
            </w:r>
          </w:p>
        </w:tc>
        <w:tc>
          <w:tcPr>
            <w:tcW w:w="1310" w:type="dxa"/>
            <w:tcBorders>
              <w:top w:val="nil"/>
              <w:left w:val="nil"/>
              <w:bottom w:val="nil"/>
              <w:right w:val="nil"/>
            </w:tcBorders>
            <w:shd w:val="clear" w:color="000000" w:fill="FFFFFF"/>
            <w:noWrap/>
            <w:vAlign w:val="bottom"/>
            <w:hideMark/>
          </w:tcPr>
          <w:p w14:paraId="455E6FA7"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(143.4)*</w:t>
            </w:r>
          </w:p>
        </w:tc>
        <w:tc>
          <w:tcPr>
            <w:tcW w:w="1177" w:type="dxa"/>
            <w:tcBorders>
              <w:top w:val="nil"/>
              <w:left w:val="nil"/>
              <w:bottom w:val="nil"/>
              <w:right w:val="nil"/>
            </w:tcBorders>
            <w:shd w:val="clear" w:color="000000" w:fill="FFFFFF"/>
            <w:noWrap/>
            <w:vAlign w:val="bottom"/>
            <w:hideMark/>
          </w:tcPr>
          <w:p w14:paraId="52EE305C"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(2810.2)</w:t>
            </w:r>
          </w:p>
        </w:tc>
        <w:tc>
          <w:tcPr>
            <w:tcW w:w="1420" w:type="dxa"/>
            <w:tcBorders>
              <w:top w:val="nil"/>
              <w:left w:val="nil"/>
              <w:bottom w:val="nil"/>
              <w:right w:val="nil"/>
            </w:tcBorders>
            <w:shd w:val="clear" w:color="000000" w:fill="FFFFFF"/>
            <w:noWrap/>
            <w:vAlign w:val="bottom"/>
            <w:hideMark/>
          </w:tcPr>
          <w:p w14:paraId="16C21955"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(182.3)</w:t>
            </w:r>
          </w:p>
        </w:tc>
        <w:tc>
          <w:tcPr>
            <w:tcW w:w="1190" w:type="dxa"/>
            <w:tcBorders>
              <w:top w:val="nil"/>
              <w:left w:val="nil"/>
              <w:bottom w:val="nil"/>
              <w:right w:val="nil"/>
            </w:tcBorders>
            <w:shd w:val="clear" w:color="000000" w:fill="FFFFFF"/>
            <w:noWrap/>
            <w:vAlign w:val="bottom"/>
            <w:hideMark/>
          </w:tcPr>
          <w:p w14:paraId="2F52988A"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(2941.1)</w:t>
            </w:r>
          </w:p>
        </w:tc>
        <w:tc>
          <w:tcPr>
            <w:tcW w:w="1420" w:type="dxa"/>
            <w:tcBorders>
              <w:top w:val="nil"/>
              <w:left w:val="nil"/>
              <w:bottom w:val="nil"/>
              <w:right w:val="nil"/>
            </w:tcBorders>
            <w:shd w:val="clear" w:color="000000" w:fill="FFFFFF"/>
            <w:noWrap/>
            <w:vAlign w:val="bottom"/>
            <w:hideMark/>
          </w:tcPr>
          <w:p w14:paraId="0EB2A4A0"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(248.4)</w:t>
            </w:r>
          </w:p>
        </w:tc>
      </w:tr>
      <w:tr w:rsidR="009C6661" w:rsidRPr="00166607" w14:paraId="190075AE" w14:textId="77777777" w:rsidTr="009C6661">
        <w:trPr>
          <w:trHeight w:val="280"/>
        </w:trPr>
        <w:tc>
          <w:tcPr>
            <w:tcW w:w="5200" w:type="dxa"/>
            <w:tcBorders>
              <w:top w:val="nil"/>
              <w:left w:val="nil"/>
              <w:bottom w:val="nil"/>
              <w:right w:val="nil"/>
            </w:tcBorders>
            <w:shd w:val="clear" w:color="000000" w:fill="FFFFFF"/>
            <w:noWrap/>
            <w:vAlign w:val="center"/>
            <w:hideMark/>
          </w:tcPr>
          <w:p w14:paraId="354A2249"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Average Annual Payroll Taxes 2008-2014</w:t>
            </w:r>
          </w:p>
        </w:tc>
        <w:tc>
          <w:tcPr>
            <w:tcW w:w="968" w:type="dxa"/>
            <w:tcBorders>
              <w:top w:val="nil"/>
              <w:left w:val="nil"/>
              <w:bottom w:val="nil"/>
              <w:right w:val="nil"/>
            </w:tcBorders>
            <w:shd w:val="clear" w:color="000000" w:fill="FFFFFF"/>
            <w:noWrap/>
            <w:vAlign w:val="bottom"/>
            <w:hideMark/>
          </w:tcPr>
          <w:p w14:paraId="78122973"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617.8</w:t>
            </w:r>
          </w:p>
        </w:tc>
        <w:tc>
          <w:tcPr>
            <w:tcW w:w="1310" w:type="dxa"/>
            <w:tcBorders>
              <w:top w:val="nil"/>
              <w:left w:val="nil"/>
              <w:bottom w:val="nil"/>
              <w:right w:val="nil"/>
            </w:tcBorders>
            <w:shd w:val="clear" w:color="000000" w:fill="FFFFFF"/>
            <w:noWrap/>
            <w:vAlign w:val="bottom"/>
            <w:hideMark/>
          </w:tcPr>
          <w:p w14:paraId="6BCD264C"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67.0</w:t>
            </w:r>
          </w:p>
        </w:tc>
        <w:tc>
          <w:tcPr>
            <w:tcW w:w="1177" w:type="dxa"/>
            <w:tcBorders>
              <w:top w:val="nil"/>
              <w:left w:val="nil"/>
              <w:bottom w:val="nil"/>
              <w:right w:val="nil"/>
            </w:tcBorders>
            <w:shd w:val="clear" w:color="000000" w:fill="FFFFFF"/>
            <w:noWrap/>
            <w:vAlign w:val="bottom"/>
            <w:hideMark/>
          </w:tcPr>
          <w:p w14:paraId="384325D3"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609.5</w:t>
            </w:r>
          </w:p>
        </w:tc>
        <w:tc>
          <w:tcPr>
            <w:tcW w:w="1420" w:type="dxa"/>
            <w:tcBorders>
              <w:top w:val="nil"/>
              <w:left w:val="nil"/>
              <w:bottom w:val="nil"/>
              <w:right w:val="nil"/>
            </w:tcBorders>
            <w:shd w:val="clear" w:color="000000" w:fill="FFFFFF"/>
            <w:noWrap/>
            <w:vAlign w:val="bottom"/>
            <w:hideMark/>
          </w:tcPr>
          <w:p w14:paraId="030EDF01"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30.8</w:t>
            </w:r>
          </w:p>
        </w:tc>
        <w:tc>
          <w:tcPr>
            <w:tcW w:w="1190" w:type="dxa"/>
            <w:tcBorders>
              <w:top w:val="nil"/>
              <w:left w:val="nil"/>
              <w:bottom w:val="nil"/>
              <w:right w:val="nil"/>
            </w:tcBorders>
            <w:shd w:val="clear" w:color="000000" w:fill="FFFFFF"/>
            <w:noWrap/>
            <w:vAlign w:val="bottom"/>
            <w:hideMark/>
          </w:tcPr>
          <w:p w14:paraId="6C8DEA8C"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665.1</w:t>
            </w:r>
          </w:p>
        </w:tc>
        <w:tc>
          <w:tcPr>
            <w:tcW w:w="1420" w:type="dxa"/>
            <w:tcBorders>
              <w:top w:val="nil"/>
              <w:left w:val="nil"/>
              <w:bottom w:val="nil"/>
              <w:right w:val="nil"/>
            </w:tcBorders>
            <w:shd w:val="clear" w:color="000000" w:fill="FFFFFF"/>
            <w:noWrap/>
            <w:vAlign w:val="bottom"/>
            <w:hideMark/>
          </w:tcPr>
          <w:p w14:paraId="1B6BFE1E"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93.3</w:t>
            </w:r>
          </w:p>
        </w:tc>
      </w:tr>
      <w:tr w:rsidR="009C6661" w:rsidRPr="00166607" w14:paraId="1C837848" w14:textId="77777777" w:rsidTr="009C6661">
        <w:trPr>
          <w:trHeight w:val="300"/>
        </w:trPr>
        <w:tc>
          <w:tcPr>
            <w:tcW w:w="5200" w:type="dxa"/>
            <w:tcBorders>
              <w:top w:val="nil"/>
              <w:left w:val="nil"/>
              <w:bottom w:val="single" w:sz="8" w:space="0" w:color="auto"/>
              <w:right w:val="nil"/>
            </w:tcBorders>
            <w:shd w:val="clear" w:color="000000" w:fill="FFFFFF"/>
            <w:noWrap/>
            <w:vAlign w:val="center"/>
            <w:hideMark/>
          </w:tcPr>
          <w:p w14:paraId="41AF5134"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968" w:type="dxa"/>
            <w:tcBorders>
              <w:top w:val="nil"/>
              <w:left w:val="nil"/>
              <w:bottom w:val="single" w:sz="8" w:space="0" w:color="auto"/>
              <w:right w:val="nil"/>
            </w:tcBorders>
            <w:shd w:val="clear" w:color="000000" w:fill="FFFFFF"/>
            <w:noWrap/>
            <w:vAlign w:val="bottom"/>
            <w:hideMark/>
          </w:tcPr>
          <w:p w14:paraId="7DCB0C2E"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(803.1)</w:t>
            </w:r>
          </w:p>
        </w:tc>
        <w:tc>
          <w:tcPr>
            <w:tcW w:w="1310" w:type="dxa"/>
            <w:tcBorders>
              <w:top w:val="nil"/>
              <w:left w:val="nil"/>
              <w:bottom w:val="single" w:sz="8" w:space="0" w:color="auto"/>
              <w:right w:val="nil"/>
            </w:tcBorders>
            <w:shd w:val="clear" w:color="000000" w:fill="FFFFFF"/>
            <w:noWrap/>
            <w:vAlign w:val="bottom"/>
            <w:hideMark/>
          </w:tcPr>
          <w:p w14:paraId="719F4E2C"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(40.9)*</w:t>
            </w:r>
          </w:p>
        </w:tc>
        <w:tc>
          <w:tcPr>
            <w:tcW w:w="1177" w:type="dxa"/>
            <w:tcBorders>
              <w:top w:val="nil"/>
              <w:left w:val="nil"/>
              <w:bottom w:val="single" w:sz="8" w:space="0" w:color="auto"/>
              <w:right w:val="nil"/>
            </w:tcBorders>
            <w:shd w:val="clear" w:color="000000" w:fill="FFFFFF"/>
            <w:noWrap/>
            <w:vAlign w:val="bottom"/>
            <w:hideMark/>
          </w:tcPr>
          <w:p w14:paraId="0786EBCB"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(803.1)</w:t>
            </w:r>
          </w:p>
        </w:tc>
        <w:tc>
          <w:tcPr>
            <w:tcW w:w="1420" w:type="dxa"/>
            <w:tcBorders>
              <w:top w:val="nil"/>
              <w:left w:val="nil"/>
              <w:bottom w:val="single" w:sz="8" w:space="0" w:color="auto"/>
              <w:right w:val="nil"/>
            </w:tcBorders>
            <w:shd w:val="clear" w:color="000000" w:fill="FFFFFF"/>
            <w:noWrap/>
            <w:vAlign w:val="bottom"/>
            <w:hideMark/>
          </w:tcPr>
          <w:p w14:paraId="5E107D52"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(52.1)</w:t>
            </w:r>
          </w:p>
        </w:tc>
        <w:tc>
          <w:tcPr>
            <w:tcW w:w="1190" w:type="dxa"/>
            <w:tcBorders>
              <w:top w:val="nil"/>
              <w:left w:val="nil"/>
              <w:bottom w:val="single" w:sz="8" w:space="0" w:color="auto"/>
              <w:right w:val="nil"/>
            </w:tcBorders>
            <w:shd w:val="clear" w:color="000000" w:fill="FFFFFF"/>
            <w:noWrap/>
            <w:vAlign w:val="bottom"/>
            <w:hideMark/>
          </w:tcPr>
          <w:p w14:paraId="39A4A3EE"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(833.4)</w:t>
            </w:r>
          </w:p>
        </w:tc>
        <w:tc>
          <w:tcPr>
            <w:tcW w:w="1420" w:type="dxa"/>
            <w:tcBorders>
              <w:top w:val="nil"/>
              <w:left w:val="nil"/>
              <w:bottom w:val="single" w:sz="8" w:space="0" w:color="auto"/>
              <w:right w:val="nil"/>
            </w:tcBorders>
            <w:shd w:val="clear" w:color="000000" w:fill="FFFFFF"/>
            <w:noWrap/>
            <w:vAlign w:val="bottom"/>
            <w:hideMark/>
          </w:tcPr>
          <w:p w14:paraId="7C31C5F0"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(70.7)</w:t>
            </w:r>
          </w:p>
        </w:tc>
      </w:tr>
      <w:tr w:rsidR="009C6661" w:rsidRPr="00166607" w14:paraId="7CA1AA1B" w14:textId="77777777" w:rsidTr="009C6661">
        <w:trPr>
          <w:trHeight w:val="300"/>
        </w:trPr>
        <w:tc>
          <w:tcPr>
            <w:tcW w:w="5200" w:type="dxa"/>
            <w:tcBorders>
              <w:top w:val="nil"/>
              <w:left w:val="nil"/>
              <w:bottom w:val="single" w:sz="8" w:space="0" w:color="auto"/>
              <w:right w:val="nil"/>
            </w:tcBorders>
            <w:shd w:val="clear" w:color="000000" w:fill="FFFFFF"/>
            <w:vAlign w:val="center"/>
            <w:hideMark/>
          </w:tcPr>
          <w:p w14:paraId="7AAA31CD"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7485" w:type="dxa"/>
            <w:gridSpan w:val="6"/>
            <w:tcBorders>
              <w:top w:val="nil"/>
              <w:left w:val="nil"/>
              <w:bottom w:val="single" w:sz="8" w:space="0" w:color="auto"/>
              <w:right w:val="nil"/>
            </w:tcBorders>
            <w:shd w:val="clear" w:color="000000" w:fill="FFFFFF"/>
            <w:noWrap/>
            <w:vAlign w:val="center"/>
            <w:hideMark/>
          </w:tcPr>
          <w:p w14:paraId="6E4588E5" w14:textId="77777777" w:rsidR="009C6661" w:rsidRPr="00166607" w:rsidRDefault="009C6661" w:rsidP="009C6661">
            <w:pPr>
              <w:jc w:val="center"/>
              <w:rPr>
                <w:rFonts w:ascii="Times New Roman" w:eastAsia="Times New Roman" w:hAnsi="Times New Roman"/>
                <w:i/>
                <w:iCs/>
                <w:color w:val="000000"/>
                <w:sz w:val="22"/>
                <w:szCs w:val="22"/>
              </w:rPr>
            </w:pPr>
            <w:r w:rsidRPr="00166607">
              <w:rPr>
                <w:rFonts w:ascii="Times New Roman" w:eastAsia="Times New Roman" w:hAnsi="Times New Roman"/>
                <w:i/>
                <w:iCs/>
                <w:color w:val="000000"/>
                <w:sz w:val="22"/>
                <w:szCs w:val="22"/>
              </w:rPr>
              <w:t>C. Males</w:t>
            </w:r>
          </w:p>
        </w:tc>
      </w:tr>
      <w:tr w:rsidR="009C6661" w:rsidRPr="00166607" w14:paraId="32329269" w14:textId="77777777" w:rsidTr="009C6661">
        <w:trPr>
          <w:trHeight w:val="280"/>
        </w:trPr>
        <w:tc>
          <w:tcPr>
            <w:tcW w:w="5200" w:type="dxa"/>
            <w:tcBorders>
              <w:top w:val="nil"/>
              <w:left w:val="nil"/>
              <w:bottom w:val="nil"/>
              <w:right w:val="nil"/>
            </w:tcBorders>
            <w:shd w:val="clear" w:color="000000" w:fill="FFFFFF"/>
            <w:noWrap/>
            <w:vAlign w:val="center"/>
            <w:hideMark/>
          </w:tcPr>
          <w:p w14:paraId="6107C3D2"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Average annual formal sector tenure 2008-2014 (months)</w:t>
            </w:r>
          </w:p>
        </w:tc>
        <w:tc>
          <w:tcPr>
            <w:tcW w:w="968" w:type="dxa"/>
            <w:tcBorders>
              <w:top w:val="nil"/>
              <w:left w:val="nil"/>
              <w:bottom w:val="nil"/>
              <w:right w:val="nil"/>
            </w:tcBorders>
            <w:shd w:val="clear" w:color="000000" w:fill="FFFFFF"/>
            <w:noWrap/>
            <w:vAlign w:val="bottom"/>
            <w:hideMark/>
          </w:tcPr>
          <w:p w14:paraId="01F02C6E"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5.90</w:t>
            </w:r>
          </w:p>
        </w:tc>
        <w:tc>
          <w:tcPr>
            <w:tcW w:w="1310" w:type="dxa"/>
            <w:tcBorders>
              <w:top w:val="nil"/>
              <w:left w:val="nil"/>
              <w:bottom w:val="nil"/>
              <w:right w:val="nil"/>
            </w:tcBorders>
            <w:shd w:val="clear" w:color="000000" w:fill="FFFFFF"/>
            <w:noWrap/>
            <w:vAlign w:val="bottom"/>
            <w:hideMark/>
          </w:tcPr>
          <w:p w14:paraId="75E522F8"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0.19</w:t>
            </w:r>
          </w:p>
        </w:tc>
        <w:tc>
          <w:tcPr>
            <w:tcW w:w="1177" w:type="dxa"/>
            <w:tcBorders>
              <w:top w:val="nil"/>
              <w:left w:val="nil"/>
              <w:bottom w:val="nil"/>
              <w:right w:val="nil"/>
            </w:tcBorders>
            <w:shd w:val="clear" w:color="000000" w:fill="FFFFFF"/>
            <w:noWrap/>
            <w:vAlign w:val="bottom"/>
            <w:hideMark/>
          </w:tcPr>
          <w:p w14:paraId="727B67F9"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5.91</w:t>
            </w:r>
          </w:p>
        </w:tc>
        <w:tc>
          <w:tcPr>
            <w:tcW w:w="1420" w:type="dxa"/>
            <w:tcBorders>
              <w:top w:val="nil"/>
              <w:left w:val="nil"/>
              <w:bottom w:val="nil"/>
              <w:right w:val="nil"/>
            </w:tcBorders>
            <w:shd w:val="clear" w:color="000000" w:fill="FFFFFF"/>
            <w:noWrap/>
            <w:vAlign w:val="bottom"/>
            <w:hideMark/>
          </w:tcPr>
          <w:p w14:paraId="0350B12C"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0.11</w:t>
            </w:r>
          </w:p>
        </w:tc>
        <w:tc>
          <w:tcPr>
            <w:tcW w:w="1190" w:type="dxa"/>
            <w:tcBorders>
              <w:top w:val="nil"/>
              <w:left w:val="nil"/>
              <w:bottom w:val="nil"/>
              <w:right w:val="nil"/>
            </w:tcBorders>
            <w:shd w:val="clear" w:color="000000" w:fill="FFFFFF"/>
            <w:noWrap/>
            <w:vAlign w:val="bottom"/>
            <w:hideMark/>
          </w:tcPr>
          <w:p w14:paraId="49A9A63F"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5.91</w:t>
            </w:r>
          </w:p>
        </w:tc>
        <w:tc>
          <w:tcPr>
            <w:tcW w:w="1420" w:type="dxa"/>
            <w:tcBorders>
              <w:top w:val="nil"/>
              <w:left w:val="nil"/>
              <w:bottom w:val="nil"/>
              <w:right w:val="nil"/>
            </w:tcBorders>
            <w:shd w:val="clear" w:color="000000" w:fill="FFFFFF"/>
            <w:noWrap/>
            <w:vAlign w:val="bottom"/>
            <w:hideMark/>
          </w:tcPr>
          <w:p w14:paraId="0C5BA0C0"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0.46</w:t>
            </w:r>
          </w:p>
        </w:tc>
      </w:tr>
      <w:tr w:rsidR="009C6661" w:rsidRPr="00166607" w14:paraId="534A624C" w14:textId="77777777" w:rsidTr="009C6661">
        <w:trPr>
          <w:trHeight w:val="280"/>
        </w:trPr>
        <w:tc>
          <w:tcPr>
            <w:tcW w:w="5200" w:type="dxa"/>
            <w:tcBorders>
              <w:top w:val="nil"/>
              <w:left w:val="nil"/>
              <w:bottom w:val="nil"/>
              <w:right w:val="nil"/>
            </w:tcBorders>
            <w:shd w:val="clear" w:color="000000" w:fill="FFFFFF"/>
            <w:noWrap/>
            <w:vAlign w:val="center"/>
            <w:hideMark/>
          </w:tcPr>
          <w:p w14:paraId="59278382"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968" w:type="dxa"/>
            <w:tcBorders>
              <w:top w:val="nil"/>
              <w:left w:val="nil"/>
              <w:bottom w:val="nil"/>
              <w:right w:val="nil"/>
            </w:tcBorders>
            <w:shd w:val="clear" w:color="000000" w:fill="FFFFFF"/>
            <w:noWrap/>
            <w:vAlign w:val="bottom"/>
            <w:hideMark/>
          </w:tcPr>
          <w:p w14:paraId="5BED095C"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(4.35)</w:t>
            </w:r>
          </w:p>
        </w:tc>
        <w:tc>
          <w:tcPr>
            <w:tcW w:w="1310" w:type="dxa"/>
            <w:tcBorders>
              <w:top w:val="nil"/>
              <w:left w:val="nil"/>
              <w:bottom w:val="nil"/>
              <w:right w:val="nil"/>
            </w:tcBorders>
            <w:shd w:val="clear" w:color="000000" w:fill="FFFFFF"/>
            <w:noWrap/>
            <w:vAlign w:val="bottom"/>
            <w:hideMark/>
          </w:tcPr>
          <w:p w14:paraId="2F8D0748"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(0.21)</w:t>
            </w:r>
          </w:p>
        </w:tc>
        <w:tc>
          <w:tcPr>
            <w:tcW w:w="1177" w:type="dxa"/>
            <w:tcBorders>
              <w:top w:val="nil"/>
              <w:left w:val="nil"/>
              <w:bottom w:val="nil"/>
              <w:right w:val="nil"/>
            </w:tcBorders>
            <w:shd w:val="clear" w:color="000000" w:fill="FFFFFF"/>
            <w:noWrap/>
            <w:vAlign w:val="bottom"/>
            <w:hideMark/>
          </w:tcPr>
          <w:p w14:paraId="505D2E78"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(4.39)</w:t>
            </w:r>
          </w:p>
        </w:tc>
        <w:tc>
          <w:tcPr>
            <w:tcW w:w="1420" w:type="dxa"/>
            <w:tcBorders>
              <w:top w:val="nil"/>
              <w:left w:val="nil"/>
              <w:bottom w:val="nil"/>
              <w:right w:val="nil"/>
            </w:tcBorders>
            <w:shd w:val="clear" w:color="000000" w:fill="FFFFFF"/>
            <w:noWrap/>
            <w:vAlign w:val="bottom"/>
            <w:hideMark/>
          </w:tcPr>
          <w:p w14:paraId="21CC9F37"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(0.29)</w:t>
            </w:r>
          </w:p>
        </w:tc>
        <w:tc>
          <w:tcPr>
            <w:tcW w:w="1190" w:type="dxa"/>
            <w:tcBorders>
              <w:top w:val="nil"/>
              <w:left w:val="nil"/>
              <w:bottom w:val="nil"/>
              <w:right w:val="nil"/>
            </w:tcBorders>
            <w:shd w:val="clear" w:color="000000" w:fill="FFFFFF"/>
            <w:noWrap/>
            <w:vAlign w:val="bottom"/>
            <w:hideMark/>
          </w:tcPr>
          <w:p w14:paraId="4204D0DB"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(4.32)</w:t>
            </w:r>
          </w:p>
        </w:tc>
        <w:tc>
          <w:tcPr>
            <w:tcW w:w="1420" w:type="dxa"/>
            <w:tcBorders>
              <w:top w:val="nil"/>
              <w:left w:val="nil"/>
              <w:bottom w:val="nil"/>
              <w:right w:val="nil"/>
            </w:tcBorders>
            <w:shd w:val="clear" w:color="000000" w:fill="FFFFFF"/>
            <w:noWrap/>
            <w:vAlign w:val="bottom"/>
            <w:hideMark/>
          </w:tcPr>
          <w:p w14:paraId="4DCD2D29"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(0.33)</w:t>
            </w:r>
          </w:p>
        </w:tc>
      </w:tr>
      <w:tr w:rsidR="009C6661" w:rsidRPr="00166607" w14:paraId="43464AB9" w14:textId="77777777" w:rsidTr="009C6661">
        <w:trPr>
          <w:trHeight w:val="280"/>
        </w:trPr>
        <w:tc>
          <w:tcPr>
            <w:tcW w:w="5200" w:type="dxa"/>
            <w:tcBorders>
              <w:top w:val="nil"/>
              <w:left w:val="nil"/>
              <w:bottom w:val="nil"/>
              <w:right w:val="nil"/>
            </w:tcBorders>
            <w:shd w:val="clear" w:color="000000" w:fill="FFFFFF"/>
            <w:noWrap/>
            <w:vAlign w:val="center"/>
            <w:hideMark/>
          </w:tcPr>
          <w:p w14:paraId="67A9E6BB"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lastRenderedPageBreak/>
              <w:t>Average Annual Formal Sector Earnings 2008-2014</w:t>
            </w:r>
          </w:p>
        </w:tc>
        <w:tc>
          <w:tcPr>
            <w:tcW w:w="968" w:type="dxa"/>
            <w:tcBorders>
              <w:top w:val="nil"/>
              <w:left w:val="nil"/>
              <w:bottom w:val="nil"/>
              <w:right w:val="nil"/>
            </w:tcBorders>
            <w:shd w:val="clear" w:color="000000" w:fill="FFFFFF"/>
            <w:noWrap/>
            <w:vAlign w:val="bottom"/>
            <w:hideMark/>
          </w:tcPr>
          <w:p w14:paraId="7C058E10"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2,687.7</w:t>
            </w:r>
          </w:p>
        </w:tc>
        <w:tc>
          <w:tcPr>
            <w:tcW w:w="1310" w:type="dxa"/>
            <w:tcBorders>
              <w:top w:val="nil"/>
              <w:left w:val="nil"/>
              <w:bottom w:val="nil"/>
              <w:right w:val="nil"/>
            </w:tcBorders>
            <w:shd w:val="clear" w:color="000000" w:fill="FFFFFF"/>
            <w:noWrap/>
            <w:vAlign w:val="bottom"/>
            <w:hideMark/>
          </w:tcPr>
          <w:p w14:paraId="7C27FEDC"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146.9</w:t>
            </w:r>
          </w:p>
        </w:tc>
        <w:tc>
          <w:tcPr>
            <w:tcW w:w="1177" w:type="dxa"/>
            <w:tcBorders>
              <w:top w:val="nil"/>
              <w:left w:val="nil"/>
              <w:bottom w:val="nil"/>
              <w:right w:val="nil"/>
            </w:tcBorders>
            <w:shd w:val="clear" w:color="000000" w:fill="FFFFFF"/>
            <w:noWrap/>
            <w:vAlign w:val="bottom"/>
            <w:hideMark/>
          </w:tcPr>
          <w:p w14:paraId="2569324A"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2,685.8</w:t>
            </w:r>
          </w:p>
        </w:tc>
        <w:tc>
          <w:tcPr>
            <w:tcW w:w="1420" w:type="dxa"/>
            <w:tcBorders>
              <w:top w:val="nil"/>
              <w:left w:val="nil"/>
              <w:bottom w:val="nil"/>
              <w:right w:val="nil"/>
            </w:tcBorders>
            <w:shd w:val="clear" w:color="000000" w:fill="FFFFFF"/>
            <w:noWrap/>
            <w:vAlign w:val="bottom"/>
            <w:hideMark/>
          </w:tcPr>
          <w:p w14:paraId="4FBAF7CE"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-64.7</w:t>
            </w:r>
          </w:p>
        </w:tc>
        <w:tc>
          <w:tcPr>
            <w:tcW w:w="1190" w:type="dxa"/>
            <w:tcBorders>
              <w:top w:val="nil"/>
              <w:left w:val="nil"/>
              <w:bottom w:val="nil"/>
              <w:right w:val="nil"/>
            </w:tcBorders>
            <w:shd w:val="clear" w:color="000000" w:fill="FFFFFF"/>
            <w:noWrap/>
            <w:vAlign w:val="bottom"/>
            <w:hideMark/>
          </w:tcPr>
          <w:p w14:paraId="52C17925"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2,743.0</w:t>
            </w:r>
          </w:p>
        </w:tc>
        <w:tc>
          <w:tcPr>
            <w:tcW w:w="1420" w:type="dxa"/>
            <w:tcBorders>
              <w:top w:val="nil"/>
              <w:left w:val="nil"/>
              <w:bottom w:val="nil"/>
              <w:right w:val="nil"/>
            </w:tcBorders>
            <w:shd w:val="clear" w:color="000000" w:fill="FFFFFF"/>
            <w:noWrap/>
            <w:vAlign w:val="bottom"/>
            <w:hideMark/>
          </w:tcPr>
          <w:p w14:paraId="63515C14"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535.3</w:t>
            </w:r>
          </w:p>
        </w:tc>
      </w:tr>
      <w:tr w:rsidR="009C6661" w:rsidRPr="00166607" w14:paraId="59530064" w14:textId="77777777" w:rsidTr="009C6661">
        <w:trPr>
          <w:trHeight w:val="280"/>
        </w:trPr>
        <w:tc>
          <w:tcPr>
            <w:tcW w:w="5200" w:type="dxa"/>
            <w:tcBorders>
              <w:top w:val="nil"/>
              <w:left w:val="nil"/>
              <w:bottom w:val="nil"/>
              <w:right w:val="nil"/>
            </w:tcBorders>
            <w:shd w:val="clear" w:color="000000" w:fill="FFFFFF"/>
            <w:noWrap/>
            <w:vAlign w:val="center"/>
            <w:hideMark/>
          </w:tcPr>
          <w:p w14:paraId="7AAD84C7"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968" w:type="dxa"/>
            <w:tcBorders>
              <w:top w:val="nil"/>
              <w:left w:val="nil"/>
              <w:bottom w:val="nil"/>
              <w:right w:val="nil"/>
            </w:tcBorders>
            <w:shd w:val="clear" w:color="000000" w:fill="FFFFFF"/>
            <w:noWrap/>
            <w:vAlign w:val="bottom"/>
            <w:hideMark/>
          </w:tcPr>
          <w:p w14:paraId="6DCBC3DF"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(3198.1)</w:t>
            </w:r>
          </w:p>
        </w:tc>
        <w:tc>
          <w:tcPr>
            <w:tcW w:w="1310" w:type="dxa"/>
            <w:tcBorders>
              <w:top w:val="nil"/>
              <w:left w:val="nil"/>
              <w:bottom w:val="nil"/>
              <w:right w:val="nil"/>
            </w:tcBorders>
            <w:shd w:val="clear" w:color="000000" w:fill="FFFFFF"/>
            <w:noWrap/>
            <w:vAlign w:val="bottom"/>
            <w:hideMark/>
          </w:tcPr>
          <w:p w14:paraId="3D262C56"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(152.7)</w:t>
            </w:r>
          </w:p>
        </w:tc>
        <w:tc>
          <w:tcPr>
            <w:tcW w:w="1177" w:type="dxa"/>
            <w:tcBorders>
              <w:top w:val="nil"/>
              <w:left w:val="nil"/>
              <w:bottom w:val="nil"/>
              <w:right w:val="nil"/>
            </w:tcBorders>
            <w:shd w:val="clear" w:color="000000" w:fill="FFFFFF"/>
            <w:noWrap/>
            <w:vAlign w:val="bottom"/>
            <w:hideMark/>
          </w:tcPr>
          <w:p w14:paraId="7C7FAF7D"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(3139.2)</w:t>
            </w:r>
          </w:p>
        </w:tc>
        <w:tc>
          <w:tcPr>
            <w:tcW w:w="1420" w:type="dxa"/>
            <w:tcBorders>
              <w:top w:val="nil"/>
              <w:left w:val="nil"/>
              <w:bottom w:val="nil"/>
              <w:right w:val="nil"/>
            </w:tcBorders>
            <w:shd w:val="clear" w:color="000000" w:fill="FFFFFF"/>
            <w:noWrap/>
            <w:vAlign w:val="bottom"/>
            <w:hideMark/>
          </w:tcPr>
          <w:p w14:paraId="497C3CDB"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(191.9)</w:t>
            </w:r>
          </w:p>
        </w:tc>
        <w:tc>
          <w:tcPr>
            <w:tcW w:w="1190" w:type="dxa"/>
            <w:tcBorders>
              <w:top w:val="nil"/>
              <w:left w:val="nil"/>
              <w:bottom w:val="nil"/>
              <w:right w:val="nil"/>
            </w:tcBorders>
            <w:shd w:val="clear" w:color="000000" w:fill="FFFFFF"/>
            <w:noWrap/>
            <w:vAlign w:val="bottom"/>
            <w:hideMark/>
          </w:tcPr>
          <w:p w14:paraId="3E376D82"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(3375)</w:t>
            </w:r>
          </w:p>
        </w:tc>
        <w:tc>
          <w:tcPr>
            <w:tcW w:w="1420" w:type="dxa"/>
            <w:tcBorders>
              <w:top w:val="nil"/>
              <w:left w:val="nil"/>
              <w:bottom w:val="nil"/>
              <w:right w:val="nil"/>
            </w:tcBorders>
            <w:shd w:val="clear" w:color="000000" w:fill="FFFFFF"/>
            <w:noWrap/>
            <w:vAlign w:val="bottom"/>
            <w:hideMark/>
          </w:tcPr>
          <w:p w14:paraId="6F70E6CC"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(272.7)**</w:t>
            </w:r>
          </w:p>
        </w:tc>
      </w:tr>
      <w:tr w:rsidR="009C6661" w:rsidRPr="00166607" w14:paraId="637DACC0" w14:textId="77777777" w:rsidTr="009C6661">
        <w:trPr>
          <w:trHeight w:val="280"/>
        </w:trPr>
        <w:tc>
          <w:tcPr>
            <w:tcW w:w="5200" w:type="dxa"/>
            <w:tcBorders>
              <w:top w:val="nil"/>
              <w:left w:val="nil"/>
              <w:bottom w:val="nil"/>
              <w:right w:val="nil"/>
            </w:tcBorders>
            <w:shd w:val="clear" w:color="000000" w:fill="FFFFFF"/>
            <w:noWrap/>
            <w:vAlign w:val="center"/>
            <w:hideMark/>
          </w:tcPr>
          <w:p w14:paraId="6042E5E7"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Average Annual Payroll Taxes 2008-2014</w:t>
            </w:r>
          </w:p>
        </w:tc>
        <w:tc>
          <w:tcPr>
            <w:tcW w:w="968" w:type="dxa"/>
            <w:tcBorders>
              <w:top w:val="nil"/>
              <w:left w:val="nil"/>
              <w:bottom w:val="nil"/>
              <w:right w:val="nil"/>
            </w:tcBorders>
            <w:shd w:val="clear" w:color="000000" w:fill="FFFFFF"/>
            <w:noWrap/>
            <w:vAlign w:val="bottom"/>
            <w:hideMark/>
          </w:tcPr>
          <w:p w14:paraId="017AA623"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778.1</w:t>
            </w:r>
          </w:p>
        </w:tc>
        <w:tc>
          <w:tcPr>
            <w:tcW w:w="1310" w:type="dxa"/>
            <w:tcBorders>
              <w:top w:val="nil"/>
              <w:left w:val="nil"/>
              <w:bottom w:val="nil"/>
              <w:right w:val="nil"/>
            </w:tcBorders>
            <w:shd w:val="clear" w:color="000000" w:fill="FFFFFF"/>
            <w:noWrap/>
            <w:vAlign w:val="bottom"/>
            <w:hideMark/>
          </w:tcPr>
          <w:p w14:paraId="594450AC"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41.9</w:t>
            </w:r>
          </w:p>
        </w:tc>
        <w:tc>
          <w:tcPr>
            <w:tcW w:w="1177" w:type="dxa"/>
            <w:tcBorders>
              <w:top w:val="nil"/>
              <w:left w:val="nil"/>
              <w:bottom w:val="nil"/>
              <w:right w:val="nil"/>
            </w:tcBorders>
            <w:shd w:val="clear" w:color="000000" w:fill="FFFFFF"/>
            <w:noWrap/>
            <w:vAlign w:val="bottom"/>
            <w:hideMark/>
          </w:tcPr>
          <w:p w14:paraId="2CD7CD06"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778.5</w:t>
            </w:r>
          </w:p>
        </w:tc>
        <w:tc>
          <w:tcPr>
            <w:tcW w:w="1420" w:type="dxa"/>
            <w:tcBorders>
              <w:top w:val="nil"/>
              <w:left w:val="nil"/>
              <w:bottom w:val="nil"/>
              <w:right w:val="nil"/>
            </w:tcBorders>
            <w:shd w:val="clear" w:color="000000" w:fill="FFFFFF"/>
            <w:noWrap/>
            <w:vAlign w:val="bottom"/>
            <w:hideMark/>
          </w:tcPr>
          <w:p w14:paraId="6DE12BC1"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-24.5</w:t>
            </w:r>
          </w:p>
        </w:tc>
        <w:tc>
          <w:tcPr>
            <w:tcW w:w="1190" w:type="dxa"/>
            <w:tcBorders>
              <w:top w:val="nil"/>
              <w:left w:val="nil"/>
              <w:bottom w:val="nil"/>
              <w:right w:val="nil"/>
            </w:tcBorders>
            <w:shd w:val="clear" w:color="000000" w:fill="FFFFFF"/>
            <w:noWrap/>
            <w:vAlign w:val="bottom"/>
            <w:hideMark/>
          </w:tcPr>
          <w:p w14:paraId="72587D60"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793.3</w:t>
            </w:r>
          </w:p>
        </w:tc>
        <w:tc>
          <w:tcPr>
            <w:tcW w:w="1420" w:type="dxa"/>
            <w:tcBorders>
              <w:top w:val="nil"/>
              <w:left w:val="nil"/>
              <w:bottom w:val="nil"/>
              <w:right w:val="nil"/>
            </w:tcBorders>
            <w:shd w:val="clear" w:color="000000" w:fill="FFFFFF"/>
            <w:noWrap/>
            <w:vAlign w:val="bottom"/>
            <w:hideMark/>
          </w:tcPr>
          <w:p w14:paraId="47CECC3A"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160.8</w:t>
            </w:r>
          </w:p>
        </w:tc>
      </w:tr>
      <w:tr w:rsidR="009C6661" w:rsidRPr="00166607" w14:paraId="3280A965" w14:textId="77777777" w:rsidTr="009C6661">
        <w:trPr>
          <w:trHeight w:val="300"/>
        </w:trPr>
        <w:tc>
          <w:tcPr>
            <w:tcW w:w="5200" w:type="dxa"/>
            <w:tcBorders>
              <w:top w:val="nil"/>
              <w:left w:val="nil"/>
              <w:bottom w:val="single" w:sz="8" w:space="0" w:color="auto"/>
              <w:right w:val="nil"/>
            </w:tcBorders>
            <w:shd w:val="clear" w:color="000000" w:fill="FFFFFF"/>
            <w:noWrap/>
            <w:vAlign w:val="center"/>
            <w:hideMark/>
          </w:tcPr>
          <w:p w14:paraId="6759403A" w14:textId="77777777" w:rsidR="009C6661" w:rsidRPr="00166607" w:rsidRDefault="009C6661" w:rsidP="009C6661">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968" w:type="dxa"/>
            <w:tcBorders>
              <w:top w:val="nil"/>
              <w:left w:val="nil"/>
              <w:bottom w:val="single" w:sz="8" w:space="0" w:color="auto"/>
              <w:right w:val="nil"/>
            </w:tcBorders>
            <w:shd w:val="clear" w:color="000000" w:fill="FFFFFF"/>
            <w:noWrap/>
            <w:vAlign w:val="bottom"/>
            <w:hideMark/>
          </w:tcPr>
          <w:p w14:paraId="6601E249"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(948)</w:t>
            </w:r>
          </w:p>
        </w:tc>
        <w:tc>
          <w:tcPr>
            <w:tcW w:w="1310" w:type="dxa"/>
            <w:tcBorders>
              <w:top w:val="nil"/>
              <w:left w:val="nil"/>
              <w:bottom w:val="single" w:sz="8" w:space="0" w:color="auto"/>
              <w:right w:val="nil"/>
            </w:tcBorders>
            <w:shd w:val="clear" w:color="000000" w:fill="FFFFFF"/>
            <w:noWrap/>
            <w:vAlign w:val="bottom"/>
            <w:hideMark/>
          </w:tcPr>
          <w:p w14:paraId="7152F5F7"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(45.2)</w:t>
            </w:r>
          </w:p>
        </w:tc>
        <w:tc>
          <w:tcPr>
            <w:tcW w:w="1177" w:type="dxa"/>
            <w:tcBorders>
              <w:top w:val="nil"/>
              <w:left w:val="nil"/>
              <w:bottom w:val="single" w:sz="8" w:space="0" w:color="auto"/>
              <w:right w:val="nil"/>
            </w:tcBorders>
            <w:shd w:val="clear" w:color="000000" w:fill="FFFFFF"/>
            <w:noWrap/>
            <w:vAlign w:val="bottom"/>
            <w:hideMark/>
          </w:tcPr>
          <w:p w14:paraId="16B2F0B4"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(941.2)</w:t>
            </w:r>
          </w:p>
        </w:tc>
        <w:tc>
          <w:tcPr>
            <w:tcW w:w="1420" w:type="dxa"/>
            <w:tcBorders>
              <w:top w:val="nil"/>
              <w:left w:val="nil"/>
              <w:bottom w:val="single" w:sz="8" w:space="0" w:color="auto"/>
              <w:right w:val="nil"/>
            </w:tcBorders>
            <w:shd w:val="clear" w:color="000000" w:fill="FFFFFF"/>
            <w:noWrap/>
            <w:vAlign w:val="bottom"/>
            <w:hideMark/>
          </w:tcPr>
          <w:p w14:paraId="69C8F97D"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(57)</w:t>
            </w:r>
          </w:p>
        </w:tc>
        <w:tc>
          <w:tcPr>
            <w:tcW w:w="1190" w:type="dxa"/>
            <w:tcBorders>
              <w:top w:val="nil"/>
              <w:left w:val="nil"/>
              <w:bottom w:val="single" w:sz="8" w:space="0" w:color="auto"/>
              <w:right w:val="nil"/>
            </w:tcBorders>
            <w:shd w:val="clear" w:color="000000" w:fill="FFFFFF"/>
            <w:noWrap/>
            <w:vAlign w:val="bottom"/>
            <w:hideMark/>
          </w:tcPr>
          <w:p w14:paraId="5E1810EB"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(987.9)</w:t>
            </w:r>
          </w:p>
        </w:tc>
        <w:tc>
          <w:tcPr>
            <w:tcW w:w="1420" w:type="dxa"/>
            <w:tcBorders>
              <w:top w:val="nil"/>
              <w:left w:val="nil"/>
              <w:bottom w:val="single" w:sz="8" w:space="0" w:color="auto"/>
              <w:right w:val="nil"/>
            </w:tcBorders>
            <w:shd w:val="clear" w:color="000000" w:fill="FFFFFF"/>
            <w:noWrap/>
            <w:vAlign w:val="bottom"/>
            <w:hideMark/>
          </w:tcPr>
          <w:p w14:paraId="5C4DDF69" w14:textId="77777777" w:rsidR="009C6661" w:rsidRPr="00166607" w:rsidRDefault="009C6661" w:rsidP="009C6661">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(80.5)**</w:t>
            </w:r>
          </w:p>
        </w:tc>
      </w:tr>
    </w:tbl>
    <w:p w14:paraId="6BADA733" w14:textId="2F64F2DF" w:rsidR="00EC7488" w:rsidRPr="00166607" w:rsidRDefault="00AD63F4" w:rsidP="00C6061A">
      <w:pPr>
        <w:rPr>
          <w:rFonts w:ascii="Times New Roman" w:hAnsi="Times New Roman"/>
          <w:color w:val="000000"/>
        </w:rPr>
      </w:pPr>
      <w:r w:rsidRPr="00166607">
        <w:rPr>
          <w:rFonts w:ascii="Times New Roman" w:hAnsi="Times New Roman"/>
          <w:i/>
          <w:sz w:val="20"/>
          <w:szCs w:val="20"/>
        </w:rPr>
        <w:t xml:space="preserve">Notes: </w:t>
      </w:r>
      <w:r w:rsidRPr="00166607">
        <w:rPr>
          <w:rFonts w:ascii="Times New Roman" w:hAnsi="Times New Roman"/>
          <w:sz w:val="20"/>
          <w:szCs w:val="20"/>
        </w:rPr>
        <w:t xml:space="preserve">Table reports </w:t>
      </w:r>
      <w:r w:rsidR="00A40FB1" w:rsidRPr="00166607">
        <w:rPr>
          <w:rFonts w:ascii="Times New Roman" w:hAnsi="Times New Roman"/>
          <w:sz w:val="20"/>
          <w:szCs w:val="20"/>
        </w:rPr>
        <w:t>scholarship lottery loser</w:t>
      </w:r>
      <w:r w:rsidRPr="00166607">
        <w:rPr>
          <w:rFonts w:ascii="Times New Roman" w:hAnsi="Times New Roman"/>
          <w:sz w:val="20"/>
          <w:szCs w:val="20"/>
        </w:rPr>
        <w:t>’s means and estimated effects of winning a scholarship on</w:t>
      </w:r>
      <w:r w:rsidR="001E2801" w:rsidRPr="00166607">
        <w:rPr>
          <w:rFonts w:ascii="Times New Roman" w:hAnsi="Times New Roman"/>
          <w:sz w:val="20"/>
          <w:szCs w:val="20"/>
        </w:rPr>
        <w:t xml:space="preserve"> average annual months in formal sector employment, annual </w:t>
      </w:r>
      <w:r w:rsidRPr="00166607">
        <w:rPr>
          <w:rFonts w:ascii="Times New Roman" w:hAnsi="Times New Roman"/>
          <w:sz w:val="20"/>
          <w:szCs w:val="20"/>
        </w:rPr>
        <w:t xml:space="preserve">total formal sector earnings </w:t>
      </w:r>
      <w:r w:rsidR="001E2801" w:rsidRPr="00166607">
        <w:rPr>
          <w:rFonts w:ascii="Times New Roman" w:hAnsi="Times New Roman"/>
          <w:sz w:val="20"/>
          <w:szCs w:val="20"/>
        </w:rPr>
        <w:t xml:space="preserve">and </w:t>
      </w:r>
      <w:r w:rsidR="009C6661" w:rsidRPr="00166607">
        <w:rPr>
          <w:rFonts w:ascii="Times New Roman" w:hAnsi="Times New Roman"/>
          <w:sz w:val="20"/>
          <w:szCs w:val="20"/>
        </w:rPr>
        <w:t xml:space="preserve">annual </w:t>
      </w:r>
      <w:r w:rsidR="001E2801" w:rsidRPr="00166607">
        <w:rPr>
          <w:rFonts w:ascii="Times New Roman" w:hAnsi="Times New Roman"/>
          <w:sz w:val="20"/>
          <w:szCs w:val="20"/>
        </w:rPr>
        <w:t xml:space="preserve">payroll taxes.  Monetary values are expressed </w:t>
      </w:r>
      <w:r w:rsidRPr="00166607">
        <w:rPr>
          <w:rFonts w:ascii="Times New Roman" w:hAnsi="Times New Roman"/>
          <w:sz w:val="20"/>
          <w:szCs w:val="20"/>
        </w:rPr>
        <w:t xml:space="preserve">in </w:t>
      </w:r>
      <w:r w:rsidR="00FC1AE8" w:rsidRPr="00166607">
        <w:rPr>
          <w:rFonts w:ascii="Times New Roman" w:hAnsi="Times New Roman"/>
          <w:sz w:val="20"/>
          <w:szCs w:val="20"/>
        </w:rPr>
        <w:t xml:space="preserve">2013 </w:t>
      </w:r>
      <w:r w:rsidRPr="00166607">
        <w:rPr>
          <w:rFonts w:ascii="Times New Roman" w:hAnsi="Times New Roman"/>
          <w:sz w:val="20"/>
          <w:szCs w:val="20"/>
        </w:rPr>
        <w:t xml:space="preserve">USD. </w:t>
      </w:r>
      <w:r w:rsidR="00AB1E20" w:rsidRPr="00166607">
        <w:rPr>
          <w:rFonts w:ascii="Times New Roman" w:hAnsi="Times New Roman"/>
          <w:sz w:val="20"/>
          <w:szCs w:val="20"/>
        </w:rPr>
        <w:t xml:space="preserve">Total payroll taxes include employer and employee contributions. </w:t>
      </w:r>
      <w:r w:rsidRPr="00166607">
        <w:rPr>
          <w:rFonts w:ascii="Times New Roman" w:hAnsi="Times New Roman"/>
          <w:sz w:val="20"/>
          <w:szCs w:val="20"/>
        </w:rPr>
        <w:t>Numbers in parentheses are standard deviations in columns of means and standard errors in columns of estimated scholarship effects.  Controls include age, male and whether the applicant had a phone number at the time of scholarship application. Formal sector earnings</w:t>
      </w:r>
      <w:r w:rsidR="000A6F22" w:rsidRPr="00166607">
        <w:rPr>
          <w:rFonts w:ascii="Times New Roman" w:hAnsi="Times New Roman"/>
          <w:sz w:val="20"/>
          <w:szCs w:val="20"/>
        </w:rPr>
        <w:t xml:space="preserve"> estimates use the health payroll account.  Formal sector earnings </w:t>
      </w:r>
      <w:r w:rsidR="001E2801" w:rsidRPr="00166607">
        <w:rPr>
          <w:rFonts w:ascii="Times New Roman" w:hAnsi="Times New Roman"/>
          <w:sz w:val="20"/>
          <w:szCs w:val="20"/>
        </w:rPr>
        <w:t xml:space="preserve">data </w:t>
      </w:r>
      <w:r w:rsidRPr="00166607">
        <w:rPr>
          <w:rFonts w:ascii="Times New Roman" w:hAnsi="Times New Roman"/>
          <w:sz w:val="20"/>
          <w:szCs w:val="20"/>
        </w:rPr>
        <w:t>begin</w:t>
      </w:r>
      <w:r w:rsidR="001E2801" w:rsidRPr="00166607">
        <w:rPr>
          <w:rFonts w:ascii="Times New Roman" w:hAnsi="Times New Roman"/>
          <w:sz w:val="20"/>
          <w:szCs w:val="20"/>
        </w:rPr>
        <w:t>s</w:t>
      </w:r>
      <w:r w:rsidRPr="00166607">
        <w:rPr>
          <w:rFonts w:ascii="Times New Roman" w:hAnsi="Times New Roman"/>
          <w:sz w:val="20"/>
          <w:szCs w:val="20"/>
        </w:rPr>
        <w:t xml:space="preserve"> in July 2008</w:t>
      </w:r>
      <w:r w:rsidR="00767C86" w:rsidRPr="00166607">
        <w:rPr>
          <w:rFonts w:ascii="Times New Roman" w:hAnsi="Times New Roman"/>
          <w:sz w:val="20"/>
          <w:szCs w:val="20"/>
        </w:rPr>
        <w:t xml:space="preserve"> </w:t>
      </w:r>
      <w:r w:rsidR="001E2801" w:rsidRPr="00166607">
        <w:rPr>
          <w:rFonts w:ascii="Times New Roman" w:hAnsi="Times New Roman"/>
          <w:sz w:val="20"/>
          <w:szCs w:val="20"/>
        </w:rPr>
        <w:t xml:space="preserve">and end in December 2014 </w:t>
      </w:r>
      <w:r w:rsidR="00767C86" w:rsidRPr="00166607">
        <w:rPr>
          <w:rFonts w:ascii="Times New Roman" w:hAnsi="Times New Roman"/>
          <w:sz w:val="20"/>
          <w:szCs w:val="20"/>
        </w:rPr>
        <w:t>and is restricted to applicants with valid adult identification number that have complete application controls</w:t>
      </w:r>
      <w:r w:rsidRPr="00166607">
        <w:rPr>
          <w:rFonts w:ascii="Times New Roman" w:hAnsi="Times New Roman"/>
          <w:sz w:val="20"/>
          <w:szCs w:val="20"/>
        </w:rPr>
        <w:t>.* significant 10%, ** significant 5%</w:t>
      </w:r>
      <w:r w:rsidR="008D41CF" w:rsidRPr="00166607">
        <w:rPr>
          <w:rFonts w:ascii="Times New Roman" w:hAnsi="Times New Roman"/>
          <w:sz w:val="20"/>
          <w:szCs w:val="20"/>
        </w:rPr>
        <w:t xml:space="preserve"> *** significant 1%</w:t>
      </w:r>
      <w:r w:rsidRPr="00166607">
        <w:rPr>
          <w:rFonts w:ascii="Times New Roman" w:hAnsi="Times New Roman"/>
          <w:sz w:val="20"/>
          <w:szCs w:val="20"/>
        </w:rPr>
        <w:t>.</w:t>
      </w:r>
    </w:p>
    <w:p w14:paraId="7FF43487" w14:textId="77777777" w:rsidR="00EC7488" w:rsidRPr="00166607" w:rsidRDefault="00EC7488" w:rsidP="00C6061A">
      <w:pPr>
        <w:rPr>
          <w:rFonts w:ascii="Times New Roman" w:hAnsi="Times New Roman"/>
          <w:color w:val="000000"/>
        </w:rPr>
      </w:pPr>
    </w:p>
    <w:p w14:paraId="71310F76" w14:textId="77777777" w:rsidR="00EC7488" w:rsidRPr="00166607" w:rsidRDefault="00EC7488" w:rsidP="00C6061A">
      <w:pPr>
        <w:rPr>
          <w:rFonts w:ascii="Times New Roman" w:hAnsi="Times New Roman"/>
          <w:color w:val="000000"/>
        </w:rPr>
      </w:pPr>
    </w:p>
    <w:p w14:paraId="29D554F0" w14:textId="77777777" w:rsidR="00DC5760" w:rsidRPr="00166607" w:rsidRDefault="00DC5760" w:rsidP="00C6061A">
      <w:pPr>
        <w:rPr>
          <w:rFonts w:ascii="Times New Roman" w:hAnsi="Times New Roman"/>
          <w:color w:val="000000"/>
        </w:rPr>
      </w:pPr>
    </w:p>
    <w:p w14:paraId="022B0886" w14:textId="77777777" w:rsidR="00EC7488" w:rsidRPr="00166607" w:rsidRDefault="00EC7488" w:rsidP="00C6061A">
      <w:pPr>
        <w:rPr>
          <w:rFonts w:ascii="Times New Roman" w:hAnsi="Times New Roman"/>
          <w:color w:val="000000"/>
        </w:rPr>
      </w:pPr>
    </w:p>
    <w:p w14:paraId="47F2AA76" w14:textId="77777777" w:rsidR="00EC7488" w:rsidRPr="00166607" w:rsidRDefault="00EC7488" w:rsidP="00C6061A">
      <w:pPr>
        <w:rPr>
          <w:rFonts w:ascii="Times New Roman" w:hAnsi="Times New Roman"/>
          <w:color w:val="000000"/>
        </w:rPr>
      </w:pPr>
    </w:p>
    <w:p w14:paraId="43824A09" w14:textId="77777777" w:rsidR="00EC7488" w:rsidRPr="00166607" w:rsidRDefault="00EC7488" w:rsidP="00C6061A">
      <w:pPr>
        <w:rPr>
          <w:rFonts w:ascii="Times New Roman" w:hAnsi="Times New Roman"/>
          <w:color w:val="000000"/>
        </w:rPr>
      </w:pPr>
    </w:p>
    <w:p w14:paraId="785F0B97" w14:textId="77777777" w:rsidR="00EC7488" w:rsidRPr="00166607" w:rsidRDefault="00EC7488" w:rsidP="00C6061A">
      <w:pPr>
        <w:rPr>
          <w:rFonts w:ascii="Times New Roman" w:hAnsi="Times New Roman"/>
          <w:color w:val="000000"/>
        </w:rPr>
      </w:pPr>
    </w:p>
    <w:p w14:paraId="714C9544" w14:textId="77777777" w:rsidR="00EC7488" w:rsidRPr="00166607" w:rsidRDefault="00EC7488" w:rsidP="00C6061A">
      <w:pPr>
        <w:rPr>
          <w:rFonts w:ascii="Times New Roman" w:hAnsi="Times New Roman"/>
          <w:color w:val="000000"/>
        </w:rPr>
      </w:pPr>
    </w:p>
    <w:p w14:paraId="69D40DC3" w14:textId="77777777" w:rsidR="00492290" w:rsidRPr="00166607" w:rsidRDefault="00492290" w:rsidP="00C6061A">
      <w:pPr>
        <w:rPr>
          <w:rFonts w:ascii="Times New Roman" w:hAnsi="Times New Roman"/>
          <w:color w:val="000000"/>
        </w:rPr>
        <w:sectPr w:rsidR="00492290" w:rsidRPr="00166607" w:rsidSect="00402892">
          <w:endnotePr>
            <w:numFmt w:val="decimal"/>
          </w:endnotePr>
          <w:pgSz w:w="15840" w:h="12240" w:orient="landscape"/>
          <w:pgMar w:top="1582" w:right="1440" w:bottom="1582" w:left="1440" w:header="720" w:footer="720" w:gutter="0"/>
          <w:cols w:space="720"/>
          <w:docGrid w:linePitch="360"/>
        </w:sectPr>
      </w:pPr>
    </w:p>
    <w:p w14:paraId="20EAC251" w14:textId="5581D4F6" w:rsidR="003C7BD6" w:rsidRPr="00166607" w:rsidRDefault="004B4819" w:rsidP="00C6061A">
      <w:pPr>
        <w:rPr>
          <w:rFonts w:ascii="Times New Roman" w:hAnsi="Times New Roman"/>
          <w:szCs w:val="20"/>
        </w:rPr>
      </w:pPr>
      <w:r w:rsidRPr="00166607">
        <w:rPr>
          <w:rFonts w:ascii="Times New Roman" w:hAnsi="Times New Roman"/>
        </w:rPr>
        <w:lastRenderedPageBreak/>
        <w:t>Table 5</w:t>
      </w:r>
      <w:r w:rsidR="003C7BD6" w:rsidRPr="00166607">
        <w:rPr>
          <w:rFonts w:ascii="Times New Roman" w:hAnsi="Times New Roman"/>
        </w:rPr>
        <w:t>. Match rates to SISBEN data</w:t>
      </w:r>
    </w:p>
    <w:p w14:paraId="692D5E29" w14:textId="77777777" w:rsidR="003C7BD6" w:rsidRPr="00166607" w:rsidRDefault="003C7BD6" w:rsidP="00C6061A">
      <w:pPr>
        <w:rPr>
          <w:rFonts w:ascii="Times New Roman" w:hAnsi="Times New Roman"/>
          <w:szCs w:val="20"/>
        </w:rPr>
      </w:pPr>
    </w:p>
    <w:tbl>
      <w:tblPr>
        <w:tblW w:w="11520" w:type="dxa"/>
        <w:tblInd w:w="93" w:type="dxa"/>
        <w:tblLook w:val="04A0" w:firstRow="1" w:lastRow="0" w:firstColumn="1" w:lastColumn="0" w:noHBand="0" w:noVBand="1"/>
      </w:tblPr>
      <w:tblGrid>
        <w:gridCol w:w="3720"/>
        <w:gridCol w:w="1300"/>
        <w:gridCol w:w="1300"/>
        <w:gridCol w:w="1300"/>
        <w:gridCol w:w="1300"/>
        <w:gridCol w:w="1300"/>
        <w:gridCol w:w="1300"/>
      </w:tblGrid>
      <w:tr w:rsidR="00D30CB8" w:rsidRPr="00166607" w14:paraId="0DC82F2D" w14:textId="77777777" w:rsidTr="00D30CB8">
        <w:trPr>
          <w:trHeight w:val="200"/>
        </w:trPr>
        <w:tc>
          <w:tcPr>
            <w:tcW w:w="3720" w:type="dxa"/>
            <w:tcBorders>
              <w:top w:val="nil"/>
              <w:left w:val="nil"/>
              <w:bottom w:val="nil"/>
              <w:right w:val="nil"/>
            </w:tcBorders>
            <w:shd w:val="clear" w:color="auto" w:fill="auto"/>
            <w:noWrap/>
            <w:vAlign w:val="bottom"/>
            <w:hideMark/>
          </w:tcPr>
          <w:p w14:paraId="032F273C" w14:textId="77777777" w:rsidR="00D30CB8" w:rsidRPr="00166607" w:rsidRDefault="00D30CB8" w:rsidP="00D30CB8">
            <w:pPr>
              <w:rPr>
                <w:rFonts w:ascii="Times New Roman" w:eastAsia="Times New Roman" w:hAnsi="Times New Roman"/>
                <w:color w:val="000000"/>
                <w:sz w:val="22"/>
                <w:szCs w:val="22"/>
              </w:rPr>
            </w:pPr>
          </w:p>
        </w:tc>
        <w:tc>
          <w:tcPr>
            <w:tcW w:w="1300" w:type="dxa"/>
            <w:tcBorders>
              <w:top w:val="nil"/>
              <w:left w:val="nil"/>
              <w:bottom w:val="nil"/>
              <w:right w:val="nil"/>
            </w:tcBorders>
            <w:shd w:val="clear" w:color="auto" w:fill="auto"/>
            <w:noWrap/>
            <w:vAlign w:val="bottom"/>
            <w:hideMark/>
          </w:tcPr>
          <w:p w14:paraId="4300E5DD" w14:textId="77777777" w:rsidR="00D30CB8" w:rsidRPr="00166607" w:rsidRDefault="00D30CB8" w:rsidP="00D30CB8">
            <w:pPr>
              <w:rPr>
                <w:rFonts w:ascii="Calibri" w:eastAsia="Times New Roman" w:hAnsi="Calibri"/>
                <w:color w:val="000000"/>
                <w:sz w:val="22"/>
                <w:szCs w:val="22"/>
              </w:rPr>
            </w:pPr>
          </w:p>
        </w:tc>
        <w:tc>
          <w:tcPr>
            <w:tcW w:w="1300" w:type="dxa"/>
            <w:tcBorders>
              <w:top w:val="nil"/>
              <w:left w:val="nil"/>
              <w:bottom w:val="nil"/>
              <w:right w:val="nil"/>
            </w:tcBorders>
            <w:shd w:val="clear" w:color="auto" w:fill="auto"/>
            <w:noWrap/>
            <w:vAlign w:val="bottom"/>
            <w:hideMark/>
          </w:tcPr>
          <w:p w14:paraId="147F2A8E" w14:textId="77777777" w:rsidR="00D30CB8" w:rsidRPr="00166607" w:rsidRDefault="00D30CB8" w:rsidP="00D30CB8">
            <w:pPr>
              <w:rPr>
                <w:rFonts w:ascii="Calibri" w:eastAsia="Times New Roman" w:hAnsi="Calibri"/>
                <w:color w:val="000000"/>
                <w:sz w:val="22"/>
                <w:szCs w:val="22"/>
              </w:rPr>
            </w:pPr>
          </w:p>
        </w:tc>
        <w:tc>
          <w:tcPr>
            <w:tcW w:w="1300" w:type="dxa"/>
            <w:tcBorders>
              <w:top w:val="nil"/>
              <w:left w:val="nil"/>
              <w:bottom w:val="nil"/>
              <w:right w:val="nil"/>
            </w:tcBorders>
            <w:shd w:val="clear" w:color="auto" w:fill="auto"/>
            <w:noWrap/>
            <w:vAlign w:val="bottom"/>
            <w:hideMark/>
          </w:tcPr>
          <w:p w14:paraId="6D9036D7" w14:textId="77777777" w:rsidR="00D30CB8" w:rsidRPr="00166607" w:rsidRDefault="00D30CB8" w:rsidP="00D30CB8">
            <w:pPr>
              <w:rPr>
                <w:rFonts w:ascii="Calibri" w:eastAsia="Times New Roman" w:hAnsi="Calibri"/>
                <w:color w:val="000000"/>
                <w:sz w:val="22"/>
                <w:szCs w:val="22"/>
              </w:rPr>
            </w:pPr>
          </w:p>
        </w:tc>
        <w:tc>
          <w:tcPr>
            <w:tcW w:w="1300" w:type="dxa"/>
            <w:tcBorders>
              <w:top w:val="nil"/>
              <w:left w:val="nil"/>
              <w:bottom w:val="nil"/>
              <w:right w:val="nil"/>
            </w:tcBorders>
            <w:shd w:val="clear" w:color="auto" w:fill="auto"/>
            <w:noWrap/>
            <w:vAlign w:val="bottom"/>
            <w:hideMark/>
          </w:tcPr>
          <w:p w14:paraId="5094CB38" w14:textId="77777777" w:rsidR="00D30CB8" w:rsidRPr="00166607" w:rsidRDefault="00D30CB8" w:rsidP="00D30CB8">
            <w:pPr>
              <w:rPr>
                <w:rFonts w:ascii="Calibri" w:eastAsia="Times New Roman" w:hAnsi="Calibri"/>
                <w:color w:val="000000"/>
                <w:sz w:val="22"/>
                <w:szCs w:val="22"/>
              </w:rPr>
            </w:pPr>
          </w:p>
        </w:tc>
        <w:tc>
          <w:tcPr>
            <w:tcW w:w="1300" w:type="dxa"/>
            <w:tcBorders>
              <w:top w:val="nil"/>
              <w:left w:val="nil"/>
              <w:bottom w:val="nil"/>
              <w:right w:val="nil"/>
            </w:tcBorders>
            <w:shd w:val="clear" w:color="auto" w:fill="auto"/>
            <w:noWrap/>
            <w:vAlign w:val="bottom"/>
            <w:hideMark/>
          </w:tcPr>
          <w:p w14:paraId="7744F995" w14:textId="77777777" w:rsidR="00D30CB8" w:rsidRPr="00166607" w:rsidRDefault="00D30CB8" w:rsidP="00D30CB8">
            <w:pPr>
              <w:rPr>
                <w:rFonts w:ascii="Calibri" w:eastAsia="Times New Roman" w:hAnsi="Calibri"/>
                <w:color w:val="000000"/>
                <w:sz w:val="22"/>
                <w:szCs w:val="22"/>
              </w:rPr>
            </w:pPr>
          </w:p>
        </w:tc>
        <w:tc>
          <w:tcPr>
            <w:tcW w:w="1300" w:type="dxa"/>
            <w:tcBorders>
              <w:top w:val="nil"/>
              <w:left w:val="nil"/>
              <w:bottom w:val="nil"/>
              <w:right w:val="nil"/>
            </w:tcBorders>
            <w:shd w:val="clear" w:color="auto" w:fill="auto"/>
            <w:noWrap/>
            <w:vAlign w:val="bottom"/>
            <w:hideMark/>
          </w:tcPr>
          <w:p w14:paraId="2C27CBF5" w14:textId="77777777" w:rsidR="00D30CB8" w:rsidRPr="00166607" w:rsidRDefault="00D30CB8" w:rsidP="00D30CB8">
            <w:pPr>
              <w:rPr>
                <w:rFonts w:ascii="Calibri" w:eastAsia="Times New Roman" w:hAnsi="Calibri"/>
                <w:color w:val="000000"/>
                <w:sz w:val="22"/>
                <w:szCs w:val="22"/>
              </w:rPr>
            </w:pPr>
          </w:p>
        </w:tc>
      </w:tr>
      <w:tr w:rsidR="00D30CB8" w:rsidRPr="00166607" w14:paraId="560E9929" w14:textId="77777777" w:rsidTr="00D30CB8">
        <w:trPr>
          <w:trHeight w:val="300"/>
        </w:trPr>
        <w:tc>
          <w:tcPr>
            <w:tcW w:w="3720" w:type="dxa"/>
            <w:tcBorders>
              <w:top w:val="double" w:sz="6" w:space="0" w:color="auto"/>
              <w:left w:val="nil"/>
              <w:bottom w:val="nil"/>
              <w:right w:val="nil"/>
            </w:tcBorders>
            <w:shd w:val="clear" w:color="000000" w:fill="FFFFFF"/>
            <w:vAlign w:val="center"/>
            <w:hideMark/>
          </w:tcPr>
          <w:p w14:paraId="53C69B87" w14:textId="77777777" w:rsidR="00D30CB8" w:rsidRPr="00166607" w:rsidRDefault="00D30CB8" w:rsidP="00D30CB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6500" w:type="dxa"/>
            <w:gridSpan w:val="5"/>
            <w:tcBorders>
              <w:top w:val="double" w:sz="6" w:space="0" w:color="auto"/>
              <w:left w:val="nil"/>
              <w:bottom w:val="nil"/>
              <w:right w:val="nil"/>
            </w:tcBorders>
            <w:shd w:val="clear" w:color="000000" w:fill="FFFFFF"/>
            <w:noWrap/>
            <w:vAlign w:val="center"/>
            <w:hideMark/>
          </w:tcPr>
          <w:p w14:paraId="05495D24"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double" w:sz="6" w:space="0" w:color="auto"/>
              <w:left w:val="nil"/>
              <w:bottom w:val="nil"/>
              <w:right w:val="nil"/>
            </w:tcBorders>
            <w:shd w:val="clear" w:color="000000" w:fill="FFFFFF"/>
            <w:noWrap/>
            <w:vAlign w:val="center"/>
            <w:hideMark/>
          </w:tcPr>
          <w:p w14:paraId="6A86F269"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r>
      <w:tr w:rsidR="00D30CB8" w:rsidRPr="00166607" w14:paraId="2E4551F1" w14:textId="77777777" w:rsidTr="00D30CB8">
        <w:trPr>
          <w:trHeight w:val="600"/>
        </w:trPr>
        <w:tc>
          <w:tcPr>
            <w:tcW w:w="3720" w:type="dxa"/>
            <w:tcBorders>
              <w:top w:val="nil"/>
              <w:left w:val="nil"/>
              <w:bottom w:val="nil"/>
              <w:right w:val="nil"/>
            </w:tcBorders>
            <w:shd w:val="clear" w:color="000000" w:fill="FFFFFF"/>
            <w:vAlign w:val="center"/>
            <w:hideMark/>
          </w:tcPr>
          <w:p w14:paraId="09168CC5" w14:textId="77777777" w:rsidR="00D30CB8" w:rsidRPr="00166607" w:rsidRDefault="00D30CB8" w:rsidP="00D30CB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2600" w:type="dxa"/>
            <w:gridSpan w:val="2"/>
            <w:tcBorders>
              <w:top w:val="nil"/>
              <w:left w:val="nil"/>
              <w:bottom w:val="nil"/>
              <w:right w:val="nil"/>
            </w:tcBorders>
            <w:shd w:val="clear" w:color="000000" w:fill="FFFFFF"/>
            <w:vAlign w:val="center"/>
            <w:hideMark/>
          </w:tcPr>
          <w:p w14:paraId="412310FF"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All Applicants</w:t>
            </w:r>
          </w:p>
        </w:tc>
        <w:tc>
          <w:tcPr>
            <w:tcW w:w="2600" w:type="dxa"/>
            <w:gridSpan w:val="2"/>
            <w:tcBorders>
              <w:top w:val="nil"/>
              <w:left w:val="nil"/>
              <w:bottom w:val="nil"/>
              <w:right w:val="nil"/>
            </w:tcBorders>
            <w:shd w:val="clear" w:color="000000" w:fill="FFFFFF"/>
            <w:vAlign w:val="center"/>
            <w:hideMark/>
          </w:tcPr>
          <w:p w14:paraId="794FDFA6"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Academic School Applicants</w:t>
            </w:r>
          </w:p>
        </w:tc>
        <w:tc>
          <w:tcPr>
            <w:tcW w:w="2600" w:type="dxa"/>
            <w:gridSpan w:val="2"/>
            <w:tcBorders>
              <w:top w:val="nil"/>
              <w:left w:val="nil"/>
              <w:bottom w:val="nil"/>
              <w:right w:val="nil"/>
            </w:tcBorders>
            <w:shd w:val="clear" w:color="000000" w:fill="FFFFFF"/>
            <w:vAlign w:val="center"/>
            <w:hideMark/>
          </w:tcPr>
          <w:p w14:paraId="0843DB6B"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Vocational School Applicants</w:t>
            </w:r>
          </w:p>
        </w:tc>
      </w:tr>
      <w:tr w:rsidR="00D30CB8" w:rsidRPr="00166607" w14:paraId="349F1163" w14:textId="77777777" w:rsidTr="00D30CB8">
        <w:trPr>
          <w:trHeight w:val="300"/>
        </w:trPr>
        <w:tc>
          <w:tcPr>
            <w:tcW w:w="3720" w:type="dxa"/>
            <w:tcBorders>
              <w:top w:val="nil"/>
              <w:left w:val="nil"/>
              <w:bottom w:val="single" w:sz="8" w:space="0" w:color="auto"/>
              <w:right w:val="nil"/>
            </w:tcBorders>
            <w:shd w:val="clear" w:color="000000" w:fill="FFFFFF"/>
            <w:vAlign w:val="center"/>
            <w:hideMark/>
          </w:tcPr>
          <w:p w14:paraId="34655BA0"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single" w:sz="8" w:space="0" w:color="auto"/>
              <w:right w:val="nil"/>
            </w:tcBorders>
            <w:shd w:val="clear" w:color="000000" w:fill="FFFFFF"/>
            <w:noWrap/>
            <w:vAlign w:val="center"/>
            <w:hideMark/>
          </w:tcPr>
          <w:p w14:paraId="2F78D122"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w:t>
            </w:r>
          </w:p>
        </w:tc>
        <w:tc>
          <w:tcPr>
            <w:tcW w:w="1300" w:type="dxa"/>
            <w:tcBorders>
              <w:top w:val="nil"/>
              <w:left w:val="nil"/>
              <w:bottom w:val="single" w:sz="8" w:space="0" w:color="auto"/>
              <w:right w:val="nil"/>
            </w:tcBorders>
            <w:shd w:val="clear" w:color="000000" w:fill="FFFFFF"/>
            <w:noWrap/>
            <w:vAlign w:val="center"/>
            <w:hideMark/>
          </w:tcPr>
          <w:p w14:paraId="48FBCE2F"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w:t>
            </w:r>
          </w:p>
        </w:tc>
        <w:tc>
          <w:tcPr>
            <w:tcW w:w="1300" w:type="dxa"/>
            <w:tcBorders>
              <w:top w:val="nil"/>
              <w:left w:val="nil"/>
              <w:bottom w:val="single" w:sz="8" w:space="0" w:color="auto"/>
              <w:right w:val="nil"/>
            </w:tcBorders>
            <w:shd w:val="clear" w:color="000000" w:fill="FFFFFF"/>
            <w:noWrap/>
            <w:vAlign w:val="center"/>
            <w:hideMark/>
          </w:tcPr>
          <w:p w14:paraId="7F21A9D3"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w:t>
            </w:r>
          </w:p>
        </w:tc>
        <w:tc>
          <w:tcPr>
            <w:tcW w:w="1300" w:type="dxa"/>
            <w:tcBorders>
              <w:top w:val="nil"/>
              <w:left w:val="nil"/>
              <w:bottom w:val="single" w:sz="8" w:space="0" w:color="auto"/>
              <w:right w:val="nil"/>
            </w:tcBorders>
            <w:shd w:val="clear" w:color="000000" w:fill="FFFFFF"/>
            <w:noWrap/>
            <w:vAlign w:val="center"/>
            <w:hideMark/>
          </w:tcPr>
          <w:p w14:paraId="497D122A"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w:t>
            </w:r>
          </w:p>
        </w:tc>
        <w:tc>
          <w:tcPr>
            <w:tcW w:w="1300" w:type="dxa"/>
            <w:tcBorders>
              <w:top w:val="nil"/>
              <w:left w:val="nil"/>
              <w:bottom w:val="single" w:sz="8" w:space="0" w:color="auto"/>
              <w:right w:val="nil"/>
            </w:tcBorders>
            <w:shd w:val="clear" w:color="000000" w:fill="FFFFFF"/>
            <w:noWrap/>
            <w:vAlign w:val="center"/>
            <w:hideMark/>
          </w:tcPr>
          <w:p w14:paraId="5E2EC1AD"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w:t>
            </w:r>
          </w:p>
        </w:tc>
        <w:tc>
          <w:tcPr>
            <w:tcW w:w="1300" w:type="dxa"/>
            <w:tcBorders>
              <w:top w:val="nil"/>
              <w:left w:val="nil"/>
              <w:bottom w:val="single" w:sz="8" w:space="0" w:color="auto"/>
              <w:right w:val="nil"/>
            </w:tcBorders>
            <w:shd w:val="clear" w:color="000000" w:fill="FFFFFF"/>
            <w:noWrap/>
            <w:vAlign w:val="center"/>
            <w:hideMark/>
          </w:tcPr>
          <w:p w14:paraId="42C903AE"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(6)</w:t>
            </w:r>
          </w:p>
        </w:tc>
      </w:tr>
      <w:tr w:rsidR="00D30CB8" w:rsidRPr="00166607" w14:paraId="16D0378C" w14:textId="77777777" w:rsidTr="00D30CB8">
        <w:trPr>
          <w:trHeight w:val="280"/>
        </w:trPr>
        <w:tc>
          <w:tcPr>
            <w:tcW w:w="3720" w:type="dxa"/>
            <w:tcBorders>
              <w:top w:val="nil"/>
              <w:left w:val="nil"/>
              <w:bottom w:val="nil"/>
              <w:right w:val="nil"/>
            </w:tcBorders>
            <w:shd w:val="clear" w:color="000000" w:fill="FFFFFF"/>
            <w:vAlign w:val="center"/>
            <w:hideMark/>
          </w:tcPr>
          <w:p w14:paraId="556AE160" w14:textId="77777777" w:rsidR="00D30CB8" w:rsidRPr="00166607" w:rsidRDefault="00D30CB8" w:rsidP="00D30CB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Won a scholarship</w:t>
            </w:r>
          </w:p>
        </w:tc>
        <w:tc>
          <w:tcPr>
            <w:tcW w:w="1300" w:type="dxa"/>
            <w:tcBorders>
              <w:top w:val="nil"/>
              <w:left w:val="nil"/>
              <w:bottom w:val="nil"/>
              <w:right w:val="nil"/>
            </w:tcBorders>
            <w:shd w:val="clear" w:color="000000" w:fill="FFFFFF"/>
            <w:noWrap/>
            <w:vAlign w:val="center"/>
            <w:hideMark/>
          </w:tcPr>
          <w:p w14:paraId="0054F4A0"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-0.028</w:t>
            </w:r>
          </w:p>
        </w:tc>
        <w:tc>
          <w:tcPr>
            <w:tcW w:w="1300" w:type="dxa"/>
            <w:tcBorders>
              <w:top w:val="nil"/>
              <w:left w:val="nil"/>
              <w:bottom w:val="nil"/>
              <w:right w:val="nil"/>
            </w:tcBorders>
            <w:shd w:val="clear" w:color="000000" w:fill="FFFFFF"/>
            <w:noWrap/>
            <w:vAlign w:val="center"/>
            <w:hideMark/>
          </w:tcPr>
          <w:p w14:paraId="56393BF2"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0.051</w:t>
            </w:r>
          </w:p>
        </w:tc>
        <w:tc>
          <w:tcPr>
            <w:tcW w:w="1300" w:type="dxa"/>
            <w:tcBorders>
              <w:top w:val="nil"/>
              <w:left w:val="nil"/>
              <w:bottom w:val="nil"/>
              <w:right w:val="nil"/>
            </w:tcBorders>
            <w:shd w:val="clear" w:color="000000" w:fill="FFFFFF"/>
            <w:noWrap/>
            <w:vAlign w:val="center"/>
            <w:hideMark/>
          </w:tcPr>
          <w:p w14:paraId="6CBD97FE"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-0.029</w:t>
            </w:r>
          </w:p>
        </w:tc>
        <w:tc>
          <w:tcPr>
            <w:tcW w:w="1300" w:type="dxa"/>
            <w:tcBorders>
              <w:top w:val="nil"/>
              <w:left w:val="nil"/>
              <w:bottom w:val="nil"/>
              <w:right w:val="nil"/>
            </w:tcBorders>
            <w:shd w:val="clear" w:color="000000" w:fill="FFFFFF"/>
            <w:noWrap/>
            <w:vAlign w:val="center"/>
            <w:hideMark/>
          </w:tcPr>
          <w:p w14:paraId="407CD4C6"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-0.008</w:t>
            </w:r>
          </w:p>
        </w:tc>
        <w:tc>
          <w:tcPr>
            <w:tcW w:w="1300" w:type="dxa"/>
            <w:tcBorders>
              <w:top w:val="nil"/>
              <w:left w:val="nil"/>
              <w:bottom w:val="nil"/>
              <w:right w:val="nil"/>
            </w:tcBorders>
            <w:shd w:val="clear" w:color="000000" w:fill="FFFFFF"/>
            <w:noWrap/>
            <w:vAlign w:val="center"/>
            <w:hideMark/>
          </w:tcPr>
          <w:p w14:paraId="0FFB802E"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-0.032</w:t>
            </w:r>
          </w:p>
        </w:tc>
        <w:tc>
          <w:tcPr>
            <w:tcW w:w="1300" w:type="dxa"/>
            <w:tcBorders>
              <w:top w:val="nil"/>
              <w:left w:val="nil"/>
              <w:bottom w:val="nil"/>
              <w:right w:val="nil"/>
            </w:tcBorders>
            <w:shd w:val="clear" w:color="000000" w:fill="FFFFFF"/>
            <w:noWrap/>
            <w:vAlign w:val="center"/>
            <w:hideMark/>
          </w:tcPr>
          <w:p w14:paraId="3E712CCB"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0.300</w:t>
            </w:r>
          </w:p>
        </w:tc>
      </w:tr>
      <w:tr w:rsidR="00D30CB8" w:rsidRPr="00166607" w14:paraId="34E04ADA" w14:textId="77777777" w:rsidTr="00D30CB8">
        <w:trPr>
          <w:trHeight w:val="280"/>
        </w:trPr>
        <w:tc>
          <w:tcPr>
            <w:tcW w:w="3720" w:type="dxa"/>
            <w:tcBorders>
              <w:top w:val="nil"/>
              <w:left w:val="nil"/>
              <w:bottom w:val="nil"/>
              <w:right w:val="nil"/>
            </w:tcBorders>
            <w:shd w:val="clear" w:color="000000" w:fill="FFFFFF"/>
            <w:vAlign w:val="center"/>
            <w:hideMark/>
          </w:tcPr>
          <w:p w14:paraId="4CEFBA7E" w14:textId="77777777" w:rsidR="00D30CB8" w:rsidRPr="00166607" w:rsidRDefault="00D30CB8" w:rsidP="00D30CB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23D25C4D"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(0.017)*</w:t>
            </w:r>
          </w:p>
        </w:tc>
        <w:tc>
          <w:tcPr>
            <w:tcW w:w="1300" w:type="dxa"/>
            <w:tcBorders>
              <w:top w:val="nil"/>
              <w:left w:val="nil"/>
              <w:bottom w:val="nil"/>
              <w:right w:val="nil"/>
            </w:tcBorders>
            <w:shd w:val="clear" w:color="000000" w:fill="FFFFFF"/>
            <w:noWrap/>
            <w:vAlign w:val="center"/>
            <w:hideMark/>
          </w:tcPr>
          <w:p w14:paraId="582BB85C"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(0.169)</w:t>
            </w:r>
          </w:p>
        </w:tc>
        <w:tc>
          <w:tcPr>
            <w:tcW w:w="1300" w:type="dxa"/>
            <w:tcBorders>
              <w:top w:val="nil"/>
              <w:left w:val="nil"/>
              <w:bottom w:val="nil"/>
              <w:right w:val="nil"/>
            </w:tcBorders>
            <w:shd w:val="clear" w:color="000000" w:fill="FFFFFF"/>
            <w:noWrap/>
            <w:vAlign w:val="center"/>
            <w:hideMark/>
          </w:tcPr>
          <w:p w14:paraId="204C78B7"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(0.023)</w:t>
            </w:r>
          </w:p>
        </w:tc>
        <w:tc>
          <w:tcPr>
            <w:tcW w:w="1300" w:type="dxa"/>
            <w:tcBorders>
              <w:top w:val="nil"/>
              <w:left w:val="nil"/>
              <w:bottom w:val="nil"/>
              <w:right w:val="nil"/>
            </w:tcBorders>
            <w:shd w:val="clear" w:color="000000" w:fill="FFFFFF"/>
            <w:noWrap/>
            <w:vAlign w:val="center"/>
            <w:hideMark/>
          </w:tcPr>
          <w:p w14:paraId="30BFCF69"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(0.235)</w:t>
            </w:r>
          </w:p>
        </w:tc>
        <w:tc>
          <w:tcPr>
            <w:tcW w:w="1300" w:type="dxa"/>
            <w:tcBorders>
              <w:top w:val="nil"/>
              <w:left w:val="nil"/>
              <w:bottom w:val="nil"/>
              <w:right w:val="nil"/>
            </w:tcBorders>
            <w:shd w:val="clear" w:color="000000" w:fill="FFFFFF"/>
            <w:noWrap/>
            <w:vAlign w:val="center"/>
            <w:hideMark/>
          </w:tcPr>
          <w:p w14:paraId="4984BB32"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(0.026)</w:t>
            </w:r>
          </w:p>
        </w:tc>
        <w:tc>
          <w:tcPr>
            <w:tcW w:w="1300" w:type="dxa"/>
            <w:tcBorders>
              <w:top w:val="nil"/>
              <w:left w:val="nil"/>
              <w:bottom w:val="nil"/>
              <w:right w:val="nil"/>
            </w:tcBorders>
            <w:shd w:val="clear" w:color="000000" w:fill="FFFFFF"/>
            <w:noWrap/>
            <w:vAlign w:val="center"/>
            <w:hideMark/>
          </w:tcPr>
          <w:p w14:paraId="040E5505"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(0.264)</w:t>
            </w:r>
          </w:p>
        </w:tc>
      </w:tr>
      <w:tr w:rsidR="00D30CB8" w:rsidRPr="00166607" w14:paraId="609D117B" w14:textId="77777777" w:rsidTr="00D30CB8">
        <w:trPr>
          <w:trHeight w:val="280"/>
        </w:trPr>
        <w:tc>
          <w:tcPr>
            <w:tcW w:w="3720" w:type="dxa"/>
            <w:tcBorders>
              <w:top w:val="nil"/>
              <w:left w:val="nil"/>
              <w:bottom w:val="nil"/>
              <w:right w:val="nil"/>
            </w:tcBorders>
            <w:shd w:val="clear" w:color="000000" w:fill="FFFFFF"/>
            <w:vAlign w:val="center"/>
            <w:hideMark/>
          </w:tcPr>
          <w:p w14:paraId="1BA46337" w14:textId="77777777" w:rsidR="00D30CB8" w:rsidRPr="00166607" w:rsidRDefault="00D30CB8" w:rsidP="00D30CB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Age * won a scholarship</w:t>
            </w:r>
          </w:p>
        </w:tc>
        <w:tc>
          <w:tcPr>
            <w:tcW w:w="1300" w:type="dxa"/>
            <w:tcBorders>
              <w:top w:val="nil"/>
              <w:left w:val="nil"/>
              <w:bottom w:val="nil"/>
              <w:right w:val="nil"/>
            </w:tcBorders>
            <w:shd w:val="clear" w:color="000000" w:fill="FFFFFF"/>
            <w:noWrap/>
            <w:vAlign w:val="center"/>
            <w:hideMark/>
          </w:tcPr>
          <w:p w14:paraId="0C7EFC8A"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7EAAFF83"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-0.001</w:t>
            </w:r>
          </w:p>
        </w:tc>
        <w:tc>
          <w:tcPr>
            <w:tcW w:w="1300" w:type="dxa"/>
            <w:tcBorders>
              <w:top w:val="nil"/>
              <w:left w:val="nil"/>
              <w:bottom w:val="nil"/>
              <w:right w:val="nil"/>
            </w:tcBorders>
            <w:shd w:val="clear" w:color="000000" w:fill="FFFFFF"/>
            <w:noWrap/>
            <w:vAlign w:val="center"/>
            <w:hideMark/>
          </w:tcPr>
          <w:p w14:paraId="01194C70"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4296244D"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0.007</w:t>
            </w:r>
          </w:p>
        </w:tc>
        <w:tc>
          <w:tcPr>
            <w:tcW w:w="1300" w:type="dxa"/>
            <w:tcBorders>
              <w:top w:val="nil"/>
              <w:left w:val="nil"/>
              <w:bottom w:val="nil"/>
              <w:right w:val="nil"/>
            </w:tcBorders>
            <w:shd w:val="clear" w:color="000000" w:fill="FFFFFF"/>
            <w:noWrap/>
            <w:vAlign w:val="center"/>
            <w:hideMark/>
          </w:tcPr>
          <w:p w14:paraId="14FB7FFC"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0F69959B"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-0.029</w:t>
            </w:r>
          </w:p>
        </w:tc>
      </w:tr>
      <w:tr w:rsidR="00D30CB8" w:rsidRPr="00166607" w14:paraId="208849C3" w14:textId="77777777" w:rsidTr="00D30CB8">
        <w:trPr>
          <w:trHeight w:val="280"/>
        </w:trPr>
        <w:tc>
          <w:tcPr>
            <w:tcW w:w="3720" w:type="dxa"/>
            <w:tcBorders>
              <w:top w:val="nil"/>
              <w:left w:val="nil"/>
              <w:bottom w:val="nil"/>
              <w:right w:val="nil"/>
            </w:tcBorders>
            <w:shd w:val="clear" w:color="000000" w:fill="FFFFFF"/>
            <w:vAlign w:val="center"/>
            <w:hideMark/>
          </w:tcPr>
          <w:p w14:paraId="04B4820A" w14:textId="77777777" w:rsidR="00D30CB8" w:rsidRPr="00166607" w:rsidRDefault="00D30CB8" w:rsidP="00D30CB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1BED71C2"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7F31D4D2"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(0.013)</w:t>
            </w:r>
          </w:p>
        </w:tc>
        <w:tc>
          <w:tcPr>
            <w:tcW w:w="1300" w:type="dxa"/>
            <w:tcBorders>
              <w:top w:val="nil"/>
              <w:left w:val="nil"/>
              <w:bottom w:val="nil"/>
              <w:right w:val="nil"/>
            </w:tcBorders>
            <w:shd w:val="clear" w:color="000000" w:fill="FFFFFF"/>
            <w:noWrap/>
            <w:vAlign w:val="center"/>
            <w:hideMark/>
          </w:tcPr>
          <w:p w14:paraId="35BE8915"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699DA9CB"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(0.017)</w:t>
            </w:r>
          </w:p>
        </w:tc>
        <w:tc>
          <w:tcPr>
            <w:tcW w:w="1300" w:type="dxa"/>
            <w:tcBorders>
              <w:top w:val="nil"/>
              <w:left w:val="nil"/>
              <w:bottom w:val="nil"/>
              <w:right w:val="nil"/>
            </w:tcBorders>
            <w:shd w:val="clear" w:color="000000" w:fill="FFFFFF"/>
            <w:noWrap/>
            <w:vAlign w:val="center"/>
            <w:hideMark/>
          </w:tcPr>
          <w:p w14:paraId="6087AF4E"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505D2604"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(0.020)</w:t>
            </w:r>
          </w:p>
        </w:tc>
      </w:tr>
      <w:tr w:rsidR="00D30CB8" w:rsidRPr="00166607" w14:paraId="63ED4B7D" w14:textId="77777777" w:rsidTr="00D30CB8">
        <w:trPr>
          <w:trHeight w:val="280"/>
        </w:trPr>
        <w:tc>
          <w:tcPr>
            <w:tcW w:w="3720" w:type="dxa"/>
            <w:tcBorders>
              <w:top w:val="nil"/>
              <w:left w:val="nil"/>
              <w:bottom w:val="nil"/>
              <w:right w:val="nil"/>
            </w:tcBorders>
            <w:shd w:val="clear" w:color="000000" w:fill="FFFFFF"/>
            <w:vAlign w:val="center"/>
            <w:hideMark/>
          </w:tcPr>
          <w:p w14:paraId="27827D4E" w14:textId="77777777" w:rsidR="00D30CB8" w:rsidRPr="00166607" w:rsidRDefault="00D30CB8" w:rsidP="00D30CB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Phone * won a scholarship</w:t>
            </w:r>
          </w:p>
        </w:tc>
        <w:tc>
          <w:tcPr>
            <w:tcW w:w="1300" w:type="dxa"/>
            <w:tcBorders>
              <w:top w:val="nil"/>
              <w:left w:val="nil"/>
              <w:bottom w:val="nil"/>
              <w:right w:val="nil"/>
            </w:tcBorders>
            <w:shd w:val="clear" w:color="000000" w:fill="FFFFFF"/>
            <w:noWrap/>
            <w:vAlign w:val="center"/>
            <w:hideMark/>
          </w:tcPr>
          <w:p w14:paraId="540DED68"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355980FB"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-0.078</w:t>
            </w:r>
          </w:p>
        </w:tc>
        <w:tc>
          <w:tcPr>
            <w:tcW w:w="1300" w:type="dxa"/>
            <w:tcBorders>
              <w:top w:val="nil"/>
              <w:left w:val="nil"/>
              <w:bottom w:val="nil"/>
              <w:right w:val="nil"/>
            </w:tcBorders>
            <w:shd w:val="clear" w:color="000000" w:fill="FFFFFF"/>
            <w:noWrap/>
            <w:vAlign w:val="center"/>
            <w:hideMark/>
          </w:tcPr>
          <w:p w14:paraId="45B5DAA0"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6C9103DD"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-0.127</w:t>
            </w:r>
          </w:p>
        </w:tc>
        <w:tc>
          <w:tcPr>
            <w:tcW w:w="1300" w:type="dxa"/>
            <w:tcBorders>
              <w:top w:val="nil"/>
              <w:left w:val="nil"/>
              <w:bottom w:val="nil"/>
              <w:right w:val="nil"/>
            </w:tcBorders>
            <w:shd w:val="clear" w:color="000000" w:fill="FFFFFF"/>
            <w:noWrap/>
            <w:vAlign w:val="center"/>
            <w:hideMark/>
          </w:tcPr>
          <w:p w14:paraId="124E2A07"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5BAF0204"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0.026</w:t>
            </w:r>
          </w:p>
        </w:tc>
      </w:tr>
      <w:tr w:rsidR="00D30CB8" w:rsidRPr="00166607" w14:paraId="12BC491F" w14:textId="77777777" w:rsidTr="00D30CB8">
        <w:trPr>
          <w:trHeight w:val="280"/>
        </w:trPr>
        <w:tc>
          <w:tcPr>
            <w:tcW w:w="3720" w:type="dxa"/>
            <w:tcBorders>
              <w:top w:val="nil"/>
              <w:left w:val="nil"/>
              <w:bottom w:val="nil"/>
              <w:right w:val="nil"/>
            </w:tcBorders>
            <w:shd w:val="clear" w:color="000000" w:fill="FFFFFF"/>
            <w:vAlign w:val="center"/>
            <w:hideMark/>
          </w:tcPr>
          <w:p w14:paraId="2175D3CD" w14:textId="77777777" w:rsidR="00D30CB8" w:rsidRPr="00166607" w:rsidRDefault="00D30CB8" w:rsidP="00D30CB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404B2DB3"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1F24F7C8"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(0.053)</w:t>
            </w:r>
          </w:p>
        </w:tc>
        <w:tc>
          <w:tcPr>
            <w:tcW w:w="1300" w:type="dxa"/>
            <w:tcBorders>
              <w:top w:val="nil"/>
              <w:left w:val="nil"/>
              <w:bottom w:val="nil"/>
              <w:right w:val="nil"/>
            </w:tcBorders>
            <w:shd w:val="clear" w:color="000000" w:fill="FFFFFF"/>
            <w:noWrap/>
            <w:vAlign w:val="center"/>
            <w:hideMark/>
          </w:tcPr>
          <w:p w14:paraId="68427FA2"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5A274ABC"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(0.07)*</w:t>
            </w:r>
          </w:p>
        </w:tc>
        <w:tc>
          <w:tcPr>
            <w:tcW w:w="1300" w:type="dxa"/>
            <w:tcBorders>
              <w:top w:val="nil"/>
              <w:left w:val="nil"/>
              <w:bottom w:val="nil"/>
              <w:right w:val="nil"/>
            </w:tcBorders>
            <w:shd w:val="clear" w:color="000000" w:fill="FFFFFF"/>
            <w:noWrap/>
            <w:vAlign w:val="center"/>
            <w:hideMark/>
          </w:tcPr>
          <w:p w14:paraId="306AE2D1"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0F8C4192"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(0.087)</w:t>
            </w:r>
          </w:p>
        </w:tc>
      </w:tr>
      <w:tr w:rsidR="00D30CB8" w:rsidRPr="00166607" w14:paraId="2D600AC2" w14:textId="77777777" w:rsidTr="00D30CB8">
        <w:trPr>
          <w:trHeight w:val="280"/>
        </w:trPr>
        <w:tc>
          <w:tcPr>
            <w:tcW w:w="3720" w:type="dxa"/>
            <w:tcBorders>
              <w:top w:val="nil"/>
              <w:left w:val="nil"/>
              <w:bottom w:val="nil"/>
              <w:right w:val="nil"/>
            </w:tcBorders>
            <w:shd w:val="clear" w:color="000000" w:fill="FFFFFF"/>
            <w:vAlign w:val="center"/>
            <w:hideMark/>
          </w:tcPr>
          <w:p w14:paraId="5C4DDDE3" w14:textId="77777777" w:rsidR="00D30CB8" w:rsidRPr="00166607" w:rsidRDefault="00D30CB8" w:rsidP="00D30CB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Male * won a scholarship</w:t>
            </w:r>
          </w:p>
        </w:tc>
        <w:tc>
          <w:tcPr>
            <w:tcW w:w="1300" w:type="dxa"/>
            <w:tcBorders>
              <w:top w:val="nil"/>
              <w:left w:val="nil"/>
              <w:bottom w:val="nil"/>
              <w:right w:val="nil"/>
            </w:tcBorders>
            <w:shd w:val="clear" w:color="000000" w:fill="FFFFFF"/>
            <w:noWrap/>
            <w:vAlign w:val="center"/>
            <w:hideMark/>
          </w:tcPr>
          <w:p w14:paraId="32462D13"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493C030D"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0.009</w:t>
            </w:r>
          </w:p>
        </w:tc>
        <w:tc>
          <w:tcPr>
            <w:tcW w:w="1300" w:type="dxa"/>
            <w:tcBorders>
              <w:top w:val="nil"/>
              <w:left w:val="nil"/>
              <w:bottom w:val="nil"/>
              <w:right w:val="nil"/>
            </w:tcBorders>
            <w:shd w:val="clear" w:color="000000" w:fill="FFFFFF"/>
            <w:noWrap/>
            <w:vAlign w:val="center"/>
            <w:hideMark/>
          </w:tcPr>
          <w:p w14:paraId="1E4DD8B3"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2B7F0FBD"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0.000</w:t>
            </w:r>
          </w:p>
        </w:tc>
        <w:tc>
          <w:tcPr>
            <w:tcW w:w="1300" w:type="dxa"/>
            <w:tcBorders>
              <w:top w:val="nil"/>
              <w:left w:val="nil"/>
              <w:bottom w:val="nil"/>
              <w:right w:val="nil"/>
            </w:tcBorders>
            <w:shd w:val="clear" w:color="000000" w:fill="FFFFFF"/>
            <w:noWrap/>
            <w:vAlign w:val="center"/>
            <w:hideMark/>
          </w:tcPr>
          <w:p w14:paraId="448B8ECA"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38F1C003"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0.020</w:t>
            </w:r>
          </w:p>
        </w:tc>
      </w:tr>
      <w:tr w:rsidR="00D30CB8" w:rsidRPr="00166607" w14:paraId="7EDCF7BA" w14:textId="77777777" w:rsidTr="00D30CB8">
        <w:trPr>
          <w:trHeight w:val="280"/>
        </w:trPr>
        <w:tc>
          <w:tcPr>
            <w:tcW w:w="3720" w:type="dxa"/>
            <w:tcBorders>
              <w:top w:val="nil"/>
              <w:left w:val="nil"/>
              <w:bottom w:val="nil"/>
              <w:right w:val="nil"/>
            </w:tcBorders>
            <w:shd w:val="clear" w:color="000000" w:fill="FFFFFF"/>
            <w:vAlign w:val="center"/>
            <w:hideMark/>
          </w:tcPr>
          <w:p w14:paraId="58897BE2" w14:textId="77777777" w:rsidR="00D30CB8" w:rsidRPr="00166607" w:rsidRDefault="00D30CB8" w:rsidP="00D30CB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2D626AEA"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33AC565F"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(0.034)</w:t>
            </w:r>
          </w:p>
        </w:tc>
        <w:tc>
          <w:tcPr>
            <w:tcW w:w="1300" w:type="dxa"/>
            <w:tcBorders>
              <w:top w:val="nil"/>
              <w:left w:val="nil"/>
              <w:bottom w:val="nil"/>
              <w:right w:val="nil"/>
            </w:tcBorders>
            <w:shd w:val="clear" w:color="000000" w:fill="FFFFFF"/>
            <w:noWrap/>
            <w:vAlign w:val="center"/>
            <w:hideMark/>
          </w:tcPr>
          <w:p w14:paraId="757A394C"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6CF5210D"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(0.046)</w:t>
            </w:r>
          </w:p>
        </w:tc>
        <w:tc>
          <w:tcPr>
            <w:tcW w:w="1300" w:type="dxa"/>
            <w:tcBorders>
              <w:top w:val="nil"/>
              <w:left w:val="nil"/>
              <w:bottom w:val="nil"/>
              <w:right w:val="nil"/>
            </w:tcBorders>
            <w:shd w:val="clear" w:color="000000" w:fill="FFFFFF"/>
            <w:noWrap/>
            <w:vAlign w:val="center"/>
            <w:hideMark/>
          </w:tcPr>
          <w:p w14:paraId="1301E716"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4B0AF81B"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(0.053)</w:t>
            </w:r>
          </w:p>
        </w:tc>
      </w:tr>
      <w:tr w:rsidR="00D30CB8" w:rsidRPr="00166607" w14:paraId="349072DB" w14:textId="77777777" w:rsidTr="00D30CB8">
        <w:trPr>
          <w:trHeight w:val="280"/>
        </w:trPr>
        <w:tc>
          <w:tcPr>
            <w:tcW w:w="3720" w:type="dxa"/>
            <w:tcBorders>
              <w:top w:val="nil"/>
              <w:left w:val="nil"/>
              <w:bottom w:val="nil"/>
              <w:right w:val="nil"/>
            </w:tcBorders>
            <w:shd w:val="clear" w:color="000000" w:fill="FFFFFF"/>
            <w:vAlign w:val="center"/>
            <w:hideMark/>
          </w:tcPr>
          <w:p w14:paraId="7E188531" w14:textId="77777777" w:rsidR="00D30CB8" w:rsidRPr="00166607" w:rsidRDefault="00D30CB8" w:rsidP="00D30CB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Loser's mean</w:t>
            </w:r>
          </w:p>
        </w:tc>
        <w:tc>
          <w:tcPr>
            <w:tcW w:w="1300" w:type="dxa"/>
            <w:tcBorders>
              <w:top w:val="nil"/>
              <w:left w:val="nil"/>
              <w:bottom w:val="nil"/>
              <w:right w:val="nil"/>
            </w:tcBorders>
            <w:shd w:val="clear" w:color="000000" w:fill="FFFFFF"/>
            <w:noWrap/>
            <w:vAlign w:val="center"/>
            <w:hideMark/>
          </w:tcPr>
          <w:p w14:paraId="0DBA94ED"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0.515</w:t>
            </w:r>
          </w:p>
        </w:tc>
        <w:tc>
          <w:tcPr>
            <w:tcW w:w="1300" w:type="dxa"/>
            <w:tcBorders>
              <w:top w:val="nil"/>
              <w:left w:val="nil"/>
              <w:bottom w:val="nil"/>
              <w:right w:val="nil"/>
            </w:tcBorders>
            <w:shd w:val="clear" w:color="000000" w:fill="FFFFFF"/>
            <w:noWrap/>
            <w:vAlign w:val="center"/>
            <w:hideMark/>
          </w:tcPr>
          <w:p w14:paraId="49EFFFC5"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173400D6"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0.504</w:t>
            </w:r>
          </w:p>
        </w:tc>
        <w:tc>
          <w:tcPr>
            <w:tcW w:w="1300" w:type="dxa"/>
            <w:tcBorders>
              <w:top w:val="nil"/>
              <w:left w:val="nil"/>
              <w:bottom w:val="nil"/>
              <w:right w:val="nil"/>
            </w:tcBorders>
            <w:shd w:val="clear" w:color="000000" w:fill="FFFFFF"/>
            <w:noWrap/>
            <w:vAlign w:val="center"/>
            <w:hideMark/>
          </w:tcPr>
          <w:p w14:paraId="4110C42B"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3B4288D4"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0.524</w:t>
            </w:r>
          </w:p>
        </w:tc>
        <w:tc>
          <w:tcPr>
            <w:tcW w:w="1300" w:type="dxa"/>
            <w:tcBorders>
              <w:top w:val="nil"/>
              <w:left w:val="nil"/>
              <w:bottom w:val="nil"/>
              <w:right w:val="nil"/>
            </w:tcBorders>
            <w:shd w:val="clear" w:color="000000" w:fill="FFFFFF"/>
            <w:noWrap/>
            <w:vAlign w:val="center"/>
            <w:hideMark/>
          </w:tcPr>
          <w:p w14:paraId="0287F361"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r>
      <w:tr w:rsidR="00D30CB8" w:rsidRPr="00166607" w14:paraId="0FEE594C" w14:textId="77777777" w:rsidTr="00D30CB8">
        <w:trPr>
          <w:trHeight w:val="520"/>
        </w:trPr>
        <w:tc>
          <w:tcPr>
            <w:tcW w:w="3720" w:type="dxa"/>
            <w:tcBorders>
              <w:top w:val="nil"/>
              <w:left w:val="nil"/>
              <w:bottom w:val="nil"/>
              <w:right w:val="nil"/>
            </w:tcBorders>
            <w:shd w:val="clear" w:color="000000" w:fill="FFFFFF"/>
            <w:vAlign w:val="center"/>
            <w:hideMark/>
          </w:tcPr>
          <w:p w14:paraId="24931241" w14:textId="77777777" w:rsidR="00D30CB8" w:rsidRPr="00166607" w:rsidRDefault="00D30CB8" w:rsidP="00D30CB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p-value on F-stat of joint test of interactions</w:t>
            </w:r>
          </w:p>
        </w:tc>
        <w:tc>
          <w:tcPr>
            <w:tcW w:w="1300" w:type="dxa"/>
            <w:tcBorders>
              <w:top w:val="nil"/>
              <w:left w:val="nil"/>
              <w:bottom w:val="nil"/>
              <w:right w:val="nil"/>
            </w:tcBorders>
            <w:shd w:val="clear" w:color="000000" w:fill="FFFFFF"/>
            <w:noWrap/>
            <w:vAlign w:val="center"/>
            <w:hideMark/>
          </w:tcPr>
          <w:p w14:paraId="39301829"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051BC0DA"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0.525</w:t>
            </w:r>
          </w:p>
        </w:tc>
        <w:tc>
          <w:tcPr>
            <w:tcW w:w="1300" w:type="dxa"/>
            <w:tcBorders>
              <w:top w:val="nil"/>
              <w:left w:val="nil"/>
              <w:bottom w:val="nil"/>
              <w:right w:val="nil"/>
            </w:tcBorders>
            <w:shd w:val="clear" w:color="000000" w:fill="FFFFFF"/>
            <w:noWrap/>
            <w:vAlign w:val="center"/>
            <w:hideMark/>
          </w:tcPr>
          <w:p w14:paraId="14C22A83"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77E5A9B8"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0.327</w:t>
            </w:r>
          </w:p>
        </w:tc>
        <w:tc>
          <w:tcPr>
            <w:tcW w:w="1300" w:type="dxa"/>
            <w:tcBorders>
              <w:top w:val="nil"/>
              <w:left w:val="nil"/>
              <w:bottom w:val="nil"/>
              <w:right w:val="nil"/>
            </w:tcBorders>
            <w:shd w:val="clear" w:color="000000" w:fill="FFFFFF"/>
            <w:noWrap/>
            <w:vAlign w:val="center"/>
            <w:hideMark/>
          </w:tcPr>
          <w:p w14:paraId="40ACF8A5"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 </w:t>
            </w:r>
          </w:p>
        </w:tc>
        <w:tc>
          <w:tcPr>
            <w:tcW w:w="1300" w:type="dxa"/>
            <w:tcBorders>
              <w:top w:val="nil"/>
              <w:left w:val="nil"/>
              <w:bottom w:val="nil"/>
              <w:right w:val="nil"/>
            </w:tcBorders>
            <w:shd w:val="clear" w:color="000000" w:fill="FFFFFF"/>
            <w:noWrap/>
            <w:vAlign w:val="center"/>
            <w:hideMark/>
          </w:tcPr>
          <w:p w14:paraId="46CBB512"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0.508</w:t>
            </w:r>
          </w:p>
        </w:tc>
      </w:tr>
      <w:tr w:rsidR="00D30CB8" w:rsidRPr="00166607" w14:paraId="4B9F0048" w14:textId="77777777" w:rsidTr="00D30CB8">
        <w:trPr>
          <w:trHeight w:val="300"/>
        </w:trPr>
        <w:tc>
          <w:tcPr>
            <w:tcW w:w="3720" w:type="dxa"/>
            <w:tcBorders>
              <w:top w:val="nil"/>
              <w:left w:val="nil"/>
              <w:bottom w:val="double" w:sz="6" w:space="0" w:color="auto"/>
              <w:right w:val="nil"/>
            </w:tcBorders>
            <w:shd w:val="clear" w:color="000000" w:fill="FFFFFF"/>
            <w:vAlign w:val="center"/>
            <w:hideMark/>
          </w:tcPr>
          <w:p w14:paraId="45E45F59" w14:textId="77777777" w:rsidR="00D30CB8" w:rsidRPr="00166607" w:rsidRDefault="00D30CB8" w:rsidP="00D30CB8">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N</w:t>
            </w:r>
          </w:p>
        </w:tc>
        <w:tc>
          <w:tcPr>
            <w:tcW w:w="1300" w:type="dxa"/>
            <w:tcBorders>
              <w:top w:val="nil"/>
              <w:left w:val="nil"/>
              <w:bottom w:val="double" w:sz="6" w:space="0" w:color="auto"/>
              <w:right w:val="nil"/>
            </w:tcBorders>
            <w:shd w:val="clear" w:color="000000" w:fill="FFFFFF"/>
            <w:noWrap/>
            <w:vAlign w:val="center"/>
            <w:hideMark/>
          </w:tcPr>
          <w:p w14:paraId="652AAFA6"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3661</w:t>
            </w:r>
          </w:p>
        </w:tc>
        <w:tc>
          <w:tcPr>
            <w:tcW w:w="1300" w:type="dxa"/>
            <w:tcBorders>
              <w:top w:val="nil"/>
              <w:left w:val="nil"/>
              <w:bottom w:val="double" w:sz="6" w:space="0" w:color="auto"/>
              <w:right w:val="nil"/>
            </w:tcBorders>
            <w:shd w:val="clear" w:color="000000" w:fill="FFFFFF"/>
            <w:noWrap/>
            <w:vAlign w:val="center"/>
            <w:hideMark/>
          </w:tcPr>
          <w:p w14:paraId="31A156BC"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3661</w:t>
            </w:r>
          </w:p>
        </w:tc>
        <w:tc>
          <w:tcPr>
            <w:tcW w:w="1300" w:type="dxa"/>
            <w:tcBorders>
              <w:top w:val="nil"/>
              <w:left w:val="nil"/>
              <w:bottom w:val="double" w:sz="6" w:space="0" w:color="auto"/>
              <w:right w:val="nil"/>
            </w:tcBorders>
            <w:shd w:val="clear" w:color="000000" w:fill="FFFFFF"/>
            <w:noWrap/>
            <w:vAlign w:val="center"/>
            <w:hideMark/>
          </w:tcPr>
          <w:p w14:paraId="15894590"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1901</w:t>
            </w:r>
          </w:p>
        </w:tc>
        <w:tc>
          <w:tcPr>
            <w:tcW w:w="1300" w:type="dxa"/>
            <w:tcBorders>
              <w:top w:val="nil"/>
              <w:left w:val="nil"/>
              <w:bottom w:val="double" w:sz="6" w:space="0" w:color="auto"/>
              <w:right w:val="nil"/>
            </w:tcBorders>
            <w:shd w:val="clear" w:color="000000" w:fill="FFFFFF"/>
            <w:noWrap/>
            <w:vAlign w:val="center"/>
            <w:hideMark/>
          </w:tcPr>
          <w:p w14:paraId="4E3E61EE"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1901</w:t>
            </w:r>
          </w:p>
        </w:tc>
        <w:tc>
          <w:tcPr>
            <w:tcW w:w="1300" w:type="dxa"/>
            <w:tcBorders>
              <w:top w:val="nil"/>
              <w:left w:val="nil"/>
              <w:bottom w:val="double" w:sz="6" w:space="0" w:color="auto"/>
              <w:right w:val="nil"/>
            </w:tcBorders>
            <w:shd w:val="clear" w:color="000000" w:fill="FFFFFF"/>
            <w:noWrap/>
            <w:vAlign w:val="center"/>
            <w:hideMark/>
          </w:tcPr>
          <w:p w14:paraId="4A3FBF47"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1512</w:t>
            </w:r>
          </w:p>
        </w:tc>
        <w:tc>
          <w:tcPr>
            <w:tcW w:w="1300" w:type="dxa"/>
            <w:tcBorders>
              <w:top w:val="nil"/>
              <w:left w:val="nil"/>
              <w:bottom w:val="double" w:sz="6" w:space="0" w:color="auto"/>
              <w:right w:val="nil"/>
            </w:tcBorders>
            <w:shd w:val="clear" w:color="000000" w:fill="FFFFFF"/>
            <w:noWrap/>
            <w:vAlign w:val="center"/>
            <w:hideMark/>
          </w:tcPr>
          <w:p w14:paraId="0A99DC24" w14:textId="77777777" w:rsidR="00D30CB8" w:rsidRPr="00166607" w:rsidRDefault="00D30CB8" w:rsidP="00D30CB8">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1512</w:t>
            </w:r>
          </w:p>
        </w:tc>
      </w:tr>
    </w:tbl>
    <w:p w14:paraId="0C8248B4" w14:textId="21F96875" w:rsidR="003C7BD6" w:rsidRPr="00166607" w:rsidRDefault="00606D97" w:rsidP="00C6061A">
      <w:pPr>
        <w:rPr>
          <w:rFonts w:ascii="Times New Roman" w:hAnsi="Times New Roman"/>
          <w:sz w:val="20"/>
          <w:szCs w:val="20"/>
        </w:rPr>
      </w:pPr>
      <w:r w:rsidRPr="00166607">
        <w:rPr>
          <w:rFonts w:ascii="Times New Roman" w:hAnsi="Times New Roman"/>
          <w:i/>
          <w:color w:val="000000"/>
          <w:sz w:val="20"/>
          <w:szCs w:val="20"/>
        </w:rPr>
        <w:t>Notes:</w:t>
      </w:r>
      <w:r w:rsidRPr="00166607">
        <w:rPr>
          <w:rFonts w:ascii="Times New Roman" w:hAnsi="Times New Roman"/>
          <w:color w:val="000000"/>
          <w:sz w:val="20"/>
          <w:szCs w:val="20"/>
        </w:rPr>
        <w:t xml:space="preserve"> Table reports scholarship lottery loser’s means and estimated effects of winning a scholarship on the probability of being matched SISBEN 2010 data using linear probability models. Additional controls, not shown in the table include, age, male and whether the applicant had a phone number at the time of scholarship application.</w:t>
      </w:r>
    </w:p>
    <w:p w14:paraId="7D2BD3E4" w14:textId="77777777" w:rsidR="003C7BD6" w:rsidRPr="00166607" w:rsidRDefault="003C7BD6" w:rsidP="00C6061A">
      <w:pPr>
        <w:rPr>
          <w:rFonts w:ascii="Times New Roman" w:hAnsi="Times New Roman"/>
          <w:sz w:val="20"/>
          <w:szCs w:val="20"/>
        </w:rPr>
      </w:pPr>
    </w:p>
    <w:p w14:paraId="156CBC01" w14:textId="77777777" w:rsidR="003C7BD6" w:rsidRPr="00166607" w:rsidRDefault="003C7BD6" w:rsidP="00C6061A">
      <w:pPr>
        <w:rPr>
          <w:rFonts w:ascii="Times New Roman" w:hAnsi="Times New Roman"/>
          <w:szCs w:val="20"/>
        </w:rPr>
      </w:pPr>
    </w:p>
    <w:p w14:paraId="077534AE" w14:textId="77777777" w:rsidR="003C7BD6" w:rsidRPr="00166607" w:rsidRDefault="003C7BD6" w:rsidP="00C6061A">
      <w:pPr>
        <w:rPr>
          <w:rFonts w:ascii="Times New Roman" w:hAnsi="Times New Roman"/>
          <w:szCs w:val="20"/>
        </w:rPr>
      </w:pPr>
    </w:p>
    <w:p w14:paraId="3672A12C" w14:textId="77777777" w:rsidR="003C7BD6" w:rsidRPr="00166607" w:rsidRDefault="003C7BD6" w:rsidP="00C6061A">
      <w:pPr>
        <w:rPr>
          <w:rFonts w:ascii="Times New Roman" w:hAnsi="Times New Roman"/>
          <w:szCs w:val="20"/>
        </w:rPr>
      </w:pPr>
    </w:p>
    <w:p w14:paraId="669DE408" w14:textId="77777777" w:rsidR="003C7BD6" w:rsidRPr="00166607" w:rsidRDefault="003C7BD6" w:rsidP="00C6061A">
      <w:pPr>
        <w:rPr>
          <w:rFonts w:ascii="Times New Roman" w:hAnsi="Times New Roman"/>
          <w:szCs w:val="20"/>
        </w:rPr>
      </w:pPr>
    </w:p>
    <w:p w14:paraId="5241F8F2" w14:textId="77777777" w:rsidR="003C7BD6" w:rsidRPr="00166607" w:rsidRDefault="003C7BD6" w:rsidP="00C6061A">
      <w:pPr>
        <w:rPr>
          <w:rFonts w:ascii="Times New Roman" w:hAnsi="Times New Roman"/>
          <w:szCs w:val="20"/>
        </w:rPr>
      </w:pPr>
    </w:p>
    <w:p w14:paraId="47F84749" w14:textId="77777777" w:rsidR="003C7BD6" w:rsidRPr="00166607" w:rsidRDefault="003C7BD6" w:rsidP="00C6061A">
      <w:pPr>
        <w:rPr>
          <w:rFonts w:ascii="Times New Roman" w:hAnsi="Times New Roman"/>
          <w:szCs w:val="20"/>
        </w:rPr>
      </w:pPr>
    </w:p>
    <w:p w14:paraId="1AD3A087" w14:textId="77777777" w:rsidR="003C7BD6" w:rsidRPr="00166607" w:rsidRDefault="003C7BD6" w:rsidP="00C6061A">
      <w:pPr>
        <w:rPr>
          <w:rFonts w:ascii="Times New Roman" w:hAnsi="Times New Roman"/>
          <w:szCs w:val="20"/>
        </w:rPr>
      </w:pPr>
    </w:p>
    <w:p w14:paraId="43C208D3" w14:textId="77777777" w:rsidR="003C7BD6" w:rsidRPr="00166607" w:rsidRDefault="003C7BD6" w:rsidP="00C6061A">
      <w:pPr>
        <w:rPr>
          <w:rFonts w:ascii="Times New Roman" w:hAnsi="Times New Roman"/>
          <w:szCs w:val="20"/>
        </w:rPr>
      </w:pPr>
    </w:p>
    <w:p w14:paraId="05D95FD2" w14:textId="77777777" w:rsidR="003C7BD6" w:rsidRPr="00166607" w:rsidRDefault="003C7BD6" w:rsidP="00C6061A">
      <w:pPr>
        <w:rPr>
          <w:rFonts w:ascii="Times New Roman" w:hAnsi="Times New Roman"/>
          <w:szCs w:val="20"/>
        </w:rPr>
      </w:pPr>
    </w:p>
    <w:p w14:paraId="328CD3B9" w14:textId="21FDB585" w:rsidR="00EA7A57" w:rsidRPr="00166607" w:rsidRDefault="00EA7A57">
      <w:pPr>
        <w:rPr>
          <w:rFonts w:ascii="Times New Roman" w:hAnsi="Times New Roman"/>
          <w:szCs w:val="20"/>
        </w:rPr>
      </w:pPr>
      <w:r w:rsidRPr="00166607">
        <w:rPr>
          <w:rFonts w:ascii="Times New Roman" w:hAnsi="Times New Roman"/>
          <w:szCs w:val="20"/>
        </w:rPr>
        <w:lastRenderedPageBreak/>
        <w:t>Table 6. Bounds on</w:t>
      </w:r>
      <w:r w:rsidR="00BB1DD0" w:rsidRPr="00166607">
        <w:rPr>
          <w:rFonts w:ascii="Times New Roman" w:hAnsi="Times New Roman"/>
          <w:szCs w:val="20"/>
        </w:rPr>
        <w:t xml:space="preserve"> self-reported</w:t>
      </w:r>
      <w:r w:rsidR="00110316" w:rsidRPr="00166607">
        <w:rPr>
          <w:rFonts w:ascii="Times New Roman" w:hAnsi="Times New Roman"/>
          <w:szCs w:val="20"/>
        </w:rPr>
        <w:t xml:space="preserve"> earnings</w:t>
      </w:r>
      <w:r w:rsidR="004225AC" w:rsidRPr="00166607">
        <w:rPr>
          <w:rFonts w:ascii="Times New Roman" w:hAnsi="Times New Roman"/>
          <w:szCs w:val="20"/>
        </w:rPr>
        <w:t>’</w:t>
      </w:r>
      <w:r w:rsidR="00110316" w:rsidRPr="00166607">
        <w:rPr>
          <w:rFonts w:ascii="Times New Roman" w:hAnsi="Times New Roman"/>
          <w:szCs w:val="20"/>
        </w:rPr>
        <w:t xml:space="preserve"> </w:t>
      </w:r>
      <w:r w:rsidRPr="00166607">
        <w:rPr>
          <w:rFonts w:ascii="Times New Roman" w:hAnsi="Times New Roman"/>
          <w:szCs w:val="20"/>
        </w:rPr>
        <w:t>scholarship impacts</w:t>
      </w:r>
    </w:p>
    <w:tbl>
      <w:tblPr>
        <w:tblW w:w="12705" w:type="dxa"/>
        <w:tblInd w:w="93" w:type="dxa"/>
        <w:tblLayout w:type="fixed"/>
        <w:tblLook w:val="04A0" w:firstRow="1" w:lastRow="0" w:firstColumn="1" w:lastColumn="0" w:noHBand="0" w:noVBand="1"/>
      </w:tblPr>
      <w:tblGrid>
        <w:gridCol w:w="4290"/>
        <w:gridCol w:w="1125"/>
        <w:gridCol w:w="1840"/>
        <w:gridCol w:w="1220"/>
        <w:gridCol w:w="1530"/>
        <w:gridCol w:w="1170"/>
        <w:gridCol w:w="1530"/>
      </w:tblGrid>
      <w:tr w:rsidR="008909CA" w:rsidRPr="00166607" w14:paraId="749D2526" w14:textId="77777777" w:rsidTr="007F7B67">
        <w:trPr>
          <w:trHeight w:val="160"/>
        </w:trPr>
        <w:tc>
          <w:tcPr>
            <w:tcW w:w="4290" w:type="dxa"/>
            <w:tcBorders>
              <w:top w:val="nil"/>
              <w:left w:val="nil"/>
              <w:bottom w:val="nil"/>
              <w:right w:val="nil"/>
            </w:tcBorders>
            <w:shd w:val="clear" w:color="auto" w:fill="auto"/>
            <w:noWrap/>
            <w:vAlign w:val="bottom"/>
            <w:hideMark/>
          </w:tcPr>
          <w:p w14:paraId="25A6F5B0" w14:textId="77777777" w:rsidR="008909CA" w:rsidRPr="00166607" w:rsidRDefault="008909CA" w:rsidP="008909CA">
            <w:pPr>
              <w:rPr>
                <w:rFonts w:ascii="Times New Roman" w:eastAsia="Times New Roman" w:hAnsi="Times New Roman"/>
                <w:color w:val="000000"/>
                <w:sz w:val="22"/>
                <w:szCs w:val="22"/>
              </w:rPr>
            </w:pPr>
          </w:p>
        </w:tc>
        <w:tc>
          <w:tcPr>
            <w:tcW w:w="1125" w:type="dxa"/>
            <w:tcBorders>
              <w:top w:val="nil"/>
              <w:left w:val="nil"/>
              <w:bottom w:val="nil"/>
              <w:right w:val="nil"/>
            </w:tcBorders>
            <w:shd w:val="clear" w:color="auto" w:fill="auto"/>
            <w:noWrap/>
            <w:vAlign w:val="bottom"/>
            <w:hideMark/>
          </w:tcPr>
          <w:p w14:paraId="112C32C3" w14:textId="77777777" w:rsidR="008909CA" w:rsidRPr="00166607" w:rsidRDefault="008909CA" w:rsidP="008909CA">
            <w:pPr>
              <w:rPr>
                <w:rFonts w:ascii="Calibri" w:eastAsia="Times New Roman" w:hAnsi="Calibri"/>
                <w:color w:val="000000"/>
                <w:sz w:val="22"/>
                <w:szCs w:val="22"/>
              </w:rPr>
            </w:pPr>
          </w:p>
        </w:tc>
        <w:tc>
          <w:tcPr>
            <w:tcW w:w="1840" w:type="dxa"/>
            <w:tcBorders>
              <w:top w:val="nil"/>
              <w:left w:val="nil"/>
              <w:bottom w:val="nil"/>
              <w:right w:val="nil"/>
            </w:tcBorders>
            <w:shd w:val="clear" w:color="auto" w:fill="auto"/>
            <w:noWrap/>
            <w:vAlign w:val="bottom"/>
            <w:hideMark/>
          </w:tcPr>
          <w:p w14:paraId="67A423CD" w14:textId="77777777" w:rsidR="008909CA" w:rsidRPr="00166607" w:rsidRDefault="008909CA" w:rsidP="008909CA">
            <w:pPr>
              <w:rPr>
                <w:rFonts w:ascii="Calibri" w:eastAsia="Times New Roman" w:hAnsi="Calibri"/>
                <w:color w:val="000000"/>
                <w:sz w:val="22"/>
                <w:szCs w:val="22"/>
              </w:rPr>
            </w:pPr>
          </w:p>
        </w:tc>
        <w:tc>
          <w:tcPr>
            <w:tcW w:w="1220" w:type="dxa"/>
            <w:tcBorders>
              <w:top w:val="nil"/>
              <w:left w:val="nil"/>
              <w:bottom w:val="nil"/>
              <w:right w:val="nil"/>
            </w:tcBorders>
            <w:shd w:val="clear" w:color="auto" w:fill="auto"/>
            <w:noWrap/>
            <w:vAlign w:val="bottom"/>
            <w:hideMark/>
          </w:tcPr>
          <w:p w14:paraId="1EFE5BD2" w14:textId="77777777" w:rsidR="008909CA" w:rsidRPr="00166607" w:rsidRDefault="008909CA" w:rsidP="008909CA">
            <w:pPr>
              <w:rPr>
                <w:rFonts w:ascii="Calibri" w:eastAsia="Times New Roman" w:hAnsi="Calibri"/>
                <w:color w:val="000000"/>
                <w:sz w:val="22"/>
                <w:szCs w:val="22"/>
              </w:rPr>
            </w:pPr>
          </w:p>
        </w:tc>
        <w:tc>
          <w:tcPr>
            <w:tcW w:w="1530" w:type="dxa"/>
            <w:tcBorders>
              <w:top w:val="nil"/>
              <w:left w:val="nil"/>
              <w:bottom w:val="nil"/>
              <w:right w:val="nil"/>
            </w:tcBorders>
            <w:shd w:val="clear" w:color="auto" w:fill="auto"/>
            <w:noWrap/>
            <w:vAlign w:val="bottom"/>
            <w:hideMark/>
          </w:tcPr>
          <w:p w14:paraId="1F1553CB" w14:textId="77777777" w:rsidR="008909CA" w:rsidRPr="00166607" w:rsidRDefault="008909CA" w:rsidP="008909CA">
            <w:pPr>
              <w:rPr>
                <w:rFonts w:ascii="Calibri" w:eastAsia="Times New Roman" w:hAnsi="Calibri"/>
                <w:color w:val="000000"/>
                <w:sz w:val="22"/>
                <w:szCs w:val="22"/>
              </w:rPr>
            </w:pPr>
          </w:p>
        </w:tc>
        <w:tc>
          <w:tcPr>
            <w:tcW w:w="1170" w:type="dxa"/>
            <w:tcBorders>
              <w:top w:val="nil"/>
              <w:left w:val="nil"/>
              <w:bottom w:val="nil"/>
              <w:right w:val="nil"/>
            </w:tcBorders>
            <w:shd w:val="clear" w:color="auto" w:fill="auto"/>
            <w:noWrap/>
            <w:vAlign w:val="bottom"/>
            <w:hideMark/>
          </w:tcPr>
          <w:p w14:paraId="103C57AF" w14:textId="77777777" w:rsidR="008909CA" w:rsidRPr="00166607" w:rsidRDefault="008909CA" w:rsidP="008909CA">
            <w:pPr>
              <w:rPr>
                <w:rFonts w:ascii="Calibri" w:eastAsia="Times New Roman" w:hAnsi="Calibri"/>
                <w:color w:val="000000"/>
                <w:sz w:val="22"/>
                <w:szCs w:val="22"/>
              </w:rPr>
            </w:pPr>
          </w:p>
        </w:tc>
        <w:tc>
          <w:tcPr>
            <w:tcW w:w="1530" w:type="dxa"/>
            <w:tcBorders>
              <w:top w:val="nil"/>
              <w:left w:val="nil"/>
              <w:bottom w:val="nil"/>
              <w:right w:val="nil"/>
            </w:tcBorders>
            <w:shd w:val="clear" w:color="auto" w:fill="auto"/>
            <w:noWrap/>
            <w:vAlign w:val="bottom"/>
            <w:hideMark/>
          </w:tcPr>
          <w:p w14:paraId="75FC8C3E" w14:textId="77777777" w:rsidR="008909CA" w:rsidRPr="00166607" w:rsidRDefault="008909CA" w:rsidP="008909CA">
            <w:pPr>
              <w:rPr>
                <w:rFonts w:ascii="Calibri" w:eastAsia="Times New Roman" w:hAnsi="Calibri"/>
                <w:color w:val="000000"/>
                <w:sz w:val="22"/>
                <w:szCs w:val="22"/>
              </w:rPr>
            </w:pPr>
          </w:p>
        </w:tc>
      </w:tr>
      <w:tr w:rsidR="008909CA" w:rsidRPr="00166607" w14:paraId="67DFE91A" w14:textId="77777777" w:rsidTr="007F7B67">
        <w:trPr>
          <w:trHeight w:val="320"/>
        </w:trPr>
        <w:tc>
          <w:tcPr>
            <w:tcW w:w="4290" w:type="dxa"/>
            <w:tcBorders>
              <w:top w:val="double" w:sz="6" w:space="0" w:color="auto"/>
              <w:left w:val="nil"/>
              <w:bottom w:val="nil"/>
              <w:right w:val="nil"/>
            </w:tcBorders>
            <w:shd w:val="clear" w:color="000000" w:fill="FFFFFF"/>
            <w:vAlign w:val="center"/>
            <w:hideMark/>
          </w:tcPr>
          <w:p w14:paraId="4BA7221C" w14:textId="77777777" w:rsidR="008909CA" w:rsidRPr="00166607" w:rsidRDefault="008909CA" w:rsidP="008909CA">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2965" w:type="dxa"/>
            <w:gridSpan w:val="2"/>
            <w:tcBorders>
              <w:top w:val="double" w:sz="6" w:space="0" w:color="auto"/>
              <w:left w:val="nil"/>
              <w:bottom w:val="single" w:sz="8" w:space="0" w:color="auto"/>
              <w:right w:val="nil"/>
            </w:tcBorders>
            <w:shd w:val="clear" w:color="000000" w:fill="FFFFFF"/>
            <w:noWrap/>
            <w:vAlign w:val="center"/>
            <w:hideMark/>
          </w:tcPr>
          <w:p w14:paraId="65D45706"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All</w:t>
            </w:r>
          </w:p>
        </w:tc>
        <w:tc>
          <w:tcPr>
            <w:tcW w:w="2750" w:type="dxa"/>
            <w:gridSpan w:val="2"/>
            <w:tcBorders>
              <w:top w:val="double" w:sz="6" w:space="0" w:color="auto"/>
              <w:left w:val="nil"/>
              <w:bottom w:val="single" w:sz="8" w:space="0" w:color="auto"/>
              <w:right w:val="nil"/>
            </w:tcBorders>
            <w:shd w:val="clear" w:color="000000" w:fill="FFFFFF"/>
            <w:noWrap/>
            <w:vAlign w:val="center"/>
            <w:hideMark/>
          </w:tcPr>
          <w:p w14:paraId="1E1B6CA1"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Academic School Applicants</w:t>
            </w:r>
          </w:p>
        </w:tc>
        <w:tc>
          <w:tcPr>
            <w:tcW w:w="2700" w:type="dxa"/>
            <w:gridSpan w:val="2"/>
            <w:tcBorders>
              <w:top w:val="double" w:sz="6" w:space="0" w:color="auto"/>
              <w:left w:val="nil"/>
              <w:bottom w:val="single" w:sz="8" w:space="0" w:color="auto"/>
              <w:right w:val="nil"/>
            </w:tcBorders>
            <w:shd w:val="clear" w:color="000000" w:fill="FFFFFF"/>
            <w:noWrap/>
            <w:vAlign w:val="center"/>
            <w:hideMark/>
          </w:tcPr>
          <w:p w14:paraId="1D232219"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Vocational School Applicants</w:t>
            </w:r>
          </w:p>
        </w:tc>
      </w:tr>
      <w:tr w:rsidR="008909CA" w:rsidRPr="00166607" w14:paraId="4761D312" w14:textId="77777777" w:rsidTr="007F7B67">
        <w:trPr>
          <w:trHeight w:val="1300"/>
        </w:trPr>
        <w:tc>
          <w:tcPr>
            <w:tcW w:w="4290" w:type="dxa"/>
            <w:tcBorders>
              <w:top w:val="nil"/>
              <w:left w:val="nil"/>
              <w:bottom w:val="nil"/>
              <w:right w:val="nil"/>
            </w:tcBorders>
            <w:shd w:val="clear" w:color="000000" w:fill="FFFFFF"/>
            <w:vAlign w:val="center"/>
            <w:hideMark/>
          </w:tcPr>
          <w:p w14:paraId="13FE8A5A" w14:textId="77777777" w:rsidR="008909CA" w:rsidRPr="00166607" w:rsidRDefault="008909CA" w:rsidP="008909CA">
            <w:pPr>
              <w:jc w:val="center"/>
              <w:rPr>
                <w:rFonts w:ascii="Times New Roman" w:eastAsia="Times New Roman" w:hAnsi="Times New Roman"/>
                <w:b/>
                <w:bCs/>
                <w:color w:val="000000"/>
                <w:sz w:val="22"/>
                <w:szCs w:val="22"/>
              </w:rPr>
            </w:pPr>
            <w:r w:rsidRPr="00166607">
              <w:rPr>
                <w:rFonts w:ascii="Times New Roman" w:eastAsia="Times New Roman" w:hAnsi="Times New Roman"/>
                <w:b/>
                <w:bCs/>
                <w:color w:val="000000"/>
                <w:sz w:val="22"/>
                <w:szCs w:val="22"/>
              </w:rPr>
              <w:t> </w:t>
            </w:r>
          </w:p>
        </w:tc>
        <w:tc>
          <w:tcPr>
            <w:tcW w:w="1125" w:type="dxa"/>
            <w:tcBorders>
              <w:top w:val="nil"/>
              <w:left w:val="nil"/>
              <w:bottom w:val="nil"/>
              <w:right w:val="nil"/>
            </w:tcBorders>
            <w:shd w:val="clear" w:color="000000" w:fill="FFFFFF"/>
            <w:vAlign w:val="center"/>
            <w:hideMark/>
          </w:tcPr>
          <w:p w14:paraId="270E547F" w14:textId="50DBF0E6" w:rsidR="008909CA" w:rsidRPr="00166607" w:rsidRDefault="008909CA" w:rsidP="004C60F3">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Loser's </w:t>
            </w:r>
            <w:r w:rsidR="004C60F3" w:rsidRPr="00166607">
              <w:rPr>
                <w:rFonts w:ascii="Times New Roman" w:eastAsia="Times New Roman" w:hAnsi="Times New Roman"/>
                <w:color w:val="000000"/>
                <w:sz w:val="22"/>
                <w:szCs w:val="22"/>
              </w:rPr>
              <w:t xml:space="preserve">Mean </w:t>
            </w:r>
          </w:p>
        </w:tc>
        <w:tc>
          <w:tcPr>
            <w:tcW w:w="1840" w:type="dxa"/>
            <w:tcBorders>
              <w:top w:val="nil"/>
              <w:left w:val="nil"/>
              <w:bottom w:val="nil"/>
              <w:right w:val="nil"/>
            </w:tcBorders>
            <w:shd w:val="clear" w:color="000000" w:fill="FFFFFF"/>
            <w:vAlign w:val="center"/>
            <w:hideMark/>
          </w:tcPr>
          <w:p w14:paraId="6BCC4FA5" w14:textId="0A5A6835" w:rsidR="008909CA" w:rsidRPr="00166607" w:rsidRDefault="008909CA" w:rsidP="00347465">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Won a Scholarship, Application Controls </w:t>
            </w:r>
          </w:p>
        </w:tc>
        <w:tc>
          <w:tcPr>
            <w:tcW w:w="1220" w:type="dxa"/>
            <w:tcBorders>
              <w:top w:val="nil"/>
              <w:left w:val="nil"/>
              <w:bottom w:val="nil"/>
              <w:right w:val="nil"/>
            </w:tcBorders>
            <w:shd w:val="clear" w:color="000000" w:fill="FFFFFF"/>
            <w:vAlign w:val="center"/>
            <w:hideMark/>
          </w:tcPr>
          <w:p w14:paraId="18186009" w14:textId="0B681699"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Loser's Mean </w:t>
            </w:r>
          </w:p>
        </w:tc>
        <w:tc>
          <w:tcPr>
            <w:tcW w:w="1530" w:type="dxa"/>
            <w:tcBorders>
              <w:top w:val="nil"/>
              <w:left w:val="nil"/>
              <w:bottom w:val="nil"/>
              <w:right w:val="nil"/>
            </w:tcBorders>
            <w:shd w:val="clear" w:color="000000" w:fill="FFFFFF"/>
            <w:vAlign w:val="center"/>
            <w:hideMark/>
          </w:tcPr>
          <w:p w14:paraId="7A28ECBE" w14:textId="72661402" w:rsidR="008909CA" w:rsidRPr="00166607" w:rsidRDefault="008909CA" w:rsidP="00347465">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Won a Scholarship, Application Controls    </w:t>
            </w:r>
          </w:p>
        </w:tc>
        <w:tc>
          <w:tcPr>
            <w:tcW w:w="1170" w:type="dxa"/>
            <w:tcBorders>
              <w:top w:val="nil"/>
              <w:left w:val="nil"/>
              <w:bottom w:val="nil"/>
              <w:right w:val="nil"/>
            </w:tcBorders>
            <w:shd w:val="clear" w:color="000000" w:fill="FFFFFF"/>
            <w:vAlign w:val="center"/>
            <w:hideMark/>
          </w:tcPr>
          <w:p w14:paraId="0F0F2D10" w14:textId="53672232" w:rsidR="008909CA" w:rsidRPr="00166607" w:rsidRDefault="008909CA" w:rsidP="004C60F3">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Loser's Mean</w:t>
            </w:r>
          </w:p>
        </w:tc>
        <w:tc>
          <w:tcPr>
            <w:tcW w:w="1530" w:type="dxa"/>
            <w:tcBorders>
              <w:top w:val="nil"/>
              <w:left w:val="nil"/>
              <w:bottom w:val="nil"/>
              <w:right w:val="nil"/>
            </w:tcBorders>
            <w:shd w:val="clear" w:color="000000" w:fill="FFFFFF"/>
            <w:vAlign w:val="center"/>
            <w:hideMark/>
          </w:tcPr>
          <w:p w14:paraId="544071FD" w14:textId="5AA33B32" w:rsidR="008909CA" w:rsidRPr="00166607" w:rsidRDefault="008909CA" w:rsidP="00347465">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Won a Scholarship, Application Controls          </w:t>
            </w:r>
          </w:p>
        </w:tc>
      </w:tr>
      <w:tr w:rsidR="008909CA" w:rsidRPr="00166607" w14:paraId="2CA466E9" w14:textId="77777777" w:rsidTr="007F7B67">
        <w:trPr>
          <w:trHeight w:val="280"/>
        </w:trPr>
        <w:tc>
          <w:tcPr>
            <w:tcW w:w="4290" w:type="dxa"/>
            <w:tcBorders>
              <w:top w:val="nil"/>
              <w:left w:val="nil"/>
              <w:bottom w:val="nil"/>
              <w:right w:val="nil"/>
            </w:tcBorders>
            <w:shd w:val="clear" w:color="000000" w:fill="FFFFFF"/>
            <w:vAlign w:val="center"/>
            <w:hideMark/>
          </w:tcPr>
          <w:p w14:paraId="05174813"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125" w:type="dxa"/>
            <w:tcBorders>
              <w:top w:val="nil"/>
              <w:left w:val="nil"/>
              <w:bottom w:val="nil"/>
              <w:right w:val="nil"/>
            </w:tcBorders>
            <w:shd w:val="clear" w:color="000000" w:fill="FFFFFF"/>
            <w:noWrap/>
            <w:vAlign w:val="center"/>
            <w:hideMark/>
          </w:tcPr>
          <w:p w14:paraId="6934B0EE" w14:textId="77777777" w:rsidR="008909CA" w:rsidRPr="00166607" w:rsidRDefault="008909CA" w:rsidP="008909CA">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w:t>
            </w:r>
          </w:p>
        </w:tc>
        <w:tc>
          <w:tcPr>
            <w:tcW w:w="1840" w:type="dxa"/>
            <w:tcBorders>
              <w:top w:val="nil"/>
              <w:left w:val="nil"/>
              <w:bottom w:val="nil"/>
              <w:right w:val="nil"/>
            </w:tcBorders>
            <w:shd w:val="clear" w:color="000000" w:fill="FFFFFF"/>
            <w:noWrap/>
            <w:vAlign w:val="center"/>
            <w:hideMark/>
          </w:tcPr>
          <w:p w14:paraId="257484DC" w14:textId="77777777" w:rsidR="008909CA" w:rsidRPr="00166607" w:rsidRDefault="008909CA" w:rsidP="008909CA">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(2)</w:t>
            </w:r>
          </w:p>
        </w:tc>
        <w:tc>
          <w:tcPr>
            <w:tcW w:w="1220" w:type="dxa"/>
            <w:tcBorders>
              <w:top w:val="nil"/>
              <w:left w:val="nil"/>
              <w:bottom w:val="nil"/>
              <w:right w:val="nil"/>
            </w:tcBorders>
            <w:shd w:val="clear" w:color="000000" w:fill="FFFFFF"/>
            <w:noWrap/>
            <w:vAlign w:val="center"/>
            <w:hideMark/>
          </w:tcPr>
          <w:p w14:paraId="0219C311" w14:textId="77777777" w:rsidR="008909CA" w:rsidRPr="00166607" w:rsidRDefault="008909CA" w:rsidP="008909CA">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(3)</w:t>
            </w:r>
          </w:p>
        </w:tc>
        <w:tc>
          <w:tcPr>
            <w:tcW w:w="1530" w:type="dxa"/>
            <w:tcBorders>
              <w:top w:val="nil"/>
              <w:left w:val="nil"/>
              <w:bottom w:val="nil"/>
              <w:right w:val="nil"/>
            </w:tcBorders>
            <w:shd w:val="clear" w:color="000000" w:fill="FFFFFF"/>
            <w:noWrap/>
            <w:vAlign w:val="center"/>
            <w:hideMark/>
          </w:tcPr>
          <w:p w14:paraId="315D202B" w14:textId="77777777" w:rsidR="008909CA" w:rsidRPr="00166607" w:rsidRDefault="008909CA" w:rsidP="008909CA">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(4)</w:t>
            </w:r>
          </w:p>
        </w:tc>
        <w:tc>
          <w:tcPr>
            <w:tcW w:w="1170" w:type="dxa"/>
            <w:tcBorders>
              <w:top w:val="nil"/>
              <w:left w:val="nil"/>
              <w:bottom w:val="nil"/>
              <w:right w:val="nil"/>
            </w:tcBorders>
            <w:shd w:val="clear" w:color="000000" w:fill="FFFFFF"/>
            <w:noWrap/>
            <w:vAlign w:val="center"/>
            <w:hideMark/>
          </w:tcPr>
          <w:p w14:paraId="5CA7E5EB" w14:textId="77777777" w:rsidR="008909CA" w:rsidRPr="00166607" w:rsidRDefault="008909CA" w:rsidP="008909CA">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(5)</w:t>
            </w:r>
          </w:p>
        </w:tc>
        <w:tc>
          <w:tcPr>
            <w:tcW w:w="1530" w:type="dxa"/>
            <w:tcBorders>
              <w:top w:val="nil"/>
              <w:left w:val="nil"/>
              <w:bottom w:val="nil"/>
              <w:right w:val="nil"/>
            </w:tcBorders>
            <w:shd w:val="clear" w:color="000000" w:fill="FFFFFF"/>
            <w:noWrap/>
            <w:vAlign w:val="center"/>
            <w:hideMark/>
          </w:tcPr>
          <w:p w14:paraId="302C401D" w14:textId="77777777" w:rsidR="008909CA" w:rsidRPr="00166607" w:rsidRDefault="008909CA" w:rsidP="008909CA">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(6)</w:t>
            </w:r>
          </w:p>
        </w:tc>
      </w:tr>
      <w:tr w:rsidR="008909CA" w:rsidRPr="00166607" w14:paraId="1C6AFC24" w14:textId="77777777" w:rsidTr="007F7B67">
        <w:trPr>
          <w:trHeight w:val="300"/>
        </w:trPr>
        <w:tc>
          <w:tcPr>
            <w:tcW w:w="4290" w:type="dxa"/>
            <w:tcBorders>
              <w:top w:val="nil"/>
              <w:left w:val="nil"/>
              <w:bottom w:val="single" w:sz="8" w:space="0" w:color="auto"/>
              <w:right w:val="nil"/>
            </w:tcBorders>
            <w:shd w:val="clear" w:color="000000" w:fill="FFFFFF"/>
            <w:vAlign w:val="center"/>
            <w:hideMark/>
          </w:tcPr>
          <w:p w14:paraId="3A0CD256" w14:textId="77777777" w:rsidR="008909CA" w:rsidRPr="00166607" w:rsidRDefault="008909CA" w:rsidP="008909CA">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125" w:type="dxa"/>
            <w:tcBorders>
              <w:top w:val="nil"/>
              <w:left w:val="nil"/>
              <w:bottom w:val="single" w:sz="8" w:space="0" w:color="auto"/>
              <w:right w:val="nil"/>
            </w:tcBorders>
            <w:shd w:val="clear" w:color="000000" w:fill="FFFFFF"/>
            <w:noWrap/>
            <w:vAlign w:val="center"/>
            <w:hideMark/>
          </w:tcPr>
          <w:p w14:paraId="18EDF0FB"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840" w:type="dxa"/>
            <w:tcBorders>
              <w:top w:val="nil"/>
              <w:left w:val="nil"/>
              <w:bottom w:val="single" w:sz="8" w:space="0" w:color="auto"/>
              <w:right w:val="nil"/>
            </w:tcBorders>
            <w:shd w:val="clear" w:color="000000" w:fill="FFFFFF"/>
            <w:noWrap/>
            <w:vAlign w:val="center"/>
            <w:hideMark/>
          </w:tcPr>
          <w:p w14:paraId="7B428873"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220" w:type="dxa"/>
            <w:tcBorders>
              <w:top w:val="nil"/>
              <w:left w:val="nil"/>
              <w:bottom w:val="single" w:sz="8" w:space="0" w:color="auto"/>
              <w:right w:val="nil"/>
            </w:tcBorders>
            <w:shd w:val="clear" w:color="000000" w:fill="FFFFFF"/>
            <w:noWrap/>
            <w:vAlign w:val="center"/>
            <w:hideMark/>
          </w:tcPr>
          <w:p w14:paraId="4279979E"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single" w:sz="8" w:space="0" w:color="auto"/>
              <w:right w:val="nil"/>
            </w:tcBorders>
            <w:shd w:val="clear" w:color="000000" w:fill="FFFFFF"/>
            <w:noWrap/>
            <w:vAlign w:val="center"/>
            <w:hideMark/>
          </w:tcPr>
          <w:p w14:paraId="4DBA5B58"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170" w:type="dxa"/>
            <w:tcBorders>
              <w:top w:val="nil"/>
              <w:left w:val="nil"/>
              <w:bottom w:val="single" w:sz="8" w:space="0" w:color="auto"/>
              <w:right w:val="nil"/>
            </w:tcBorders>
            <w:shd w:val="clear" w:color="000000" w:fill="FFFFFF"/>
            <w:noWrap/>
            <w:vAlign w:val="center"/>
            <w:hideMark/>
          </w:tcPr>
          <w:p w14:paraId="014F1BBC"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single" w:sz="8" w:space="0" w:color="auto"/>
              <w:right w:val="nil"/>
            </w:tcBorders>
            <w:shd w:val="clear" w:color="000000" w:fill="FFFFFF"/>
            <w:noWrap/>
            <w:vAlign w:val="center"/>
            <w:hideMark/>
          </w:tcPr>
          <w:p w14:paraId="52E7A9D4"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r>
      <w:tr w:rsidR="008909CA" w:rsidRPr="00166607" w14:paraId="05296B45" w14:textId="77777777" w:rsidTr="007F7B67">
        <w:trPr>
          <w:trHeight w:val="300"/>
        </w:trPr>
        <w:tc>
          <w:tcPr>
            <w:tcW w:w="4290" w:type="dxa"/>
            <w:tcBorders>
              <w:top w:val="nil"/>
              <w:left w:val="nil"/>
              <w:bottom w:val="single" w:sz="8" w:space="0" w:color="auto"/>
              <w:right w:val="nil"/>
            </w:tcBorders>
            <w:shd w:val="clear" w:color="000000" w:fill="FFFFFF"/>
            <w:vAlign w:val="center"/>
            <w:hideMark/>
          </w:tcPr>
          <w:p w14:paraId="4F57B304" w14:textId="77777777" w:rsidR="008909CA" w:rsidRPr="00166607" w:rsidRDefault="008909CA" w:rsidP="008909CA">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8415" w:type="dxa"/>
            <w:gridSpan w:val="6"/>
            <w:tcBorders>
              <w:top w:val="single" w:sz="8" w:space="0" w:color="auto"/>
              <w:left w:val="nil"/>
              <w:bottom w:val="single" w:sz="8" w:space="0" w:color="auto"/>
              <w:right w:val="nil"/>
            </w:tcBorders>
            <w:shd w:val="clear" w:color="000000" w:fill="FFFFFF"/>
            <w:noWrap/>
            <w:vAlign w:val="center"/>
            <w:hideMark/>
          </w:tcPr>
          <w:p w14:paraId="727B744C" w14:textId="77777777" w:rsidR="008909CA" w:rsidRPr="00166607" w:rsidRDefault="008909CA" w:rsidP="008909CA">
            <w:pPr>
              <w:jc w:val="center"/>
              <w:rPr>
                <w:rFonts w:ascii="Times New Roman" w:eastAsia="Times New Roman" w:hAnsi="Times New Roman"/>
                <w:i/>
                <w:iCs/>
                <w:color w:val="000000"/>
                <w:sz w:val="22"/>
                <w:szCs w:val="22"/>
              </w:rPr>
            </w:pPr>
            <w:r w:rsidRPr="00166607">
              <w:rPr>
                <w:rFonts w:ascii="Times New Roman" w:eastAsia="Times New Roman" w:hAnsi="Times New Roman"/>
                <w:i/>
                <w:iCs/>
                <w:color w:val="000000"/>
                <w:sz w:val="22"/>
                <w:szCs w:val="22"/>
              </w:rPr>
              <w:t xml:space="preserve">A. All applicants </w:t>
            </w:r>
          </w:p>
        </w:tc>
      </w:tr>
      <w:tr w:rsidR="008909CA" w:rsidRPr="00166607" w14:paraId="72EE071C" w14:textId="77777777" w:rsidTr="007F7B67">
        <w:trPr>
          <w:trHeight w:val="280"/>
        </w:trPr>
        <w:tc>
          <w:tcPr>
            <w:tcW w:w="4290" w:type="dxa"/>
            <w:vMerge w:val="restart"/>
            <w:tcBorders>
              <w:top w:val="nil"/>
              <w:left w:val="nil"/>
              <w:bottom w:val="nil"/>
              <w:right w:val="nil"/>
            </w:tcBorders>
            <w:shd w:val="clear" w:color="000000" w:fill="FFFFFF"/>
            <w:hideMark/>
          </w:tcPr>
          <w:p w14:paraId="2104D9A9" w14:textId="42879706" w:rsidR="008909CA" w:rsidRPr="00166607" w:rsidRDefault="008909CA" w:rsidP="008909CA">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Lower bound on </w:t>
            </w:r>
            <w:r w:rsidR="00BB1DD0" w:rsidRPr="00166607">
              <w:rPr>
                <w:rFonts w:ascii="Times New Roman" w:eastAsia="Times New Roman" w:hAnsi="Times New Roman"/>
                <w:color w:val="000000"/>
                <w:sz w:val="22"/>
                <w:szCs w:val="22"/>
              </w:rPr>
              <w:t>self-reported</w:t>
            </w:r>
            <w:r w:rsidRPr="00166607">
              <w:rPr>
                <w:rFonts w:ascii="Times New Roman" w:eastAsia="Times New Roman" w:hAnsi="Times New Roman"/>
                <w:color w:val="000000"/>
                <w:sz w:val="22"/>
                <w:szCs w:val="22"/>
              </w:rPr>
              <w:t xml:space="preserve"> annual earnings</w:t>
            </w:r>
            <w:r w:rsidR="001C0897">
              <w:rPr>
                <w:rFonts w:ascii="Times New Roman" w:eastAsia="Times New Roman" w:hAnsi="Times New Roman"/>
                <w:color w:val="000000"/>
                <w:sz w:val="22"/>
                <w:szCs w:val="22"/>
              </w:rPr>
              <w:t xml:space="preserve"> (without trimming losers)</w:t>
            </w:r>
          </w:p>
        </w:tc>
        <w:tc>
          <w:tcPr>
            <w:tcW w:w="1125" w:type="dxa"/>
            <w:tcBorders>
              <w:top w:val="nil"/>
              <w:left w:val="nil"/>
              <w:bottom w:val="nil"/>
              <w:right w:val="nil"/>
            </w:tcBorders>
            <w:shd w:val="clear" w:color="000000" w:fill="FFFFFF"/>
            <w:noWrap/>
            <w:vAlign w:val="center"/>
            <w:hideMark/>
          </w:tcPr>
          <w:p w14:paraId="521EE696"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2,517.9</w:t>
            </w:r>
          </w:p>
        </w:tc>
        <w:tc>
          <w:tcPr>
            <w:tcW w:w="1840" w:type="dxa"/>
            <w:tcBorders>
              <w:top w:val="nil"/>
              <w:left w:val="nil"/>
              <w:bottom w:val="nil"/>
              <w:right w:val="nil"/>
            </w:tcBorders>
            <w:shd w:val="clear" w:color="000000" w:fill="FFFFFF"/>
            <w:noWrap/>
            <w:vAlign w:val="center"/>
            <w:hideMark/>
          </w:tcPr>
          <w:p w14:paraId="0680D932"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-139.6</w:t>
            </w:r>
          </w:p>
        </w:tc>
        <w:tc>
          <w:tcPr>
            <w:tcW w:w="1220" w:type="dxa"/>
            <w:tcBorders>
              <w:top w:val="nil"/>
              <w:left w:val="nil"/>
              <w:bottom w:val="nil"/>
              <w:right w:val="nil"/>
            </w:tcBorders>
            <w:shd w:val="clear" w:color="000000" w:fill="FFFFFF"/>
            <w:noWrap/>
            <w:vAlign w:val="center"/>
            <w:hideMark/>
          </w:tcPr>
          <w:p w14:paraId="1818F855"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2,699.6</w:t>
            </w:r>
          </w:p>
        </w:tc>
        <w:tc>
          <w:tcPr>
            <w:tcW w:w="1530" w:type="dxa"/>
            <w:tcBorders>
              <w:top w:val="nil"/>
              <w:left w:val="nil"/>
              <w:bottom w:val="nil"/>
              <w:right w:val="nil"/>
            </w:tcBorders>
            <w:shd w:val="clear" w:color="000000" w:fill="FFFFFF"/>
            <w:noWrap/>
            <w:vAlign w:val="center"/>
            <w:hideMark/>
          </w:tcPr>
          <w:p w14:paraId="10FB8BF4"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-311.6</w:t>
            </w:r>
          </w:p>
        </w:tc>
        <w:tc>
          <w:tcPr>
            <w:tcW w:w="1170" w:type="dxa"/>
            <w:tcBorders>
              <w:top w:val="nil"/>
              <w:left w:val="nil"/>
              <w:bottom w:val="nil"/>
              <w:right w:val="nil"/>
            </w:tcBorders>
            <w:shd w:val="clear" w:color="000000" w:fill="FFFFFF"/>
            <w:noWrap/>
            <w:vAlign w:val="center"/>
            <w:hideMark/>
          </w:tcPr>
          <w:p w14:paraId="1D34D686"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2,359.6</w:t>
            </w:r>
          </w:p>
        </w:tc>
        <w:tc>
          <w:tcPr>
            <w:tcW w:w="1530" w:type="dxa"/>
            <w:tcBorders>
              <w:top w:val="nil"/>
              <w:left w:val="nil"/>
              <w:bottom w:val="nil"/>
              <w:right w:val="nil"/>
            </w:tcBorders>
            <w:shd w:val="clear" w:color="000000" w:fill="FFFFFF"/>
            <w:noWrap/>
            <w:vAlign w:val="center"/>
            <w:hideMark/>
          </w:tcPr>
          <w:p w14:paraId="0F16A614"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14.2</w:t>
            </w:r>
          </w:p>
        </w:tc>
      </w:tr>
      <w:tr w:rsidR="008909CA" w:rsidRPr="00166607" w14:paraId="5C549909" w14:textId="77777777" w:rsidTr="007F7B67">
        <w:trPr>
          <w:trHeight w:val="280"/>
        </w:trPr>
        <w:tc>
          <w:tcPr>
            <w:tcW w:w="4290" w:type="dxa"/>
            <w:vMerge/>
            <w:tcBorders>
              <w:top w:val="nil"/>
              <w:left w:val="nil"/>
              <w:bottom w:val="nil"/>
              <w:right w:val="nil"/>
            </w:tcBorders>
            <w:vAlign w:val="center"/>
            <w:hideMark/>
          </w:tcPr>
          <w:p w14:paraId="30939FB4" w14:textId="77777777" w:rsidR="008909CA" w:rsidRPr="00166607" w:rsidRDefault="008909CA" w:rsidP="008909CA">
            <w:pPr>
              <w:rPr>
                <w:rFonts w:ascii="Times New Roman" w:eastAsia="Times New Roman" w:hAnsi="Times New Roman"/>
                <w:color w:val="000000"/>
                <w:sz w:val="22"/>
                <w:szCs w:val="22"/>
              </w:rPr>
            </w:pPr>
          </w:p>
        </w:tc>
        <w:tc>
          <w:tcPr>
            <w:tcW w:w="1125" w:type="dxa"/>
            <w:tcBorders>
              <w:top w:val="nil"/>
              <w:left w:val="nil"/>
              <w:bottom w:val="nil"/>
              <w:right w:val="nil"/>
            </w:tcBorders>
            <w:shd w:val="clear" w:color="000000" w:fill="FFFFFF"/>
            <w:noWrap/>
            <w:vAlign w:val="center"/>
            <w:hideMark/>
          </w:tcPr>
          <w:p w14:paraId="2A6290D6"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840" w:type="dxa"/>
            <w:tcBorders>
              <w:top w:val="nil"/>
              <w:left w:val="nil"/>
              <w:bottom w:val="nil"/>
              <w:right w:val="nil"/>
            </w:tcBorders>
            <w:shd w:val="clear" w:color="000000" w:fill="FFFFFF"/>
            <w:noWrap/>
            <w:vAlign w:val="center"/>
            <w:hideMark/>
          </w:tcPr>
          <w:p w14:paraId="225B306B" w14:textId="4B4387F8"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(218.4)</w:t>
            </w:r>
          </w:p>
        </w:tc>
        <w:tc>
          <w:tcPr>
            <w:tcW w:w="1220" w:type="dxa"/>
            <w:tcBorders>
              <w:top w:val="nil"/>
              <w:left w:val="nil"/>
              <w:bottom w:val="nil"/>
              <w:right w:val="nil"/>
            </w:tcBorders>
            <w:shd w:val="clear" w:color="000000" w:fill="FFFFFF"/>
            <w:noWrap/>
            <w:vAlign w:val="center"/>
            <w:hideMark/>
          </w:tcPr>
          <w:p w14:paraId="1F5D4813"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nil"/>
              <w:right w:val="nil"/>
            </w:tcBorders>
            <w:shd w:val="clear" w:color="000000" w:fill="FFFFFF"/>
            <w:noWrap/>
            <w:vAlign w:val="center"/>
            <w:hideMark/>
          </w:tcPr>
          <w:p w14:paraId="58A2B427" w14:textId="123ED25D"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(399.1)</w:t>
            </w:r>
          </w:p>
        </w:tc>
        <w:tc>
          <w:tcPr>
            <w:tcW w:w="1170" w:type="dxa"/>
            <w:tcBorders>
              <w:top w:val="nil"/>
              <w:left w:val="nil"/>
              <w:bottom w:val="nil"/>
              <w:right w:val="nil"/>
            </w:tcBorders>
            <w:shd w:val="clear" w:color="000000" w:fill="FFFFFF"/>
            <w:noWrap/>
            <w:vAlign w:val="center"/>
            <w:hideMark/>
          </w:tcPr>
          <w:p w14:paraId="74E61F4C"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nil"/>
              <w:right w:val="nil"/>
            </w:tcBorders>
            <w:shd w:val="clear" w:color="000000" w:fill="FFFFFF"/>
            <w:noWrap/>
            <w:vAlign w:val="center"/>
            <w:hideMark/>
          </w:tcPr>
          <w:p w14:paraId="3B4B8C5D" w14:textId="4D105575"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(165.5)</w:t>
            </w:r>
          </w:p>
        </w:tc>
      </w:tr>
      <w:tr w:rsidR="008909CA" w:rsidRPr="00166607" w14:paraId="62AF2003" w14:textId="77777777" w:rsidTr="007F7B67">
        <w:trPr>
          <w:trHeight w:val="280"/>
        </w:trPr>
        <w:tc>
          <w:tcPr>
            <w:tcW w:w="4290" w:type="dxa"/>
            <w:vMerge w:val="restart"/>
            <w:tcBorders>
              <w:top w:val="nil"/>
              <w:left w:val="nil"/>
              <w:bottom w:val="single" w:sz="8" w:space="0" w:color="000000"/>
              <w:right w:val="nil"/>
            </w:tcBorders>
            <w:shd w:val="clear" w:color="000000" w:fill="FFFFFF"/>
            <w:hideMark/>
          </w:tcPr>
          <w:p w14:paraId="347FD286" w14:textId="66B9A475" w:rsidR="008909CA" w:rsidRPr="00166607" w:rsidRDefault="008909CA" w:rsidP="008909CA">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Upper bound on </w:t>
            </w:r>
            <w:r w:rsidR="00BB1DD0" w:rsidRPr="00166607">
              <w:rPr>
                <w:rFonts w:ascii="Times New Roman" w:eastAsia="Times New Roman" w:hAnsi="Times New Roman"/>
                <w:color w:val="000000"/>
                <w:sz w:val="22"/>
                <w:szCs w:val="22"/>
              </w:rPr>
              <w:t>self-reported</w:t>
            </w:r>
            <w:r w:rsidRPr="00166607">
              <w:rPr>
                <w:rFonts w:ascii="Times New Roman" w:eastAsia="Times New Roman" w:hAnsi="Times New Roman"/>
                <w:color w:val="000000"/>
                <w:sz w:val="22"/>
                <w:szCs w:val="22"/>
              </w:rPr>
              <w:t xml:space="preserve"> annual earnings</w:t>
            </w:r>
            <w:r w:rsidR="001C0897">
              <w:rPr>
                <w:rFonts w:ascii="Times New Roman" w:eastAsia="Times New Roman" w:hAnsi="Times New Roman"/>
                <w:color w:val="000000"/>
                <w:sz w:val="22"/>
                <w:szCs w:val="22"/>
              </w:rPr>
              <w:t xml:space="preserve"> (trimming top 5% of losers)</w:t>
            </w:r>
          </w:p>
        </w:tc>
        <w:tc>
          <w:tcPr>
            <w:tcW w:w="1125" w:type="dxa"/>
            <w:tcBorders>
              <w:top w:val="nil"/>
              <w:left w:val="nil"/>
              <w:bottom w:val="nil"/>
              <w:right w:val="nil"/>
            </w:tcBorders>
            <w:shd w:val="clear" w:color="000000" w:fill="FFFFFF"/>
            <w:noWrap/>
            <w:vAlign w:val="center"/>
            <w:hideMark/>
          </w:tcPr>
          <w:p w14:paraId="26BC39DF"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2,000.2</w:t>
            </w:r>
          </w:p>
        </w:tc>
        <w:tc>
          <w:tcPr>
            <w:tcW w:w="1840" w:type="dxa"/>
            <w:tcBorders>
              <w:top w:val="nil"/>
              <w:left w:val="nil"/>
              <w:bottom w:val="nil"/>
              <w:right w:val="nil"/>
            </w:tcBorders>
            <w:shd w:val="clear" w:color="000000" w:fill="FFFFFF"/>
            <w:noWrap/>
            <w:vAlign w:val="center"/>
            <w:hideMark/>
          </w:tcPr>
          <w:p w14:paraId="1E04D5AA"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365.8</w:t>
            </w:r>
          </w:p>
        </w:tc>
        <w:tc>
          <w:tcPr>
            <w:tcW w:w="1220" w:type="dxa"/>
            <w:tcBorders>
              <w:top w:val="nil"/>
              <w:left w:val="nil"/>
              <w:bottom w:val="nil"/>
              <w:right w:val="nil"/>
            </w:tcBorders>
            <w:shd w:val="clear" w:color="000000" w:fill="FFFFFF"/>
            <w:noWrap/>
            <w:vAlign w:val="center"/>
            <w:hideMark/>
          </w:tcPr>
          <w:p w14:paraId="3A859055"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2,041.0</w:t>
            </w:r>
          </w:p>
        </w:tc>
        <w:tc>
          <w:tcPr>
            <w:tcW w:w="1530" w:type="dxa"/>
            <w:tcBorders>
              <w:top w:val="nil"/>
              <w:left w:val="nil"/>
              <w:bottom w:val="nil"/>
              <w:right w:val="nil"/>
            </w:tcBorders>
            <w:shd w:val="clear" w:color="000000" w:fill="FFFFFF"/>
            <w:noWrap/>
            <w:vAlign w:val="center"/>
            <w:hideMark/>
          </w:tcPr>
          <w:p w14:paraId="30FEE1D9"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331.8</w:t>
            </w:r>
          </w:p>
        </w:tc>
        <w:tc>
          <w:tcPr>
            <w:tcW w:w="1170" w:type="dxa"/>
            <w:tcBorders>
              <w:top w:val="nil"/>
              <w:left w:val="nil"/>
              <w:bottom w:val="nil"/>
              <w:right w:val="nil"/>
            </w:tcBorders>
            <w:shd w:val="clear" w:color="000000" w:fill="FFFFFF"/>
            <w:noWrap/>
            <w:vAlign w:val="center"/>
            <w:hideMark/>
          </w:tcPr>
          <w:p w14:paraId="3D2B1AEC"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2,064.9</w:t>
            </w:r>
          </w:p>
        </w:tc>
        <w:tc>
          <w:tcPr>
            <w:tcW w:w="1530" w:type="dxa"/>
            <w:tcBorders>
              <w:top w:val="nil"/>
              <w:left w:val="nil"/>
              <w:bottom w:val="nil"/>
              <w:right w:val="nil"/>
            </w:tcBorders>
            <w:shd w:val="clear" w:color="000000" w:fill="FFFFFF"/>
            <w:noWrap/>
            <w:vAlign w:val="center"/>
            <w:hideMark/>
          </w:tcPr>
          <w:p w14:paraId="39B4A873"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315.8</w:t>
            </w:r>
          </w:p>
        </w:tc>
      </w:tr>
      <w:tr w:rsidR="008909CA" w:rsidRPr="00166607" w14:paraId="011AB13C" w14:textId="77777777" w:rsidTr="007F7B67">
        <w:trPr>
          <w:trHeight w:val="300"/>
        </w:trPr>
        <w:tc>
          <w:tcPr>
            <w:tcW w:w="4290" w:type="dxa"/>
            <w:vMerge/>
            <w:tcBorders>
              <w:top w:val="nil"/>
              <w:left w:val="nil"/>
              <w:bottom w:val="single" w:sz="8" w:space="0" w:color="000000"/>
              <w:right w:val="nil"/>
            </w:tcBorders>
            <w:vAlign w:val="center"/>
            <w:hideMark/>
          </w:tcPr>
          <w:p w14:paraId="736C03EE" w14:textId="77777777" w:rsidR="008909CA" w:rsidRPr="00166607" w:rsidRDefault="008909CA" w:rsidP="008909CA">
            <w:pPr>
              <w:rPr>
                <w:rFonts w:ascii="Times New Roman" w:eastAsia="Times New Roman" w:hAnsi="Times New Roman"/>
                <w:color w:val="000000"/>
                <w:sz w:val="22"/>
                <w:szCs w:val="22"/>
              </w:rPr>
            </w:pPr>
          </w:p>
        </w:tc>
        <w:tc>
          <w:tcPr>
            <w:tcW w:w="1125" w:type="dxa"/>
            <w:tcBorders>
              <w:top w:val="nil"/>
              <w:left w:val="nil"/>
              <w:bottom w:val="single" w:sz="8" w:space="0" w:color="auto"/>
              <w:right w:val="nil"/>
            </w:tcBorders>
            <w:shd w:val="clear" w:color="000000" w:fill="FFFFFF"/>
            <w:noWrap/>
            <w:vAlign w:val="center"/>
            <w:hideMark/>
          </w:tcPr>
          <w:p w14:paraId="11DFB06F"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840" w:type="dxa"/>
            <w:tcBorders>
              <w:top w:val="nil"/>
              <w:left w:val="nil"/>
              <w:bottom w:val="single" w:sz="8" w:space="0" w:color="auto"/>
              <w:right w:val="nil"/>
            </w:tcBorders>
            <w:shd w:val="clear" w:color="000000" w:fill="FFFFFF"/>
            <w:noWrap/>
            <w:vAlign w:val="center"/>
            <w:hideMark/>
          </w:tcPr>
          <w:p w14:paraId="4D804640" w14:textId="71FBA762"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(80.</w:t>
            </w:r>
            <w:r w:rsidR="006D27C5" w:rsidRPr="00166607">
              <w:rPr>
                <w:rFonts w:ascii="Times New Roman" w:eastAsia="Times New Roman" w:hAnsi="Times New Roman"/>
                <w:color w:val="000000"/>
                <w:sz w:val="22"/>
                <w:szCs w:val="22"/>
              </w:rPr>
              <w:t>1</w:t>
            </w:r>
            <w:r w:rsidRPr="00166607">
              <w:rPr>
                <w:rFonts w:ascii="Times New Roman" w:eastAsia="Times New Roman" w:hAnsi="Times New Roman"/>
                <w:color w:val="000000"/>
                <w:sz w:val="22"/>
                <w:szCs w:val="22"/>
              </w:rPr>
              <w:t>)***</w:t>
            </w:r>
          </w:p>
        </w:tc>
        <w:tc>
          <w:tcPr>
            <w:tcW w:w="1220" w:type="dxa"/>
            <w:tcBorders>
              <w:top w:val="nil"/>
              <w:left w:val="nil"/>
              <w:bottom w:val="single" w:sz="8" w:space="0" w:color="auto"/>
              <w:right w:val="nil"/>
            </w:tcBorders>
            <w:shd w:val="clear" w:color="000000" w:fill="FFFFFF"/>
            <w:noWrap/>
            <w:vAlign w:val="center"/>
            <w:hideMark/>
          </w:tcPr>
          <w:p w14:paraId="4D13DA5E"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single" w:sz="8" w:space="0" w:color="auto"/>
              <w:right w:val="nil"/>
            </w:tcBorders>
            <w:shd w:val="clear" w:color="000000" w:fill="FFFFFF"/>
            <w:noWrap/>
            <w:vAlign w:val="center"/>
            <w:hideMark/>
          </w:tcPr>
          <w:p w14:paraId="0DAD2F2E" w14:textId="5DA1A958"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(113.</w:t>
            </w:r>
            <w:r w:rsidR="006D27C5" w:rsidRPr="00166607">
              <w:rPr>
                <w:rFonts w:ascii="Times New Roman" w:eastAsia="Times New Roman" w:hAnsi="Times New Roman"/>
                <w:color w:val="000000"/>
                <w:sz w:val="22"/>
                <w:szCs w:val="22"/>
              </w:rPr>
              <w:t>5</w:t>
            </w:r>
            <w:r w:rsidRPr="00166607">
              <w:rPr>
                <w:rFonts w:ascii="Times New Roman" w:eastAsia="Times New Roman" w:hAnsi="Times New Roman"/>
                <w:color w:val="000000"/>
                <w:sz w:val="22"/>
                <w:szCs w:val="22"/>
              </w:rPr>
              <w:t>)***</w:t>
            </w:r>
          </w:p>
        </w:tc>
        <w:tc>
          <w:tcPr>
            <w:tcW w:w="1170" w:type="dxa"/>
            <w:tcBorders>
              <w:top w:val="nil"/>
              <w:left w:val="nil"/>
              <w:bottom w:val="single" w:sz="8" w:space="0" w:color="auto"/>
              <w:right w:val="nil"/>
            </w:tcBorders>
            <w:shd w:val="clear" w:color="000000" w:fill="FFFFFF"/>
            <w:noWrap/>
            <w:vAlign w:val="center"/>
            <w:hideMark/>
          </w:tcPr>
          <w:p w14:paraId="47F7A1D2"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single" w:sz="8" w:space="0" w:color="auto"/>
              <w:right w:val="nil"/>
            </w:tcBorders>
            <w:shd w:val="clear" w:color="000000" w:fill="FFFFFF"/>
            <w:noWrap/>
            <w:vAlign w:val="center"/>
            <w:hideMark/>
          </w:tcPr>
          <w:p w14:paraId="0207D247" w14:textId="4A109A2D"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(125.4)**</w:t>
            </w:r>
          </w:p>
        </w:tc>
      </w:tr>
      <w:tr w:rsidR="008909CA" w:rsidRPr="00166607" w14:paraId="138043F8" w14:textId="77777777" w:rsidTr="007F7B67">
        <w:trPr>
          <w:trHeight w:val="300"/>
        </w:trPr>
        <w:tc>
          <w:tcPr>
            <w:tcW w:w="4290" w:type="dxa"/>
            <w:tcBorders>
              <w:top w:val="nil"/>
              <w:left w:val="nil"/>
              <w:bottom w:val="single" w:sz="8" w:space="0" w:color="auto"/>
              <w:right w:val="nil"/>
            </w:tcBorders>
            <w:shd w:val="clear" w:color="000000" w:fill="FFFFFF"/>
            <w:hideMark/>
          </w:tcPr>
          <w:p w14:paraId="780DEA31" w14:textId="77777777" w:rsidR="008909CA" w:rsidRPr="00166607" w:rsidRDefault="008909CA" w:rsidP="008909CA">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8415" w:type="dxa"/>
            <w:gridSpan w:val="6"/>
            <w:tcBorders>
              <w:top w:val="nil"/>
              <w:left w:val="nil"/>
              <w:bottom w:val="single" w:sz="8" w:space="0" w:color="auto"/>
              <w:right w:val="nil"/>
            </w:tcBorders>
            <w:shd w:val="clear" w:color="000000" w:fill="FFFFFF"/>
            <w:noWrap/>
            <w:vAlign w:val="center"/>
            <w:hideMark/>
          </w:tcPr>
          <w:p w14:paraId="48DE4EC2" w14:textId="77777777" w:rsidR="008909CA" w:rsidRPr="00166607" w:rsidRDefault="008909CA" w:rsidP="008909CA">
            <w:pPr>
              <w:jc w:val="center"/>
              <w:rPr>
                <w:rFonts w:ascii="Times New Roman" w:eastAsia="Times New Roman" w:hAnsi="Times New Roman"/>
                <w:i/>
                <w:iCs/>
                <w:color w:val="000000"/>
                <w:sz w:val="22"/>
                <w:szCs w:val="22"/>
              </w:rPr>
            </w:pPr>
            <w:r w:rsidRPr="00166607">
              <w:rPr>
                <w:rFonts w:ascii="Times New Roman" w:eastAsia="Times New Roman" w:hAnsi="Times New Roman"/>
                <w:i/>
                <w:iCs/>
                <w:color w:val="000000"/>
                <w:sz w:val="22"/>
                <w:szCs w:val="22"/>
              </w:rPr>
              <w:t>B. Females</w:t>
            </w:r>
          </w:p>
        </w:tc>
      </w:tr>
      <w:tr w:rsidR="008909CA" w:rsidRPr="00166607" w14:paraId="5ED070C9" w14:textId="77777777" w:rsidTr="007F7B67">
        <w:trPr>
          <w:trHeight w:val="280"/>
        </w:trPr>
        <w:tc>
          <w:tcPr>
            <w:tcW w:w="4290" w:type="dxa"/>
            <w:vMerge w:val="restart"/>
            <w:tcBorders>
              <w:top w:val="nil"/>
              <w:left w:val="nil"/>
              <w:bottom w:val="nil"/>
              <w:right w:val="nil"/>
            </w:tcBorders>
            <w:shd w:val="clear" w:color="000000" w:fill="FFFFFF"/>
            <w:hideMark/>
          </w:tcPr>
          <w:p w14:paraId="3ABC2C41" w14:textId="2671F752" w:rsidR="008909CA" w:rsidRPr="00166607" w:rsidRDefault="008909CA" w:rsidP="008909CA">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Lower bound on </w:t>
            </w:r>
            <w:r w:rsidR="00BB1DD0" w:rsidRPr="00166607">
              <w:rPr>
                <w:rFonts w:ascii="Times New Roman" w:eastAsia="Times New Roman" w:hAnsi="Times New Roman"/>
                <w:color w:val="000000"/>
                <w:sz w:val="22"/>
                <w:szCs w:val="22"/>
              </w:rPr>
              <w:t>self-reported</w:t>
            </w:r>
            <w:r w:rsidRPr="00166607">
              <w:rPr>
                <w:rFonts w:ascii="Times New Roman" w:eastAsia="Times New Roman" w:hAnsi="Times New Roman"/>
                <w:color w:val="000000"/>
                <w:sz w:val="22"/>
                <w:szCs w:val="22"/>
              </w:rPr>
              <w:t xml:space="preserve"> annual earnings</w:t>
            </w:r>
            <w:r w:rsidR="004D0F7A">
              <w:rPr>
                <w:rFonts w:ascii="Times New Roman" w:eastAsia="Times New Roman" w:hAnsi="Times New Roman"/>
                <w:color w:val="000000"/>
                <w:sz w:val="22"/>
                <w:szCs w:val="22"/>
              </w:rPr>
              <w:t xml:space="preserve"> (without trimming losers)</w:t>
            </w:r>
          </w:p>
        </w:tc>
        <w:tc>
          <w:tcPr>
            <w:tcW w:w="1125" w:type="dxa"/>
            <w:tcBorders>
              <w:top w:val="nil"/>
              <w:left w:val="nil"/>
              <w:bottom w:val="nil"/>
              <w:right w:val="nil"/>
            </w:tcBorders>
            <w:shd w:val="clear" w:color="000000" w:fill="FFFFFF"/>
            <w:noWrap/>
            <w:vAlign w:val="center"/>
            <w:hideMark/>
          </w:tcPr>
          <w:p w14:paraId="5FFA8510"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1,944.1</w:t>
            </w:r>
          </w:p>
        </w:tc>
        <w:tc>
          <w:tcPr>
            <w:tcW w:w="1840" w:type="dxa"/>
            <w:tcBorders>
              <w:top w:val="nil"/>
              <w:left w:val="nil"/>
              <w:bottom w:val="nil"/>
              <w:right w:val="nil"/>
            </w:tcBorders>
            <w:shd w:val="clear" w:color="000000" w:fill="FFFFFF"/>
            <w:noWrap/>
            <w:vAlign w:val="center"/>
            <w:hideMark/>
          </w:tcPr>
          <w:p w14:paraId="28CFB3A5"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0.5</w:t>
            </w:r>
          </w:p>
        </w:tc>
        <w:tc>
          <w:tcPr>
            <w:tcW w:w="1220" w:type="dxa"/>
            <w:tcBorders>
              <w:top w:val="nil"/>
              <w:left w:val="nil"/>
              <w:bottom w:val="nil"/>
              <w:right w:val="nil"/>
            </w:tcBorders>
            <w:shd w:val="clear" w:color="000000" w:fill="FFFFFF"/>
            <w:noWrap/>
            <w:vAlign w:val="center"/>
            <w:hideMark/>
          </w:tcPr>
          <w:p w14:paraId="432B8BF2"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1,894.0</w:t>
            </w:r>
          </w:p>
        </w:tc>
        <w:tc>
          <w:tcPr>
            <w:tcW w:w="1530" w:type="dxa"/>
            <w:tcBorders>
              <w:top w:val="nil"/>
              <w:left w:val="nil"/>
              <w:bottom w:val="nil"/>
              <w:right w:val="nil"/>
            </w:tcBorders>
            <w:shd w:val="clear" w:color="000000" w:fill="FFFFFF"/>
            <w:noWrap/>
            <w:vAlign w:val="center"/>
            <w:hideMark/>
          </w:tcPr>
          <w:p w14:paraId="78A495EE"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31.6</w:t>
            </w:r>
          </w:p>
        </w:tc>
        <w:tc>
          <w:tcPr>
            <w:tcW w:w="1170" w:type="dxa"/>
            <w:tcBorders>
              <w:top w:val="nil"/>
              <w:left w:val="nil"/>
              <w:bottom w:val="nil"/>
              <w:right w:val="nil"/>
            </w:tcBorders>
            <w:shd w:val="clear" w:color="000000" w:fill="FFFFFF"/>
            <w:noWrap/>
            <w:vAlign w:val="center"/>
            <w:hideMark/>
          </w:tcPr>
          <w:p w14:paraId="5D18D58D"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2,082.1</w:t>
            </w:r>
          </w:p>
        </w:tc>
        <w:tc>
          <w:tcPr>
            <w:tcW w:w="1530" w:type="dxa"/>
            <w:tcBorders>
              <w:top w:val="nil"/>
              <w:left w:val="nil"/>
              <w:bottom w:val="nil"/>
              <w:right w:val="nil"/>
            </w:tcBorders>
            <w:shd w:val="clear" w:color="000000" w:fill="FFFFFF"/>
            <w:noWrap/>
            <w:vAlign w:val="center"/>
            <w:hideMark/>
          </w:tcPr>
          <w:p w14:paraId="1CC57970"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-71.9</w:t>
            </w:r>
          </w:p>
        </w:tc>
      </w:tr>
      <w:tr w:rsidR="008909CA" w:rsidRPr="00166607" w14:paraId="50AD4CBD" w14:textId="77777777" w:rsidTr="007F7B67">
        <w:trPr>
          <w:trHeight w:val="280"/>
        </w:trPr>
        <w:tc>
          <w:tcPr>
            <w:tcW w:w="4290" w:type="dxa"/>
            <w:vMerge/>
            <w:tcBorders>
              <w:top w:val="nil"/>
              <w:left w:val="nil"/>
              <w:bottom w:val="nil"/>
              <w:right w:val="nil"/>
            </w:tcBorders>
            <w:vAlign w:val="center"/>
            <w:hideMark/>
          </w:tcPr>
          <w:p w14:paraId="7D83CA93" w14:textId="77777777" w:rsidR="008909CA" w:rsidRPr="00166607" w:rsidRDefault="008909CA" w:rsidP="008909CA">
            <w:pPr>
              <w:rPr>
                <w:rFonts w:ascii="Times New Roman" w:eastAsia="Times New Roman" w:hAnsi="Times New Roman"/>
                <w:color w:val="000000"/>
                <w:sz w:val="22"/>
                <w:szCs w:val="22"/>
              </w:rPr>
            </w:pPr>
          </w:p>
        </w:tc>
        <w:tc>
          <w:tcPr>
            <w:tcW w:w="1125" w:type="dxa"/>
            <w:tcBorders>
              <w:top w:val="nil"/>
              <w:left w:val="nil"/>
              <w:bottom w:val="nil"/>
              <w:right w:val="nil"/>
            </w:tcBorders>
            <w:shd w:val="clear" w:color="000000" w:fill="FFFFFF"/>
            <w:noWrap/>
            <w:vAlign w:val="center"/>
            <w:hideMark/>
          </w:tcPr>
          <w:p w14:paraId="43FF5766"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840" w:type="dxa"/>
            <w:tcBorders>
              <w:top w:val="nil"/>
              <w:left w:val="nil"/>
              <w:bottom w:val="nil"/>
              <w:right w:val="nil"/>
            </w:tcBorders>
            <w:shd w:val="clear" w:color="000000" w:fill="FFFFFF"/>
            <w:noWrap/>
            <w:vAlign w:val="center"/>
            <w:hideMark/>
          </w:tcPr>
          <w:p w14:paraId="35C8B068" w14:textId="79F7858A"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(138.6)</w:t>
            </w:r>
          </w:p>
        </w:tc>
        <w:tc>
          <w:tcPr>
            <w:tcW w:w="1220" w:type="dxa"/>
            <w:tcBorders>
              <w:top w:val="nil"/>
              <w:left w:val="nil"/>
              <w:bottom w:val="nil"/>
              <w:right w:val="nil"/>
            </w:tcBorders>
            <w:shd w:val="clear" w:color="000000" w:fill="FFFFFF"/>
            <w:noWrap/>
            <w:vAlign w:val="center"/>
            <w:hideMark/>
          </w:tcPr>
          <w:p w14:paraId="6F246324"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nil"/>
              <w:right w:val="nil"/>
            </w:tcBorders>
            <w:shd w:val="clear" w:color="000000" w:fill="FFFFFF"/>
            <w:noWrap/>
            <w:vAlign w:val="center"/>
            <w:hideMark/>
          </w:tcPr>
          <w:p w14:paraId="61FC425A" w14:textId="750D01F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(166.</w:t>
            </w:r>
            <w:r w:rsidR="006D27C5" w:rsidRPr="00166607">
              <w:rPr>
                <w:rFonts w:ascii="Times New Roman" w:eastAsia="Times New Roman" w:hAnsi="Times New Roman"/>
                <w:color w:val="000000"/>
                <w:sz w:val="22"/>
                <w:szCs w:val="22"/>
              </w:rPr>
              <w:t>6</w:t>
            </w:r>
            <w:r w:rsidRPr="00166607">
              <w:rPr>
                <w:rFonts w:ascii="Times New Roman" w:eastAsia="Times New Roman" w:hAnsi="Times New Roman"/>
                <w:color w:val="000000"/>
                <w:sz w:val="22"/>
                <w:szCs w:val="22"/>
              </w:rPr>
              <w:t>)</w:t>
            </w:r>
          </w:p>
        </w:tc>
        <w:tc>
          <w:tcPr>
            <w:tcW w:w="1170" w:type="dxa"/>
            <w:tcBorders>
              <w:top w:val="nil"/>
              <w:left w:val="nil"/>
              <w:bottom w:val="nil"/>
              <w:right w:val="nil"/>
            </w:tcBorders>
            <w:shd w:val="clear" w:color="000000" w:fill="FFFFFF"/>
            <w:noWrap/>
            <w:vAlign w:val="center"/>
            <w:hideMark/>
          </w:tcPr>
          <w:p w14:paraId="258A74A7"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nil"/>
              <w:right w:val="nil"/>
            </w:tcBorders>
            <w:shd w:val="clear" w:color="000000" w:fill="FFFFFF"/>
            <w:noWrap/>
            <w:vAlign w:val="center"/>
            <w:hideMark/>
          </w:tcPr>
          <w:p w14:paraId="4BA9EB1B" w14:textId="7132DD3A"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(251.</w:t>
            </w:r>
            <w:r w:rsidR="00C45AB5" w:rsidRPr="00166607">
              <w:rPr>
                <w:rFonts w:ascii="Times New Roman" w:eastAsia="Times New Roman" w:hAnsi="Times New Roman"/>
                <w:color w:val="000000"/>
                <w:sz w:val="22"/>
                <w:szCs w:val="22"/>
              </w:rPr>
              <w:t>6</w:t>
            </w:r>
            <w:r w:rsidRPr="00166607">
              <w:rPr>
                <w:rFonts w:ascii="Times New Roman" w:eastAsia="Times New Roman" w:hAnsi="Times New Roman"/>
                <w:color w:val="000000"/>
                <w:sz w:val="22"/>
                <w:szCs w:val="22"/>
              </w:rPr>
              <w:t>)</w:t>
            </w:r>
          </w:p>
        </w:tc>
      </w:tr>
      <w:tr w:rsidR="008909CA" w:rsidRPr="00166607" w14:paraId="7862C6C4" w14:textId="77777777" w:rsidTr="007F7B67">
        <w:trPr>
          <w:trHeight w:val="280"/>
        </w:trPr>
        <w:tc>
          <w:tcPr>
            <w:tcW w:w="4290" w:type="dxa"/>
            <w:vMerge w:val="restart"/>
            <w:tcBorders>
              <w:top w:val="nil"/>
              <w:left w:val="nil"/>
              <w:bottom w:val="single" w:sz="8" w:space="0" w:color="000000"/>
              <w:right w:val="nil"/>
            </w:tcBorders>
            <w:shd w:val="clear" w:color="000000" w:fill="FFFFFF"/>
            <w:hideMark/>
          </w:tcPr>
          <w:p w14:paraId="2365D803" w14:textId="7D29CB98" w:rsidR="008909CA" w:rsidRPr="00166607" w:rsidRDefault="008909CA" w:rsidP="008909CA">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Upper bound on </w:t>
            </w:r>
            <w:r w:rsidR="00BB1DD0" w:rsidRPr="00166607">
              <w:rPr>
                <w:rFonts w:ascii="Times New Roman" w:eastAsia="Times New Roman" w:hAnsi="Times New Roman"/>
                <w:color w:val="000000"/>
                <w:sz w:val="22"/>
                <w:szCs w:val="22"/>
              </w:rPr>
              <w:t>self-reported</w:t>
            </w:r>
            <w:r w:rsidRPr="00166607">
              <w:rPr>
                <w:rFonts w:ascii="Times New Roman" w:eastAsia="Times New Roman" w:hAnsi="Times New Roman"/>
                <w:color w:val="000000"/>
                <w:sz w:val="22"/>
                <w:szCs w:val="22"/>
              </w:rPr>
              <w:t xml:space="preserve"> annual earnings</w:t>
            </w:r>
            <w:r w:rsidR="004D0F7A">
              <w:rPr>
                <w:rFonts w:ascii="Times New Roman" w:eastAsia="Times New Roman" w:hAnsi="Times New Roman"/>
                <w:color w:val="000000"/>
                <w:sz w:val="22"/>
                <w:szCs w:val="22"/>
              </w:rPr>
              <w:t xml:space="preserve"> (trimming top 5% of losers)</w:t>
            </w:r>
          </w:p>
        </w:tc>
        <w:tc>
          <w:tcPr>
            <w:tcW w:w="1125" w:type="dxa"/>
            <w:tcBorders>
              <w:top w:val="nil"/>
              <w:left w:val="nil"/>
              <w:bottom w:val="nil"/>
              <w:right w:val="nil"/>
            </w:tcBorders>
            <w:shd w:val="clear" w:color="000000" w:fill="FFFFFF"/>
            <w:noWrap/>
            <w:vAlign w:val="center"/>
            <w:hideMark/>
          </w:tcPr>
          <w:p w14:paraId="151CAD68"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1,696.3</w:t>
            </w:r>
          </w:p>
        </w:tc>
        <w:tc>
          <w:tcPr>
            <w:tcW w:w="1840" w:type="dxa"/>
            <w:tcBorders>
              <w:top w:val="nil"/>
              <w:left w:val="nil"/>
              <w:bottom w:val="nil"/>
              <w:right w:val="nil"/>
            </w:tcBorders>
            <w:shd w:val="clear" w:color="000000" w:fill="FFFFFF"/>
            <w:noWrap/>
            <w:vAlign w:val="center"/>
            <w:hideMark/>
          </w:tcPr>
          <w:p w14:paraId="083518BF"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247.7</w:t>
            </w:r>
          </w:p>
        </w:tc>
        <w:tc>
          <w:tcPr>
            <w:tcW w:w="1220" w:type="dxa"/>
            <w:tcBorders>
              <w:top w:val="nil"/>
              <w:left w:val="nil"/>
              <w:bottom w:val="nil"/>
              <w:right w:val="nil"/>
            </w:tcBorders>
            <w:shd w:val="clear" w:color="000000" w:fill="FFFFFF"/>
            <w:noWrap/>
            <w:vAlign w:val="center"/>
            <w:hideMark/>
          </w:tcPr>
          <w:p w14:paraId="78030012"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1,702.9</w:t>
            </w:r>
          </w:p>
        </w:tc>
        <w:tc>
          <w:tcPr>
            <w:tcW w:w="1530" w:type="dxa"/>
            <w:tcBorders>
              <w:top w:val="nil"/>
              <w:left w:val="nil"/>
              <w:bottom w:val="nil"/>
              <w:right w:val="nil"/>
            </w:tcBorders>
            <w:shd w:val="clear" w:color="000000" w:fill="FFFFFF"/>
            <w:noWrap/>
            <w:vAlign w:val="center"/>
            <w:hideMark/>
          </w:tcPr>
          <w:p w14:paraId="2626A495"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223.5</w:t>
            </w:r>
          </w:p>
        </w:tc>
        <w:tc>
          <w:tcPr>
            <w:tcW w:w="1170" w:type="dxa"/>
            <w:tcBorders>
              <w:top w:val="nil"/>
              <w:left w:val="nil"/>
              <w:bottom w:val="nil"/>
              <w:right w:val="nil"/>
            </w:tcBorders>
            <w:shd w:val="clear" w:color="000000" w:fill="FFFFFF"/>
            <w:noWrap/>
            <w:vAlign w:val="center"/>
            <w:hideMark/>
          </w:tcPr>
          <w:p w14:paraId="3384AD4A"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1,736.6</w:t>
            </w:r>
          </w:p>
        </w:tc>
        <w:tc>
          <w:tcPr>
            <w:tcW w:w="1530" w:type="dxa"/>
            <w:tcBorders>
              <w:top w:val="nil"/>
              <w:left w:val="nil"/>
              <w:bottom w:val="nil"/>
              <w:right w:val="nil"/>
            </w:tcBorders>
            <w:shd w:val="clear" w:color="000000" w:fill="FFFFFF"/>
            <w:noWrap/>
            <w:vAlign w:val="center"/>
            <w:hideMark/>
          </w:tcPr>
          <w:p w14:paraId="03F8BC77"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283.6</w:t>
            </w:r>
          </w:p>
        </w:tc>
      </w:tr>
      <w:tr w:rsidR="008909CA" w:rsidRPr="00166607" w14:paraId="2EDADAB0" w14:textId="77777777" w:rsidTr="007F7B67">
        <w:trPr>
          <w:trHeight w:val="300"/>
        </w:trPr>
        <w:tc>
          <w:tcPr>
            <w:tcW w:w="4290" w:type="dxa"/>
            <w:vMerge/>
            <w:tcBorders>
              <w:top w:val="nil"/>
              <w:left w:val="nil"/>
              <w:bottom w:val="single" w:sz="8" w:space="0" w:color="000000"/>
              <w:right w:val="nil"/>
            </w:tcBorders>
            <w:vAlign w:val="center"/>
            <w:hideMark/>
          </w:tcPr>
          <w:p w14:paraId="00704D7C" w14:textId="77777777" w:rsidR="008909CA" w:rsidRPr="00166607" w:rsidRDefault="008909CA" w:rsidP="008909CA">
            <w:pPr>
              <w:rPr>
                <w:rFonts w:ascii="Times New Roman" w:eastAsia="Times New Roman" w:hAnsi="Times New Roman"/>
                <w:color w:val="000000"/>
                <w:sz w:val="22"/>
                <w:szCs w:val="22"/>
              </w:rPr>
            </w:pPr>
          </w:p>
        </w:tc>
        <w:tc>
          <w:tcPr>
            <w:tcW w:w="1125" w:type="dxa"/>
            <w:tcBorders>
              <w:top w:val="nil"/>
              <w:left w:val="nil"/>
              <w:bottom w:val="single" w:sz="8" w:space="0" w:color="auto"/>
              <w:right w:val="nil"/>
            </w:tcBorders>
            <w:shd w:val="clear" w:color="000000" w:fill="FFFFFF"/>
            <w:noWrap/>
            <w:vAlign w:val="center"/>
            <w:hideMark/>
          </w:tcPr>
          <w:p w14:paraId="6F594052"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840" w:type="dxa"/>
            <w:tcBorders>
              <w:top w:val="nil"/>
              <w:left w:val="nil"/>
              <w:bottom w:val="single" w:sz="8" w:space="0" w:color="auto"/>
              <w:right w:val="nil"/>
            </w:tcBorders>
            <w:shd w:val="clear" w:color="000000" w:fill="FFFFFF"/>
            <w:noWrap/>
            <w:vAlign w:val="center"/>
            <w:hideMark/>
          </w:tcPr>
          <w:p w14:paraId="4E05856C" w14:textId="76CDD56C"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(112.7)**</w:t>
            </w:r>
          </w:p>
        </w:tc>
        <w:tc>
          <w:tcPr>
            <w:tcW w:w="1220" w:type="dxa"/>
            <w:tcBorders>
              <w:top w:val="nil"/>
              <w:left w:val="nil"/>
              <w:bottom w:val="single" w:sz="8" w:space="0" w:color="auto"/>
              <w:right w:val="nil"/>
            </w:tcBorders>
            <w:shd w:val="clear" w:color="000000" w:fill="FFFFFF"/>
            <w:noWrap/>
            <w:vAlign w:val="center"/>
            <w:hideMark/>
          </w:tcPr>
          <w:p w14:paraId="44DC5A60"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single" w:sz="8" w:space="0" w:color="auto"/>
              <w:right w:val="nil"/>
            </w:tcBorders>
            <w:shd w:val="clear" w:color="000000" w:fill="FFFFFF"/>
            <w:noWrap/>
            <w:vAlign w:val="center"/>
            <w:hideMark/>
          </w:tcPr>
          <w:p w14:paraId="5483DC0E" w14:textId="2F4DA659"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(158.9)</w:t>
            </w:r>
          </w:p>
        </w:tc>
        <w:tc>
          <w:tcPr>
            <w:tcW w:w="1170" w:type="dxa"/>
            <w:tcBorders>
              <w:top w:val="nil"/>
              <w:left w:val="nil"/>
              <w:bottom w:val="single" w:sz="8" w:space="0" w:color="auto"/>
              <w:right w:val="nil"/>
            </w:tcBorders>
            <w:shd w:val="clear" w:color="000000" w:fill="FFFFFF"/>
            <w:noWrap/>
            <w:vAlign w:val="center"/>
            <w:hideMark/>
          </w:tcPr>
          <w:p w14:paraId="619DF45A"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single" w:sz="8" w:space="0" w:color="auto"/>
              <w:right w:val="nil"/>
            </w:tcBorders>
            <w:shd w:val="clear" w:color="000000" w:fill="FFFFFF"/>
            <w:noWrap/>
            <w:vAlign w:val="center"/>
            <w:hideMark/>
          </w:tcPr>
          <w:p w14:paraId="03B416C9" w14:textId="18E51605"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(175.</w:t>
            </w:r>
            <w:r w:rsidR="00C45AB5" w:rsidRPr="00166607">
              <w:rPr>
                <w:rFonts w:ascii="Times New Roman" w:eastAsia="Times New Roman" w:hAnsi="Times New Roman"/>
                <w:color w:val="000000"/>
                <w:sz w:val="22"/>
                <w:szCs w:val="22"/>
              </w:rPr>
              <w:t>2</w:t>
            </w:r>
            <w:r w:rsidRPr="00166607">
              <w:rPr>
                <w:rFonts w:ascii="Times New Roman" w:eastAsia="Times New Roman" w:hAnsi="Times New Roman"/>
                <w:color w:val="000000"/>
                <w:sz w:val="22"/>
                <w:szCs w:val="22"/>
              </w:rPr>
              <w:t>)</w:t>
            </w:r>
          </w:p>
        </w:tc>
      </w:tr>
      <w:tr w:rsidR="008909CA" w:rsidRPr="00166607" w14:paraId="408E21A8" w14:textId="77777777" w:rsidTr="007F7B67">
        <w:trPr>
          <w:trHeight w:val="300"/>
        </w:trPr>
        <w:tc>
          <w:tcPr>
            <w:tcW w:w="4290" w:type="dxa"/>
            <w:tcBorders>
              <w:top w:val="nil"/>
              <w:left w:val="nil"/>
              <w:bottom w:val="single" w:sz="8" w:space="0" w:color="auto"/>
              <w:right w:val="nil"/>
            </w:tcBorders>
            <w:shd w:val="clear" w:color="000000" w:fill="FFFFFF"/>
            <w:hideMark/>
          </w:tcPr>
          <w:p w14:paraId="1D045839" w14:textId="77777777" w:rsidR="008909CA" w:rsidRPr="00166607" w:rsidRDefault="008909CA" w:rsidP="008909CA">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8415" w:type="dxa"/>
            <w:gridSpan w:val="6"/>
            <w:tcBorders>
              <w:top w:val="nil"/>
              <w:left w:val="nil"/>
              <w:bottom w:val="single" w:sz="8" w:space="0" w:color="auto"/>
              <w:right w:val="nil"/>
            </w:tcBorders>
            <w:shd w:val="clear" w:color="000000" w:fill="FFFFFF"/>
            <w:noWrap/>
            <w:vAlign w:val="center"/>
            <w:hideMark/>
          </w:tcPr>
          <w:p w14:paraId="4AB944B8" w14:textId="77777777" w:rsidR="008909CA" w:rsidRPr="00166607" w:rsidRDefault="008909CA" w:rsidP="008909CA">
            <w:pPr>
              <w:jc w:val="center"/>
              <w:rPr>
                <w:rFonts w:ascii="Times New Roman" w:eastAsia="Times New Roman" w:hAnsi="Times New Roman"/>
                <w:i/>
                <w:iCs/>
                <w:color w:val="000000"/>
                <w:sz w:val="22"/>
                <w:szCs w:val="22"/>
              </w:rPr>
            </w:pPr>
            <w:r w:rsidRPr="00166607">
              <w:rPr>
                <w:rFonts w:ascii="Times New Roman" w:eastAsia="Times New Roman" w:hAnsi="Times New Roman"/>
                <w:i/>
                <w:iCs/>
                <w:color w:val="000000"/>
                <w:sz w:val="22"/>
                <w:szCs w:val="22"/>
              </w:rPr>
              <w:t>C. Males</w:t>
            </w:r>
          </w:p>
        </w:tc>
      </w:tr>
      <w:tr w:rsidR="008909CA" w:rsidRPr="00166607" w14:paraId="3D8FA5DB" w14:textId="77777777" w:rsidTr="007F7B67">
        <w:trPr>
          <w:trHeight w:val="280"/>
        </w:trPr>
        <w:tc>
          <w:tcPr>
            <w:tcW w:w="4290" w:type="dxa"/>
            <w:vMerge w:val="restart"/>
            <w:tcBorders>
              <w:top w:val="nil"/>
              <w:left w:val="nil"/>
              <w:bottom w:val="nil"/>
              <w:right w:val="nil"/>
            </w:tcBorders>
            <w:shd w:val="clear" w:color="000000" w:fill="FFFFFF"/>
            <w:hideMark/>
          </w:tcPr>
          <w:p w14:paraId="27AE0991" w14:textId="47747902" w:rsidR="008909CA" w:rsidRPr="00166607" w:rsidRDefault="008909CA" w:rsidP="008909CA">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Lower bound on </w:t>
            </w:r>
            <w:r w:rsidR="00BB1DD0" w:rsidRPr="00166607">
              <w:rPr>
                <w:rFonts w:ascii="Times New Roman" w:eastAsia="Times New Roman" w:hAnsi="Times New Roman"/>
                <w:color w:val="000000"/>
                <w:sz w:val="22"/>
                <w:szCs w:val="22"/>
              </w:rPr>
              <w:t>self-reported</w:t>
            </w:r>
            <w:r w:rsidRPr="00166607">
              <w:rPr>
                <w:rFonts w:ascii="Times New Roman" w:eastAsia="Times New Roman" w:hAnsi="Times New Roman"/>
                <w:color w:val="000000"/>
                <w:sz w:val="22"/>
                <w:szCs w:val="22"/>
              </w:rPr>
              <w:t xml:space="preserve"> annual earnings</w:t>
            </w:r>
            <w:r w:rsidR="004D0F7A">
              <w:rPr>
                <w:rFonts w:ascii="Times New Roman" w:eastAsia="Times New Roman" w:hAnsi="Times New Roman"/>
                <w:color w:val="000000"/>
                <w:sz w:val="22"/>
                <w:szCs w:val="22"/>
              </w:rPr>
              <w:t xml:space="preserve"> (without trimming losers)</w:t>
            </w:r>
          </w:p>
        </w:tc>
        <w:tc>
          <w:tcPr>
            <w:tcW w:w="1125" w:type="dxa"/>
            <w:tcBorders>
              <w:top w:val="nil"/>
              <w:left w:val="nil"/>
              <w:bottom w:val="nil"/>
              <w:right w:val="nil"/>
            </w:tcBorders>
            <w:shd w:val="clear" w:color="000000" w:fill="FFFFFF"/>
            <w:noWrap/>
            <w:vAlign w:val="center"/>
            <w:hideMark/>
          </w:tcPr>
          <w:p w14:paraId="5AB1C9DA"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3,198.5</w:t>
            </w:r>
          </w:p>
        </w:tc>
        <w:tc>
          <w:tcPr>
            <w:tcW w:w="1840" w:type="dxa"/>
            <w:tcBorders>
              <w:top w:val="nil"/>
              <w:left w:val="nil"/>
              <w:bottom w:val="nil"/>
              <w:right w:val="nil"/>
            </w:tcBorders>
            <w:shd w:val="clear" w:color="000000" w:fill="FFFFFF"/>
            <w:noWrap/>
            <w:vAlign w:val="center"/>
            <w:hideMark/>
          </w:tcPr>
          <w:p w14:paraId="7199A9A7"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-311.7</w:t>
            </w:r>
          </w:p>
        </w:tc>
        <w:tc>
          <w:tcPr>
            <w:tcW w:w="1220" w:type="dxa"/>
            <w:tcBorders>
              <w:top w:val="nil"/>
              <w:left w:val="nil"/>
              <w:bottom w:val="nil"/>
              <w:right w:val="nil"/>
            </w:tcBorders>
            <w:shd w:val="clear" w:color="000000" w:fill="FFFFFF"/>
            <w:noWrap/>
            <w:vAlign w:val="center"/>
            <w:hideMark/>
          </w:tcPr>
          <w:p w14:paraId="2F0E565E"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3,567.6</w:t>
            </w:r>
          </w:p>
        </w:tc>
        <w:tc>
          <w:tcPr>
            <w:tcW w:w="1530" w:type="dxa"/>
            <w:tcBorders>
              <w:top w:val="nil"/>
              <w:left w:val="nil"/>
              <w:bottom w:val="nil"/>
              <w:right w:val="nil"/>
            </w:tcBorders>
            <w:shd w:val="clear" w:color="000000" w:fill="FFFFFF"/>
            <w:noWrap/>
            <w:vAlign w:val="center"/>
            <w:hideMark/>
          </w:tcPr>
          <w:p w14:paraId="541420CD"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-765.8</w:t>
            </w:r>
          </w:p>
        </w:tc>
        <w:tc>
          <w:tcPr>
            <w:tcW w:w="1170" w:type="dxa"/>
            <w:tcBorders>
              <w:top w:val="nil"/>
              <w:left w:val="nil"/>
              <w:bottom w:val="nil"/>
              <w:right w:val="nil"/>
            </w:tcBorders>
            <w:shd w:val="clear" w:color="000000" w:fill="FFFFFF"/>
            <w:noWrap/>
            <w:vAlign w:val="center"/>
            <w:hideMark/>
          </w:tcPr>
          <w:p w14:paraId="233B2B58"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2,749.0</w:t>
            </w:r>
          </w:p>
        </w:tc>
        <w:tc>
          <w:tcPr>
            <w:tcW w:w="1530" w:type="dxa"/>
            <w:tcBorders>
              <w:top w:val="nil"/>
              <w:left w:val="nil"/>
              <w:bottom w:val="nil"/>
              <w:right w:val="nil"/>
            </w:tcBorders>
            <w:shd w:val="clear" w:color="000000" w:fill="FFFFFF"/>
            <w:noWrap/>
            <w:vAlign w:val="center"/>
            <w:hideMark/>
          </w:tcPr>
          <w:p w14:paraId="2FFAA4C3"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154.4</w:t>
            </w:r>
          </w:p>
        </w:tc>
      </w:tr>
      <w:tr w:rsidR="008909CA" w:rsidRPr="00166607" w14:paraId="52858814" w14:textId="77777777" w:rsidTr="007F7B67">
        <w:trPr>
          <w:trHeight w:val="280"/>
        </w:trPr>
        <w:tc>
          <w:tcPr>
            <w:tcW w:w="4290" w:type="dxa"/>
            <w:vMerge/>
            <w:tcBorders>
              <w:top w:val="nil"/>
              <w:left w:val="nil"/>
              <w:bottom w:val="nil"/>
              <w:right w:val="nil"/>
            </w:tcBorders>
            <w:vAlign w:val="center"/>
            <w:hideMark/>
          </w:tcPr>
          <w:p w14:paraId="4ADA944E" w14:textId="77777777" w:rsidR="008909CA" w:rsidRPr="00166607" w:rsidRDefault="008909CA" w:rsidP="008909CA">
            <w:pPr>
              <w:rPr>
                <w:rFonts w:ascii="Times New Roman" w:eastAsia="Times New Roman" w:hAnsi="Times New Roman"/>
                <w:color w:val="000000"/>
                <w:sz w:val="22"/>
                <w:szCs w:val="22"/>
              </w:rPr>
            </w:pPr>
          </w:p>
        </w:tc>
        <w:tc>
          <w:tcPr>
            <w:tcW w:w="1125" w:type="dxa"/>
            <w:tcBorders>
              <w:top w:val="nil"/>
              <w:left w:val="nil"/>
              <w:bottom w:val="nil"/>
              <w:right w:val="nil"/>
            </w:tcBorders>
            <w:shd w:val="clear" w:color="000000" w:fill="FFFFFF"/>
            <w:noWrap/>
            <w:vAlign w:val="center"/>
            <w:hideMark/>
          </w:tcPr>
          <w:p w14:paraId="3E7854B2"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840" w:type="dxa"/>
            <w:tcBorders>
              <w:top w:val="nil"/>
              <w:left w:val="nil"/>
              <w:bottom w:val="nil"/>
              <w:right w:val="nil"/>
            </w:tcBorders>
            <w:shd w:val="clear" w:color="000000" w:fill="FFFFFF"/>
            <w:noWrap/>
            <w:vAlign w:val="center"/>
            <w:hideMark/>
          </w:tcPr>
          <w:p w14:paraId="2955FAC5" w14:textId="06990B5E"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(446.3)</w:t>
            </w:r>
          </w:p>
        </w:tc>
        <w:tc>
          <w:tcPr>
            <w:tcW w:w="1220" w:type="dxa"/>
            <w:tcBorders>
              <w:top w:val="nil"/>
              <w:left w:val="nil"/>
              <w:bottom w:val="nil"/>
              <w:right w:val="nil"/>
            </w:tcBorders>
            <w:shd w:val="clear" w:color="000000" w:fill="FFFFFF"/>
            <w:noWrap/>
            <w:vAlign w:val="center"/>
            <w:hideMark/>
          </w:tcPr>
          <w:p w14:paraId="628223B1"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nil"/>
              <w:right w:val="nil"/>
            </w:tcBorders>
            <w:shd w:val="clear" w:color="000000" w:fill="FFFFFF"/>
            <w:noWrap/>
            <w:vAlign w:val="center"/>
            <w:hideMark/>
          </w:tcPr>
          <w:p w14:paraId="35A02C1F" w14:textId="4F5D2405" w:rsidR="008909CA" w:rsidRPr="00166607" w:rsidRDefault="008909CA" w:rsidP="006D27C5">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(84</w:t>
            </w:r>
            <w:r w:rsidR="006D27C5" w:rsidRPr="00166607">
              <w:rPr>
                <w:rFonts w:ascii="Times New Roman" w:eastAsia="Times New Roman" w:hAnsi="Times New Roman"/>
                <w:color w:val="000000"/>
                <w:sz w:val="22"/>
                <w:szCs w:val="22"/>
              </w:rPr>
              <w:t>5</w:t>
            </w:r>
            <w:r w:rsidRPr="00166607">
              <w:rPr>
                <w:rFonts w:ascii="Times New Roman" w:eastAsia="Times New Roman" w:hAnsi="Times New Roman"/>
                <w:color w:val="000000"/>
                <w:sz w:val="22"/>
                <w:szCs w:val="22"/>
              </w:rPr>
              <w:t>.</w:t>
            </w:r>
            <w:r w:rsidR="006D27C5" w:rsidRPr="00166607">
              <w:rPr>
                <w:rFonts w:ascii="Times New Roman" w:eastAsia="Times New Roman" w:hAnsi="Times New Roman"/>
                <w:color w:val="000000"/>
                <w:sz w:val="22"/>
                <w:szCs w:val="22"/>
              </w:rPr>
              <w:t>0</w:t>
            </w:r>
            <w:r w:rsidRPr="00166607">
              <w:rPr>
                <w:rFonts w:ascii="Times New Roman" w:eastAsia="Times New Roman" w:hAnsi="Times New Roman"/>
                <w:color w:val="000000"/>
                <w:sz w:val="22"/>
                <w:szCs w:val="22"/>
              </w:rPr>
              <w:t>)</w:t>
            </w:r>
          </w:p>
        </w:tc>
        <w:tc>
          <w:tcPr>
            <w:tcW w:w="1170" w:type="dxa"/>
            <w:tcBorders>
              <w:top w:val="nil"/>
              <w:left w:val="nil"/>
              <w:bottom w:val="nil"/>
              <w:right w:val="nil"/>
            </w:tcBorders>
            <w:shd w:val="clear" w:color="000000" w:fill="FFFFFF"/>
            <w:noWrap/>
            <w:vAlign w:val="center"/>
            <w:hideMark/>
          </w:tcPr>
          <w:p w14:paraId="5CC96D8A"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nil"/>
              <w:right w:val="nil"/>
            </w:tcBorders>
            <w:shd w:val="clear" w:color="000000" w:fill="FFFFFF"/>
            <w:noWrap/>
            <w:vAlign w:val="center"/>
            <w:hideMark/>
          </w:tcPr>
          <w:p w14:paraId="367C1D87" w14:textId="433BA929"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(183.1)</w:t>
            </w:r>
          </w:p>
        </w:tc>
      </w:tr>
      <w:tr w:rsidR="008909CA" w:rsidRPr="00166607" w14:paraId="21428864" w14:textId="77777777" w:rsidTr="007F7B67">
        <w:trPr>
          <w:trHeight w:val="280"/>
        </w:trPr>
        <w:tc>
          <w:tcPr>
            <w:tcW w:w="4290" w:type="dxa"/>
            <w:vMerge w:val="restart"/>
            <w:tcBorders>
              <w:top w:val="nil"/>
              <w:left w:val="nil"/>
              <w:bottom w:val="single" w:sz="8" w:space="0" w:color="000000"/>
              <w:right w:val="nil"/>
            </w:tcBorders>
            <w:shd w:val="clear" w:color="000000" w:fill="FFFFFF"/>
            <w:hideMark/>
          </w:tcPr>
          <w:p w14:paraId="67C23E68" w14:textId="5A53260E" w:rsidR="008909CA" w:rsidRPr="00166607" w:rsidRDefault="008909CA" w:rsidP="008909CA">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xml:space="preserve">Upper bound on </w:t>
            </w:r>
            <w:r w:rsidR="00BB1DD0" w:rsidRPr="00166607">
              <w:rPr>
                <w:rFonts w:ascii="Times New Roman" w:eastAsia="Times New Roman" w:hAnsi="Times New Roman"/>
                <w:color w:val="000000"/>
                <w:sz w:val="22"/>
                <w:szCs w:val="22"/>
              </w:rPr>
              <w:t>self-reported</w:t>
            </w:r>
            <w:r w:rsidRPr="00166607">
              <w:rPr>
                <w:rFonts w:ascii="Times New Roman" w:eastAsia="Times New Roman" w:hAnsi="Times New Roman"/>
                <w:color w:val="000000"/>
                <w:sz w:val="22"/>
                <w:szCs w:val="22"/>
              </w:rPr>
              <w:t xml:space="preserve"> annual earnings</w:t>
            </w:r>
            <w:r w:rsidR="004D0F7A">
              <w:rPr>
                <w:rFonts w:ascii="Times New Roman" w:eastAsia="Times New Roman" w:hAnsi="Times New Roman"/>
                <w:color w:val="000000"/>
                <w:sz w:val="22"/>
                <w:szCs w:val="22"/>
              </w:rPr>
              <w:t xml:space="preserve"> (trimming top 5% of losers)</w:t>
            </w:r>
          </w:p>
        </w:tc>
        <w:tc>
          <w:tcPr>
            <w:tcW w:w="1125" w:type="dxa"/>
            <w:tcBorders>
              <w:top w:val="nil"/>
              <w:left w:val="nil"/>
              <w:bottom w:val="nil"/>
              <w:right w:val="nil"/>
            </w:tcBorders>
            <w:shd w:val="clear" w:color="000000" w:fill="FFFFFF"/>
            <w:noWrap/>
            <w:vAlign w:val="center"/>
            <w:hideMark/>
          </w:tcPr>
          <w:p w14:paraId="21E0FF23"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2,439.6</w:t>
            </w:r>
          </w:p>
        </w:tc>
        <w:tc>
          <w:tcPr>
            <w:tcW w:w="1840" w:type="dxa"/>
            <w:tcBorders>
              <w:top w:val="nil"/>
              <w:left w:val="nil"/>
              <w:bottom w:val="nil"/>
              <w:right w:val="nil"/>
            </w:tcBorders>
            <w:shd w:val="clear" w:color="000000" w:fill="FFFFFF"/>
            <w:noWrap/>
            <w:vAlign w:val="center"/>
            <w:hideMark/>
          </w:tcPr>
          <w:p w14:paraId="4FA8B602"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440.5</w:t>
            </w:r>
          </w:p>
        </w:tc>
        <w:tc>
          <w:tcPr>
            <w:tcW w:w="1220" w:type="dxa"/>
            <w:tcBorders>
              <w:top w:val="nil"/>
              <w:left w:val="nil"/>
              <w:bottom w:val="nil"/>
              <w:right w:val="nil"/>
            </w:tcBorders>
            <w:shd w:val="clear" w:color="000000" w:fill="FFFFFF"/>
            <w:noWrap/>
            <w:vAlign w:val="center"/>
            <w:hideMark/>
          </w:tcPr>
          <w:p w14:paraId="165B51D5"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2,461.0</w:t>
            </w:r>
          </w:p>
        </w:tc>
        <w:tc>
          <w:tcPr>
            <w:tcW w:w="1530" w:type="dxa"/>
            <w:tcBorders>
              <w:top w:val="nil"/>
              <w:left w:val="nil"/>
              <w:bottom w:val="nil"/>
              <w:right w:val="nil"/>
            </w:tcBorders>
            <w:shd w:val="clear" w:color="000000" w:fill="FFFFFF"/>
            <w:noWrap/>
            <w:vAlign w:val="center"/>
            <w:hideMark/>
          </w:tcPr>
          <w:p w14:paraId="485F0975"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366.7</w:t>
            </w:r>
          </w:p>
        </w:tc>
        <w:tc>
          <w:tcPr>
            <w:tcW w:w="1170" w:type="dxa"/>
            <w:tcBorders>
              <w:top w:val="nil"/>
              <w:left w:val="nil"/>
              <w:bottom w:val="nil"/>
              <w:right w:val="nil"/>
            </w:tcBorders>
            <w:shd w:val="clear" w:color="000000" w:fill="FFFFFF"/>
            <w:noWrap/>
            <w:vAlign w:val="center"/>
            <w:hideMark/>
          </w:tcPr>
          <w:p w14:paraId="00FAA65F"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2,581.7</w:t>
            </w:r>
          </w:p>
        </w:tc>
        <w:tc>
          <w:tcPr>
            <w:tcW w:w="1530" w:type="dxa"/>
            <w:tcBorders>
              <w:top w:val="nil"/>
              <w:left w:val="nil"/>
              <w:bottom w:val="nil"/>
              <w:right w:val="nil"/>
            </w:tcBorders>
            <w:shd w:val="clear" w:color="000000" w:fill="FFFFFF"/>
            <w:noWrap/>
            <w:vAlign w:val="center"/>
            <w:hideMark/>
          </w:tcPr>
          <w:p w14:paraId="2ACD4E53"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324.5</w:t>
            </w:r>
          </w:p>
        </w:tc>
      </w:tr>
      <w:tr w:rsidR="008909CA" w:rsidRPr="00166607" w14:paraId="2A6BF620" w14:textId="77777777" w:rsidTr="007F7B67">
        <w:trPr>
          <w:trHeight w:val="300"/>
        </w:trPr>
        <w:tc>
          <w:tcPr>
            <w:tcW w:w="4290" w:type="dxa"/>
            <w:vMerge/>
            <w:tcBorders>
              <w:top w:val="nil"/>
              <w:left w:val="nil"/>
              <w:bottom w:val="single" w:sz="8" w:space="0" w:color="000000"/>
              <w:right w:val="nil"/>
            </w:tcBorders>
            <w:vAlign w:val="center"/>
            <w:hideMark/>
          </w:tcPr>
          <w:p w14:paraId="10773930" w14:textId="77777777" w:rsidR="008909CA" w:rsidRPr="00166607" w:rsidRDefault="008909CA" w:rsidP="008909CA">
            <w:pPr>
              <w:rPr>
                <w:rFonts w:ascii="Times New Roman" w:eastAsia="Times New Roman" w:hAnsi="Times New Roman"/>
                <w:color w:val="000000"/>
                <w:sz w:val="22"/>
                <w:szCs w:val="22"/>
              </w:rPr>
            </w:pPr>
          </w:p>
        </w:tc>
        <w:tc>
          <w:tcPr>
            <w:tcW w:w="1125" w:type="dxa"/>
            <w:tcBorders>
              <w:top w:val="nil"/>
              <w:left w:val="nil"/>
              <w:bottom w:val="double" w:sz="6" w:space="0" w:color="auto"/>
              <w:right w:val="nil"/>
            </w:tcBorders>
            <w:shd w:val="clear" w:color="000000" w:fill="FFFFFF"/>
            <w:noWrap/>
            <w:vAlign w:val="center"/>
            <w:hideMark/>
          </w:tcPr>
          <w:p w14:paraId="48D9A1E5"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840" w:type="dxa"/>
            <w:tcBorders>
              <w:top w:val="nil"/>
              <w:left w:val="nil"/>
              <w:bottom w:val="double" w:sz="6" w:space="0" w:color="auto"/>
              <w:right w:val="nil"/>
            </w:tcBorders>
            <w:shd w:val="clear" w:color="000000" w:fill="FFFFFF"/>
            <w:noWrap/>
            <w:vAlign w:val="center"/>
            <w:hideMark/>
          </w:tcPr>
          <w:p w14:paraId="602499E8" w14:textId="019813B8"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(111.</w:t>
            </w:r>
            <w:r w:rsidR="006D27C5" w:rsidRPr="00166607">
              <w:rPr>
                <w:rFonts w:ascii="Times New Roman" w:eastAsia="Times New Roman" w:hAnsi="Times New Roman"/>
                <w:color w:val="000000"/>
                <w:sz w:val="22"/>
                <w:szCs w:val="22"/>
              </w:rPr>
              <w:t>8</w:t>
            </w:r>
            <w:r w:rsidRPr="00166607">
              <w:rPr>
                <w:rFonts w:ascii="Times New Roman" w:eastAsia="Times New Roman" w:hAnsi="Times New Roman"/>
                <w:color w:val="000000"/>
                <w:sz w:val="22"/>
                <w:szCs w:val="22"/>
              </w:rPr>
              <w:t>)***</w:t>
            </w:r>
          </w:p>
        </w:tc>
        <w:tc>
          <w:tcPr>
            <w:tcW w:w="1220" w:type="dxa"/>
            <w:tcBorders>
              <w:top w:val="nil"/>
              <w:left w:val="nil"/>
              <w:bottom w:val="double" w:sz="6" w:space="0" w:color="auto"/>
              <w:right w:val="nil"/>
            </w:tcBorders>
            <w:shd w:val="clear" w:color="000000" w:fill="FFFFFF"/>
            <w:noWrap/>
            <w:vAlign w:val="center"/>
            <w:hideMark/>
          </w:tcPr>
          <w:p w14:paraId="773134FE"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double" w:sz="6" w:space="0" w:color="auto"/>
              <w:right w:val="nil"/>
            </w:tcBorders>
            <w:shd w:val="clear" w:color="000000" w:fill="FFFFFF"/>
            <w:noWrap/>
            <w:vAlign w:val="center"/>
            <w:hideMark/>
          </w:tcPr>
          <w:p w14:paraId="35CADAB4" w14:textId="275B6B2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(158.1)**</w:t>
            </w:r>
          </w:p>
        </w:tc>
        <w:tc>
          <w:tcPr>
            <w:tcW w:w="1170" w:type="dxa"/>
            <w:tcBorders>
              <w:top w:val="nil"/>
              <w:left w:val="nil"/>
              <w:bottom w:val="double" w:sz="6" w:space="0" w:color="auto"/>
              <w:right w:val="nil"/>
            </w:tcBorders>
            <w:shd w:val="clear" w:color="000000" w:fill="FFFFFF"/>
            <w:noWrap/>
            <w:vAlign w:val="center"/>
            <w:hideMark/>
          </w:tcPr>
          <w:p w14:paraId="4234EA8E" w14:textId="77777777"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30" w:type="dxa"/>
            <w:tcBorders>
              <w:top w:val="nil"/>
              <w:left w:val="nil"/>
              <w:bottom w:val="double" w:sz="6" w:space="0" w:color="auto"/>
              <w:right w:val="nil"/>
            </w:tcBorders>
            <w:shd w:val="clear" w:color="000000" w:fill="FFFFFF"/>
            <w:noWrap/>
            <w:vAlign w:val="center"/>
            <w:hideMark/>
          </w:tcPr>
          <w:p w14:paraId="03172826" w14:textId="6E778903" w:rsidR="008909CA" w:rsidRPr="00166607" w:rsidRDefault="008909CA" w:rsidP="008909CA">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(175.8)*</w:t>
            </w:r>
          </w:p>
        </w:tc>
      </w:tr>
    </w:tbl>
    <w:p w14:paraId="5FA333AD" w14:textId="1191EE5C" w:rsidR="00EA7A57" w:rsidRPr="00166607" w:rsidRDefault="001E001C">
      <w:pPr>
        <w:rPr>
          <w:rFonts w:ascii="Times New Roman" w:hAnsi="Times New Roman"/>
          <w:sz w:val="20"/>
          <w:szCs w:val="20"/>
        </w:rPr>
      </w:pPr>
      <w:r w:rsidRPr="00166607">
        <w:rPr>
          <w:rFonts w:ascii="Times New Roman" w:hAnsi="Times New Roman"/>
          <w:color w:val="000000"/>
          <w:sz w:val="20"/>
          <w:szCs w:val="20"/>
        </w:rPr>
        <w:t xml:space="preserve">Notes: Table reports scholarship lottery loser’s means and bounds of the effects of winning a scholarship on informal annual earnings expressed in </w:t>
      </w:r>
      <w:r w:rsidR="008B016E" w:rsidRPr="00166607">
        <w:rPr>
          <w:rFonts w:ascii="Times New Roman" w:hAnsi="Times New Roman"/>
          <w:color w:val="000000"/>
          <w:sz w:val="20"/>
          <w:szCs w:val="20"/>
        </w:rPr>
        <w:t xml:space="preserve">2013 </w:t>
      </w:r>
      <w:r w:rsidRPr="00166607">
        <w:rPr>
          <w:rFonts w:ascii="Times New Roman" w:hAnsi="Times New Roman"/>
          <w:color w:val="000000"/>
          <w:sz w:val="20"/>
          <w:szCs w:val="20"/>
        </w:rPr>
        <w:t xml:space="preserve">USD. Lower bound earnings are obtained from an OLS regression of SISBEN self-reported earnings, with missing values for those not in the SISBEN census.  Upper bound earnings from an OLS regression in which SISBEN earnings from the top 5 percent of scholarship </w:t>
      </w:r>
      <w:r w:rsidR="004D0F7A">
        <w:rPr>
          <w:rFonts w:ascii="Times New Roman" w:hAnsi="Times New Roman"/>
          <w:color w:val="000000"/>
          <w:sz w:val="20"/>
          <w:szCs w:val="20"/>
        </w:rPr>
        <w:t xml:space="preserve">losers </w:t>
      </w:r>
      <w:r w:rsidRPr="00166607">
        <w:rPr>
          <w:rFonts w:ascii="Times New Roman" w:hAnsi="Times New Roman"/>
          <w:color w:val="000000"/>
          <w:sz w:val="20"/>
          <w:szCs w:val="20"/>
        </w:rPr>
        <w:t>are trimmed from the sample. Controls include age, male and whether the applicant had a phone number at the time of scholarship application.</w:t>
      </w:r>
      <w:r w:rsidR="00347465" w:rsidRPr="00166607">
        <w:rPr>
          <w:rFonts w:ascii="Times New Roman" w:hAnsi="Times New Roman"/>
          <w:color w:val="000000"/>
          <w:sz w:val="20"/>
          <w:szCs w:val="20"/>
        </w:rPr>
        <w:t xml:space="preserve"> Robust standard errors in parentheses.</w:t>
      </w:r>
      <w:r w:rsidRPr="00166607">
        <w:rPr>
          <w:rFonts w:ascii="Times New Roman" w:hAnsi="Times New Roman"/>
          <w:color w:val="000000"/>
          <w:sz w:val="20"/>
          <w:szCs w:val="20"/>
        </w:rPr>
        <w:t xml:space="preserve"> * significant 10%, ** significant 5%.</w:t>
      </w:r>
    </w:p>
    <w:p w14:paraId="13025B07" w14:textId="77777777" w:rsidR="00EA7A57" w:rsidRPr="00166607" w:rsidRDefault="00EA7A57">
      <w:pPr>
        <w:rPr>
          <w:rFonts w:ascii="Times New Roman" w:hAnsi="Times New Roman"/>
          <w:szCs w:val="20"/>
        </w:rPr>
      </w:pPr>
    </w:p>
    <w:p w14:paraId="112D1631" w14:textId="6C0C9288" w:rsidR="001571FF" w:rsidRPr="00166607" w:rsidRDefault="00C04517">
      <w:pPr>
        <w:rPr>
          <w:rFonts w:ascii="Times New Roman" w:hAnsi="Times New Roman"/>
          <w:szCs w:val="20"/>
        </w:rPr>
      </w:pPr>
      <w:r w:rsidRPr="00166607">
        <w:rPr>
          <w:rFonts w:ascii="Times New Roman" w:hAnsi="Times New Roman"/>
          <w:szCs w:val="20"/>
        </w:rPr>
        <w:lastRenderedPageBreak/>
        <w:t xml:space="preserve">Table </w:t>
      </w:r>
      <w:r w:rsidR="009771C1" w:rsidRPr="00166607">
        <w:rPr>
          <w:rFonts w:ascii="Times New Roman" w:hAnsi="Times New Roman"/>
          <w:szCs w:val="20"/>
        </w:rPr>
        <w:t>7</w:t>
      </w:r>
      <w:r w:rsidRPr="00166607">
        <w:rPr>
          <w:rFonts w:ascii="Times New Roman" w:hAnsi="Times New Roman"/>
          <w:szCs w:val="20"/>
        </w:rPr>
        <w:t xml:space="preserve">. Scholarship effects on </w:t>
      </w:r>
      <w:r w:rsidR="00F409AE" w:rsidRPr="00166607">
        <w:rPr>
          <w:rFonts w:ascii="Times New Roman" w:hAnsi="Times New Roman"/>
          <w:szCs w:val="20"/>
        </w:rPr>
        <w:t>fertility</w:t>
      </w:r>
    </w:p>
    <w:tbl>
      <w:tblPr>
        <w:tblW w:w="11725" w:type="dxa"/>
        <w:tblInd w:w="93" w:type="dxa"/>
        <w:tblLayout w:type="fixed"/>
        <w:tblLook w:val="04A0" w:firstRow="1" w:lastRow="0" w:firstColumn="1" w:lastColumn="0" w:noHBand="0" w:noVBand="1"/>
      </w:tblPr>
      <w:tblGrid>
        <w:gridCol w:w="3435"/>
        <w:gridCol w:w="1350"/>
        <w:gridCol w:w="1520"/>
        <w:gridCol w:w="1370"/>
        <w:gridCol w:w="1350"/>
        <w:gridCol w:w="1180"/>
        <w:gridCol w:w="1520"/>
      </w:tblGrid>
      <w:tr w:rsidR="00A31C1B" w:rsidRPr="00166607" w14:paraId="31370175" w14:textId="77777777" w:rsidTr="002D0FCF">
        <w:trPr>
          <w:trHeight w:val="200"/>
        </w:trPr>
        <w:tc>
          <w:tcPr>
            <w:tcW w:w="3435" w:type="dxa"/>
            <w:tcBorders>
              <w:top w:val="nil"/>
              <w:left w:val="nil"/>
              <w:bottom w:val="nil"/>
              <w:right w:val="nil"/>
            </w:tcBorders>
            <w:shd w:val="clear" w:color="auto" w:fill="auto"/>
            <w:noWrap/>
            <w:vAlign w:val="bottom"/>
            <w:hideMark/>
          </w:tcPr>
          <w:p w14:paraId="3FD4CD84" w14:textId="77777777" w:rsidR="00A31C1B" w:rsidRPr="00166607" w:rsidRDefault="00A31C1B" w:rsidP="00A31C1B">
            <w:pPr>
              <w:rPr>
                <w:rFonts w:ascii="Times New Roman" w:eastAsia="Times New Roman" w:hAnsi="Times New Roman"/>
                <w:color w:val="000000"/>
                <w:sz w:val="22"/>
                <w:szCs w:val="22"/>
              </w:rPr>
            </w:pPr>
          </w:p>
        </w:tc>
        <w:tc>
          <w:tcPr>
            <w:tcW w:w="1350" w:type="dxa"/>
            <w:tcBorders>
              <w:top w:val="nil"/>
              <w:left w:val="nil"/>
              <w:bottom w:val="nil"/>
              <w:right w:val="nil"/>
            </w:tcBorders>
            <w:shd w:val="clear" w:color="auto" w:fill="auto"/>
            <w:noWrap/>
            <w:vAlign w:val="bottom"/>
            <w:hideMark/>
          </w:tcPr>
          <w:p w14:paraId="61DD27FA" w14:textId="77777777" w:rsidR="00A31C1B" w:rsidRPr="00166607" w:rsidRDefault="00A31C1B" w:rsidP="00A31C1B">
            <w:pPr>
              <w:rPr>
                <w:rFonts w:ascii="Calibri" w:eastAsia="Times New Roman" w:hAnsi="Calibri"/>
                <w:color w:val="000000"/>
                <w:sz w:val="22"/>
                <w:szCs w:val="22"/>
              </w:rPr>
            </w:pPr>
          </w:p>
        </w:tc>
        <w:tc>
          <w:tcPr>
            <w:tcW w:w="1520" w:type="dxa"/>
            <w:tcBorders>
              <w:top w:val="nil"/>
              <w:left w:val="nil"/>
              <w:bottom w:val="nil"/>
              <w:right w:val="nil"/>
            </w:tcBorders>
            <w:shd w:val="clear" w:color="auto" w:fill="auto"/>
            <w:noWrap/>
            <w:vAlign w:val="bottom"/>
            <w:hideMark/>
          </w:tcPr>
          <w:p w14:paraId="7C5398A7" w14:textId="77777777" w:rsidR="00A31C1B" w:rsidRPr="00166607" w:rsidRDefault="00A31C1B" w:rsidP="00A31C1B">
            <w:pPr>
              <w:rPr>
                <w:rFonts w:ascii="Calibri" w:eastAsia="Times New Roman" w:hAnsi="Calibri"/>
                <w:color w:val="000000"/>
                <w:sz w:val="22"/>
                <w:szCs w:val="22"/>
              </w:rPr>
            </w:pPr>
          </w:p>
        </w:tc>
        <w:tc>
          <w:tcPr>
            <w:tcW w:w="1370" w:type="dxa"/>
            <w:tcBorders>
              <w:top w:val="nil"/>
              <w:left w:val="nil"/>
              <w:bottom w:val="nil"/>
              <w:right w:val="nil"/>
            </w:tcBorders>
            <w:shd w:val="clear" w:color="auto" w:fill="auto"/>
            <w:noWrap/>
            <w:vAlign w:val="bottom"/>
            <w:hideMark/>
          </w:tcPr>
          <w:p w14:paraId="2E144205" w14:textId="77777777" w:rsidR="00A31C1B" w:rsidRPr="00166607" w:rsidRDefault="00A31C1B" w:rsidP="00A31C1B">
            <w:pPr>
              <w:rPr>
                <w:rFonts w:ascii="Calibri" w:eastAsia="Times New Roman" w:hAnsi="Calibri"/>
                <w:color w:val="000000"/>
                <w:sz w:val="22"/>
                <w:szCs w:val="22"/>
              </w:rPr>
            </w:pPr>
          </w:p>
        </w:tc>
        <w:tc>
          <w:tcPr>
            <w:tcW w:w="1350" w:type="dxa"/>
            <w:tcBorders>
              <w:top w:val="nil"/>
              <w:left w:val="nil"/>
              <w:bottom w:val="nil"/>
              <w:right w:val="nil"/>
            </w:tcBorders>
            <w:shd w:val="clear" w:color="auto" w:fill="auto"/>
            <w:noWrap/>
            <w:vAlign w:val="bottom"/>
            <w:hideMark/>
          </w:tcPr>
          <w:p w14:paraId="5A357D53" w14:textId="77777777" w:rsidR="00A31C1B" w:rsidRPr="00166607" w:rsidRDefault="00A31C1B" w:rsidP="00A31C1B">
            <w:pPr>
              <w:rPr>
                <w:rFonts w:ascii="Calibri" w:eastAsia="Times New Roman" w:hAnsi="Calibri"/>
                <w:color w:val="000000"/>
                <w:sz w:val="22"/>
                <w:szCs w:val="22"/>
              </w:rPr>
            </w:pPr>
          </w:p>
        </w:tc>
        <w:tc>
          <w:tcPr>
            <w:tcW w:w="1180" w:type="dxa"/>
            <w:tcBorders>
              <w:top w:val="nil"/>
              <w:left w:val="nil"/>
              <w:bottom w:val="nil"/>
              <w:right w:val="nil"/>
            </w:tcBorders>
            <w:shd w:val="clear" w:color="auto" w:fill="auto"/>
            <w:noWrap/>
            <w:vAlign w:val="bottom"/>
            <w:hideMark/>
          </w:tcPr>
          <w:p w14:paraId="5115CC3E" w14:textId="77777777" w:rsidR="00A31C1B" w:rsidRPr="00166607" w:rsidRDefault="00A31C1B" w:rsidP="00A31C1B">
            <w:pPr>
              <w:rPr>
                <w:rFonts w:ascii="Calibri" w:eastAsia="Times New Roman" w:hAnsi="Calibri"/>
                <w:color w:val="000000"/>
                <w:sz w:val="22"/>
                <w:szCs w:val="22"/>
              </w:rPr>
            </w:pPr>
          </w:p>
        </w:tc>
        <w:tc>
          <w:tcPr>
            <w:tcW w:w="1520" w:type="dxa"/>
            <w:tcBorders>
              <w:top w:val="nil"/>
              <w:left w:val="nil"/>
              <w:bottom w:val="nil"/>
              <w:right w:val="nil"/>
            </w:tcBorders>
            <w:shd w:val="clear" w:color="auto" w:fill="auto"/>
            <w:noWrap/>
            <w:vAlign w:val="bottom"/>
            <w:hideMark/>
          </w:tcPr>
          <w:p w14:paraId="4C49405D" w14:textId="77777777" w:rsidR="00A31C1B" w:rsidRPr="00166607" w:rsidRDefault="00A31C1B" w:rsidP="00A31C1B">
            <w:pPr>
              <w:rPr>
                <w:rFonts w:ascii="Calibri" w:eastAsia="Times New Roman" w:hAnsi="Calibri"/>
                <w:color w:val="000000"/>
                <w:sz w:val="22"/>
                <w:szCs w:val="22"/>
              </w:rPr>
            </w:pPr>
          </w:p>
        </w:tc>
      </w:tr>
      <w:tr w:rsidR="00A31C1B" w:rsidRPr="00166607" w14:paraId="2F99C133" w14:textId="77777777" w:rsidTr="002D0FCF">
        <w:trPr>
          <w:trHeight w:val="320"/>
        </w:trPr>
        <w:tc>
          <w:tcPr>
            <w:tcW w:w="3435" w:type="dxa"/>
            <w:tcBorders>
              <w:top w:val="double" w:sz="6" w:space="0" w:color="auto"/>
              <w:left w:val="nil"/>
              <w:bottom w:val="nil"/>
              <w:right w:val="nil"/>
            </w:tcBorders>
            <w:shd w:val="clear" w:color="000000" w:fill="FFFFFF"/>
            <w:vAlign w:val="center"/>
            <w:hideMark/>
          </w:tcPr>
          <w:p w14:paraId="263FBEE5"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2870" w:type="dxa"/>
            <w:gridSpan w:val="2"/>
            <w:tcBorders>
              <w:top w:val="double" w:sz="6" w:space="0" w:color="auto"/>
              <w:left w:val="nil"/>
              <w:bottom w:val="single" w:sz="8" w:space="0" w:color="auto"/>
              <w:right w:val="nil"/>
            </w:tcBorders>
            <w:shd w:val="clear" w:color="000000" w:fill="FFFFFF"/>
            <w:noWrap/>
            <w:vAlign w:val="center"/>
            <w:hideMark/>
          </w:tcPr>
          <w:p w14:paraId="768B256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All</w:t>
            </w:r>
          </w:p>
        </w:tc>
        <w:tc>
          <w:tcPr>
            <w:tcW w:w="2720" w:type="dxa"/>
            <w:gridSpan w:val="2"/>
            <w:tcBorders>
              <w:top w:val="double" w:sz="6" w:space="0" w:color="auto"/>
              <w:left w:val="nil"/>
              <w:bottom w:val="single" w:sz="8" w:space="0" w:color="auto"/>
              <w:right w:val="nil"/>
            </w:tcBorders>
            <w:shd w:val="clear" w:color="000000" w:fill="FFFFFF"/>
            <w:noWrap/>
            <w:vAlign w:val="center"/>
            <w:hideMark/>
          </w:tcPr>
          <w:p w14:paraId="5327459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Academic School Applicants</w:t>
            </w:r>
          </w:p>
        </w:tc>
        <w:tc>
          <w:tcPr>
            <w:tcW w:w="2700" w:type="dxa"/>
            <w:gridSpan w:val="2"/>
            <w:tcBorders>
              <w:top w:val="double" w:sz="6" w:space="0" w:color="auto"/>
              <w:left w:val="nil"/>
              <w:bottom w:val="single" w:sz="8" w:space="0" w:color="auto"/>
              <w:right w:val="nil"/>
            </w:tcBorders>
            <w:shd w:val="clear" w:color="000000" w:fill="FFFFFF"/>
            <w:noWrap/>
            <w:vAlign w:val="center"/>
            <w:hideMark/>
          </w:tcPr>
          <w:p w14:paraId="24A6D72E"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Vocational School Applicants</w:t>
            </w:r>
          </w:p>
        </w:tc>
      </w:tr>
      <w:tr w:rsidR="00A31C1B" w:rsidRPr="00166607" w14:paraId="7470D1E1" w14:textId="77777777" w:rsidTr="002D0FCF">
        <w:trPr>
          <w:trHeight w:val="1040"/>
        </w:trPr>
        <w:tc>
          <w:tcPr>
            <w:tcW w:w="3435" w:type="dxa"/>
            <w:tcBorders>
              <w:top w:val="nil"/>
              <w:left w:val="nil"/>
              <w:bottom w:val="nil"/>
              <w:right w:val="nil"/>
            </w:tcBorders>
            <w:shd w:val="clear" w:color="000000" w:fill="FFFFFF"/>
            <w:vAlign w:val="center"/>
            <w:hideMark/>
          </w:tcPr>
          <w:p w14:paraId="389591ED" w14:textId="77777777" w:rsidR="00A31C1B" w:rsidRPr="00166607" w:rsidRDefault="00A31C1B" w:rsidP="00A31C1B">
            <w:pPr>
              <w:jc w:val="center"/>
              <w:rPr>
                <w:rFonts w:ascii="Times New Roman" w:eastAsia="Times New Roman" w:hAnsi="Times New Roman"/>
                <w:b/>
                <w:bCs/>
                <w:color w:val="000000"/>
                <w:sz w:val="22"/>
                <w:szCs w:val="22"/>
              </w:rPr>
            </w:pPr>
            <w:r w:rsidRPr="00166607">
              <w:rPr>
                <w:rFonts w:ascii="Times New Roman" w:eastAsia="Times New Roman" w:hAnsi="Times New Roman"/>
                <w:b/>
                <w:bCs/>
                <w:color w:val="000000"/>
                <w:sz w:val="22"/>
                <w:szCs w:val="22"/>
              </w:rPr>
              <w:t> </w:t>
            </w:r>
          </w:p>
        </w:tc>
        <w:tc>
          <w:tcPr>
            <w:tcW w:w="1350" w:type="dxa"/>
            <w:tcBorders>
              <w:top w:val="nil"/>
              <w:left w:val="nil"/>
              <w:bottom w:val="nil"/>
              <w:right w:val="nil"/>
            </w:tcBorders>
            <w:shd w:val="clear" w:color="000000" w:fill="FFFFFF"/>
            <w:vAlign w:val="center"/>
            <w:hideMark/>
          </w:tcPr>
          <w:p w14:paraId="5D0C071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Loser's Mean       (s.d)</w:t>
            </w:r>
          </w:p>
        </w:tc>
        <w:tc>
          <w:tcPr>
            <w:tcW w:w="1520" w:type="dxa"/>
            <w:tcBorders>
              <w:top w:val="nil"/>
              <w:left w:val="nil"/>
              <w:bottom w:val="nil"/>
              <w:right w:val="nil"/>
            </w:tcBorders>
            <w:shd w:val="clear" w:color="000000" w:fill="FFFFFF"/>
            <w:vAlign w:val="center"/>
            <w:hideMark/>
          </w:tcPr>
          <w:p w14:paraId="3179D17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Won a Scholarship, Application Controls    (s.e)</w:t>
            </w:r>
          </w:p>
        </w:tc>
        <w:tc>
          <w:tcPr>
            <w:tcW w:w="1370" w:type="dxa"/>
            <w:tcBorders>
              <w:top w:val="nil"/>
              <w:left w:val="nil"/>
              <w:bottom w:val="nil"/>
              <w:right w:val="nil"/>
            </w:tcBorders>
            <w:shd w:val="clear" w:color="000000" w:fill="FFFFFF"/>
            <w:vAlign w:val="center"/>
            <w:hideMark/>
          </w:tcPr>
          <w:p w14:paraId="29653AE4"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Loser's Mean     (s.d)</w:t>
            </w:r>
          </w:p>
        </w:tc>
        <w:tc>
          <w:tcPr>
            <w:tcW w:w="1350" w:type="dxa"/>
            <w:tcBorders>
              <w:top w:val="nil"/>
              <w:left w:val="nil"/>
              <w:bottom w:val="nil"/>
              <w:right w:val="nil"/>
            </w:tcBorders>
            <w:shd w:val="clear" w:color="000000" w:fill="FFFFFF"/>
            <w:vAlign w:val="center"/>
            <w:hideMark/>
          </w:tcPr>
          <w:p w14:paraId="2B90F7F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Won a Scholarship, Application Controls    (s.e)</w:t>
            </w:r>
          </w:p>
        </w:tc>
        <w:tc>
          <w:tcPr>
            <w:tcW w:w="1180" w:type="dxa"/>
            <w:tcBorders>
              <w:top w:val="nil"/>
              <w:left w:val="nil"/>
              <w:bottom w:val="nil"/>
              <w:right w:val="nil"/>
            </w:tcBorders>
            <w:shd w:val="clear" w:color="000000" w:fill="FFFFFF"/>
            <w:vAlign w:val="center"/>
            <w:hideMark/>
          </w:tcPr>
          <w:p w14:paraId="7384E4D0"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Loser's Mean     (s.d)</w:t>
            </w:r>
          </w:p>
        </w:tc>
        <w:tc>
          <w:tcPr>
            <w:tcW w:w="1520" w:type="dxa"/>
            <w:tcBorders>
              <w:top w:val="nil"/>
              <w:left w:val="nil"/>
              <w:bottom w:val="nil"/>
              <w:right w:val="nil"/>
            </w:tcBorders>
            <w:shd w:val="clear" w:color="000000" w:fill="FFFFFF"/>
            <w:vAlign w:val="center"/>
            <w:hideMark/>
          </w:tcPr>
          <w:p w14:paraId="4C4B00F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Won a Scholarship, Application Controls    (s.e)</w:t>
            </w:r>
          </w:p>
        </w:tc>
      </w:tr>
      <w:tr w:rsidR="00A31C1B" w:rsidRPr="00166607" w14:paraId="3748C518" w14:textId="77777777" w:rsidTr="002D0FCF">
        <w:trPr>
          <w:trHeight w:val="280"/>
        </w:trPr>
        <w:tc>
          <w:tcPr>
            <w:tcW w:w="3435" w:type="dxa"/>
            <w:tcBorders>
              <w:top w:val="nil"/>
              <w:left w:val="nil"/>
              <w:bottom w:val="nil"/>
              <w:right w:val="nil"/>
            </w:tcBorders>
            <w:shd w:val="clear" w:color="000000" w:fill="FFFFFF"/>
            <w:vAlign w:val="center"/>
            <w:hideMark/>
          </w:tcPr>
          <w:p w14:paraId="27308FE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vAlign w:val="center"/>
            <w:hideMark/>
          </w:tcPr>
          <w:p w14:paraId="0D0CC7B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20" w:type="dxa"/>
            <w:tcBorders>
              <w:top w:val="nil"/>
              <w:left w:val="nil"/>
              <w:bottom w:val="nil"/>
              <w:right w:val="nil"/>
            </w:tcBorders>
            <w:shd w:val="clear" w:color="000000" w:fill="FFFFFF"/>
            <w:vAlign w:val="center"/>
            <w:hideMark/>
          </w:tcPr>
          <w:p w14:paraId="3E567F90"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70" w:type="dxa"/>
            <w:tcBorders>
              <w:top w:val="nil"/>
              <w:left w:val="nil"/>
              <w:bottom w:val="nil"/>
              <w:right w:val="nil"/>
            </w:tcBorders>
            <w:shd w:val="clear" w:color="000000" w:fill="FFFFFF"/>
            <w:vAlign w:val="center"/>
            <w:hideMark/>
          </w:tcPr>
          <w:p w14:paraId="1768871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vAlign w:val="center"/>
            <w:hideMark/>
          </w:tcPr>
          <w:p w14:paraId="2014282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180" w:type="dxa"/>
            <w:tcBorders>
              <w:top w:val="nil"/>
              <w:left w:val="nil"/>
              <w:bottom w:val="nil"/>
              <w:right w:val="nil"/>
            </w:tcBorders>
            <w:shd w:val="clear" w:color="000000" w:fill="FFFFFF"/>
            <w:vAlign w:val="center"/>
            <w:hideMark/>
          </w:tcPr>
          <w:p w14:paraId="4055E22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20" w:type="dxa"/>
            <w:tcBorders>
              <w:top w:val="nil"/>
              <w:left w:val="nil"/>
              <w:bottom w:val="nil"/>
              <w:right w:val="nil"/>
            </w:tcBorders>
            <w:shd w:val="clear" w:color="000000" w:fill="FFFFFF"/>
            <w:vAlign w:val="center"/>
            <w:hideMark/>
          </w:tcPr>
          <w:p w14:paraId="39D18E31"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r>
      <w:tr w:rsidR="00A31C1B" w:rsidRPr="00166607" w14:paraId="71F747B6" w14:textId="77777777" w:rsidTr="002D0FCF">
        <w:trPr>
          <w:trHeight w:val="280"/>
        </w:trPr>
        <w:tc>
          <w:tcPr>
            <w:tcW w:w="3435" w:type="dxa"/>
            <w:tcBorders>
              <w:top w:val="nil"/>
              <w:left w:val="nil"/>
              <w:bottom w:val="nil"/>
              <w:right w:val="nil"/>
            </w:tcBorders>
            <w:shd w:val="clear" w:color="000000" w:fill="FFFFFF"/>
            <w:vAlign w:val="center"/>
            <w:hideMark/>
          </w:tcPr>
          <w:p w14:paraId="7DBDF4A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noWrap/>
            <w:vAlign w:val="center"/>
            <w:hideMark/>
          </w:tcPr>
          <w:p w14:paraId="7B5F505B" w14:textId="77777777" w:rsidR="00A31C1B" w:rsidRPr="00166607" w:rsidRDefault="00A31C1B" w:rsidP="00A31C1B">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w:t>
            </w:r>
          </w:p>
        </w:tc>
        <w:tc>
          <w:tcPr>
            <w:tcW w:w="1520" w:type="dxa"/>
            <w:tcBorders>
              <w:top w:val="nil"/>
              <w:left w:val="nil"/>
              <w:bottom w:val="nil"/>
              <w:right w:val="nil"/>
            </w:tcBorders>
            <w:shd w:val="clear" w:color="000000" w:fill="FFFFFF"/>
            <w:noWrap/>
            <w:vAlign w:val="center"/>
            <w:hideMark/>
          </w:tcPr>
          <w:p w14:paraId="129A9AFD" w14:textId="77777777" w:rsidR="00A31C1B" w:rsidRPr="00166607" w:rsidRDefault="00A31C1B" w:rsidP="00A31C1B">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(2)</w:t>
            </w:r>
          </w:p>
        </w:tc>
        <w:tc>
          <w:tcPr>
            <w:tcW w:w="1370" w:type="dxa"/>
            <w:tcBorders>
              <w:top w:val="nil"/>
              <w:left w:val="nil"/>
              <w:bottom w:val="nil"/>
              <w:right w:val="nil"/>
            </w:tcBorders>
            <w:shd w:val="clear" w:color="000000" w:fill="FFFFFF"/>
            <w:noWrap/>
            <w:vAlign w:val="center"/>
            <w:hideMark/>
          </w:tcPr>
          <w:p w14:paraId="50388CFD" w14:textId="77777777" w:rsidR="00A31C1B" w:rsidRPr="00166607" w:rsidRDefault="00A31C1B" w:rsidP="00A31C1B">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(3)</w:t>
            </w:r>
          </w:p>
        </w:tc>
        <w:tc>
          <w:tcPr>
            <w:tcW w:w="1350" w:type="dxa"/>
            <w:tcBorders>
              <w:top w:val="nil"/>
              <w:left w:val="nil"/>
              <w:bottom w:val="nil"/>
              <w:right w:val="nil"/>
            </w:tcBorders>
            <w:shd w:val="clear" w:color="000000" w:fill="FFFFFF"/>
            <w:noWrap/>
            <w:vAlign w:val="center"/>
            <w:hideMark/>
          </w:tcPr>
          <w:p w14:paraId="24859EC7" w14:textId="77777777" w:rsidR="00A31C1B" w:rsidRPr="00166607" w:rsidRDefault="00A31C1B" w:rsidP="00A31C1B">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(4)</w:t>
            </w:r>
          </w:p>
        </w:tc>
        <w:tc>
          <w:tcPr>
            <w:tcW w:w="1180" w:type="dxa"/>
            <w:tcBorders>
              <w:top w:val="nil"/>
              <w:left w:val="nil"/>
              <w:bottom w:val="nil"/>
              <w:right w:val="nil"/>
            </w:tcBorders>
            <w:shd w:val="clear" w:color="000000" w:fill="FFFFFF"/>
            <w:noWrap/>
            <w:vAlign w:val="center"/>
            <w:hideMark/>
          </w:tcPr>
          <w:p w14:paraId="3528FC1B" w14:textId="77777777" w:rsidR="00A31C1B" w:rsidRPr="00166607" w:rsidRDefault="00A31C1B" w:rsidP="00A31C1B">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(5)</w:t>
            </w:r>
          </w:p>
        </w:tc>
        <w:tc>
          <w:tcPr>
            <w:tcW w:w="1520" w:type="dxa"/>
            <w:tcBorders>
              <w:top w:val="nil"/>
              <w:left w:val="nil"/>
              <w:bottom w:val="nil"/>
              <w:right w:val="nil"/>
            </w:tcBorders>
            <w:shd w:val="clear" w:color="000000" w:fill="FFFFFF"/>
            <w:noWrap/>
            <w:vAlign w:val="center"/>
            <w:hideMark/>
          </w:tcPr>
          <w:p w14:paraId="005C5A0D" w14:textId="77777777" w:rsidR="00A31C1B" w:rsidRPr="00166607" w:rsidRDefault="00A31C1B" w:rsidP="00A31C1B">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(6)</w:t>
            </w:r>
          </w:p>
        </w:tc>
      </w:tr>
      <w:tr w:rsidR="00A31C1B" w:rsidRPr="00166607" w14:paraId="0379E6A3" w14:textId="77777777" w:rsidTr="002D0FCF">
        <w:trPr>
          <w:trHeight w:val="300"/>
        </w:trPr>
        <w:tc>
          <w:tcPr>
            <w:tcW w:w="3435" w:type="dxa"/>
            <w:tcBorders>
              <w:top w:val="nil"/>
              <w:left w:val="nil"/>
              <w:bottom w:val="single" w:sz="8" w:space="0" w:color="auto"/>
              <w:right w:val="nil"/>
            </w:tcBorders>
            <w:shd w:val="clear" w:color="000000" w:fill="FFFFFF"/>
            <w:vAlign w:val="center"/>
            <w:hideMark/>
          </w:tcPr>
          <w:p w14:paraId="36870AA7"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single" w:sz="8" w:space="0" w:color="auto"/>
              <w:right w:val="nil"/>
            </w:tcBorders>
            <w:shd w:val="clear" w:color="000000" w:fill="FFFFFF"/>
            <w:noWrap/>
            <w:vAlign w:val="center"/>
            <w:hideMark/>
          </w:tcPr>
          <w:p w14:paraId="75B0825B"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20" w:type="dxa"/>
            <w:tcBorders>
              <w:top w:val="nil"/>
              <w:left w:val="nil"/>
              <w:bottom w:val="single" w:sz="8" w:space="0" w:color="auto"/>
              <w:right w:val="nil"/>
            </w:tcBorders>
            <w:shd w:val="clear" w:color="000000" w:fill="FFFFFF"/>
            <w:noWrap/>
            <w:vAlign w:val="center"/>
            <w:hideMark/>
          </w:tcPr>
          <w:p w14:paraId="0F85C72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70" w:type="dxa"/>
            <w:tcBorders>
              <w:top w:val="nil"/>
              <w:left w:val="nil"/>
              <w:bottom w:val="single" w:sz="8" w:space="0" w:color="auto"/>
              <w:right w:val="nil"/>
            </w:tcBorders>
            <w:shd w:val="clear" w:color="000000" w:fill="FFFFFF"/>
            <w:noWrap/>
            <w:vAlign w:val="center"/>
            <w:hideMark/>
          </w:tcPr>
          <w:p w14:paraId="1A362B2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single" w:sz="8" w:space="0" w:color="auto"/>
              <w:right w:val="nil"/>
            </w:tcBorders>
            <w:shd w:val="clear" w:color="000000" w:fill="FFFFFF"/>
            <w:noWrap/>
            <w:vAlign w:val="center"/>
            <w:hideMark/>
          </w:tcPr>
          <w:p w14:paraId="2B22B7B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180" w:type="dxa"/>
            <w:tcBorders>
              <w:top w:val="nil"/>
              <w:left w:val="nil"/>
              <w:bottom w:val="single" w:sz="8" w:space="0" w:color="auto"/>
              <w:right w:val="nil"/>
            </w:tcBorders>
            <w:shd w:val="clear" w:color="000000" w:fill="FFFFFF"/>
            <w:noWrap/>
            <w:vAlign w:val="center"/>
            <w:hideMark/>
          </w:tcPr>
          <w:p w14:paraId="6DEF7A1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520" w:type="dxa"/>
            <w:tcBorders>
              <w:top w:val="nil"/>
              <w:left w:val="nil"/>
              <w:bottom w:val="single" w:sz="8" w:space="0" w:color="auto"/>
              <w:right w:val="nil"/>
            </w:tcBorders>
            <w:shd w:val="clear" w:color="000000" w:fill="FFFFFF"/>
            <w:noWrap/>
            <w:vAlign w:val="center"/>
            <w:hideMark/>
          </w:tcPr>
          <w:p w14:paraId="172BB98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r>
      <w:tr w:rsidR="00A31C1B" w:rsidRPr="00166607" w14:paraId="1A29A547" w14:textId="77777777" w:rsidTr="002D0FCF">
        <w:trPr>
          <w:trHeight w:val="315"/>
        </w:trPr>
        <w:tc>
          <w:tcPr>
            <w:tcW w:w="3435" w:type="dxa"/>
            <w:tcBorders>
              <w:top w:val="nil"/>
              <w:left w:val="nil"/>
              <w:bottom w:val="single" w:sz="8" w:space="0" w:color="auto"/>
              <w:right w:val="nil"/>
            </w:tcBorders>
            <w:shd w:val="clear" w:color="000000" w:fill="FFFFFF"/>
            <w:vAlign w:val="center"/>
            <w:hideMark/>
          </w:tcPr>
          <w:p w14:paraId="7691A638"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8290" w:type="dxa"/>
            <w:gridSpan w:val="6"/>
            <w:tcBorders>
              <w:top w:val="single" w:sz="8" w:space="0" w:color="auto"/>
              <w:left w:val="nil"/>
              <w:bottom w:val="single" w:sz="8" w:space="0" w:color="auto"/>
              <w:right w:val="nil"/>
            </w:tcBorders>
            <w:shd w:val="clear" w:color="000000" w:fill="FFFFFF"/>
            <w:noWrap/>
            <w:vAlign w:val="center"/>
            <w:hideMark/>
          </w:tcPr>
          <w:p w14:paraId="4CA2BC96" w14:textId="77777777" w:rsidR="00A31C1B" w:rsidRPr="00166607" w:rsidRDefault="00A31C1B" w:rsidP="00A31C1B">
            <w:pPr>
              <w:jc w:val="center"/>
              <w:rPr>
                <w:rFonts w:ascii="Times New Roman" w:eastAsia="Times New Roman" w:hAnsi="Times New Roman"/>
                <w:i/>
                <w:iCs/>
                <w:color w:val="000000"/>
                <w:sz w:val="22"/>
                <w:szCs w:val="22"/>
              </w:rPr>
            </w:pPr>
            <w:r w:rsidRPr="00166607">
              <w:rPr>
                <w:rFonts w:ascii="Times New Roman" w:eastAsia="Times New Roman" w:hAnsi="Times New Roman"/>
                <w:i/>
                <w:iCs/>
                <w:color w:val="000000"/>
                <w:sz w:val="22"/>
                <w:szCs w:val="22"/>
              </w:rPr>
              <w:t xml:space="preserve">A. All applicants </w:t>
            </w:r>
          </w:p>
        </w:tc>
      </w:tr>
      <w:tr w:rsidR="00A31C1B" w:rsidRPr="00166607" w14:paraId="5200908A" w14:textId="77777777" w:rsidTr="002D0FCF">
        <w:trPr>
          <w:trHeight w:val="280"/>
        </w:trPr>
        <w:tc>
          <w:tcPr>
            <w:tcW w:w="3435" w:type="dxa"/>
            <w:tcBorders>
              <w:top w:val="nil"/>
              <w:left w:val="nil"/>
              <w:bottom w:val="nil"/>
              <w:right w:val="nil"/>
            </w:tcBorders>
            <w:shd w:val="clear" w:color="000000" w:fill="FFFFFF"/>
            <w:noWrap/>
            <w:vAlign w:val="center"/>
            <w:hideMark/>
          </w:tcPr>
          <w:p w14:paraId="4AB66604"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Had any child as a teen</w:t>
            </w:r>
          </w:p>
        </w:tc>
        <w:tc>
          <w:tcPr>
            <w:tcW w:w="1350" w:type="dxa"/>
            <w:tcBorders>
              <w:top w:val="nil"/>
              <w:left w:val="nil"/>
              <w:bottom w:val="nil"/>
              <w:right w:val="nil"/>
            </w:tcBorders>
            <w:shd w:val="clear" w:color="000000" w:fill="FFFFFF"/>
            <w:noWrap/>
            <w:vAlign w:val="center"/>
            <w:hideMark/>
          </w:tcPr>
          <w:p w14:paraId="52747D6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0.234</w:t>
            </w:r>
          </w:p>
        </w:tc>
        <w:tc>
          <w:tcPr>
            <w:tcW w:w="1520" w:type="dxa"/>
            <w:tcBorders>
              <w:top w:val="nil"/>
              <w:left w:val="nil"/>
              <w:bottom w:val="nil"/>
              <w:right w:val="nil"/>
            </w:tcBorders>
            <w:shd w:val="clear" w:color="000000" w:fill="FFFFFF"/>
            <w:noWrap/>
            <w:vAlign w:val="center"/>
            <w:hideMark/>
          </w:tcPr>
          <w:p w14:paraId="59FB72A4"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-0.043</w:t>
            </w:r>
          </w:p>
        </w:tc>
        <w:tc>
          <w:tcPr>
            <w:tcW w:w="1370" w:type="dxa"/>
            <w:tcBorders>
              <w:top w:val="nil"/>
              <w:left w:val="nil"/>
              <w:bottom w:val="nil"/>
              <w:right w:val="nil"/>
            </w:tcBorders>
            <w:shd w:val="clear" w:color="000000" w:fill="FFFFFF"/>
            <w:noWrap/>
            <w:vAlign w:val="center"/>
            <w:hideMark/>
          </w:tcPr>
          <w:p w14:paraId="1E69ED7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0.240</w:t>
            </w:r>
          </w:p>
        </w:tc>
        <w:tc>
          <w:tcPr>
            <w:tcW w:w="1350" w:type="dxa"/>
            <w:tcBorders>
              <w:top w:val="nil"/>
              <w:left w:val="nil"/>
              <w:bottom w:val="nil"/>
              <w:right w:val="nil"/>
            </w:tcBorders>
            <w:shd w:val="clear" w:color="000000" w:fill="FFFFFF"/>
            <w:noWrap/>
            <w:vAlign w:val="center"/>
            <w:hideMark/>
          </w:tcPr>
          <w:p w14:paraId="60C70F8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-0.064</w:t>
            </w:r>
          </w:p>
        </w:tc>
        <w:tc>
          <w:tcPr>
            <w:tcW w:w="1180" w:type="dxa"/>
            <w:tcBorders>
              <w:top w:val="nil"/>
              <w:left w:val="nil"/>
              <w:bottom w:val="nil"/>
              <w:right w:val="nil"/>
            </w:tcBorders>
            <w:shd w:val="clear" w:color="000000" w:fill="FFFFFF"/>
            <w:noWrap/>
            <w:vAlign w:val="center"/>
            <w:hideMark/>
          </w:tcPr>
          <w:p w14:paraId="4FAB4AB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0.224</w:t>
            </w:r>
          </w:p>
        </w:tc>
        <w:tc>
          <w:tcPr>
            <w:tcW w:w="1520" w:type="dxa"/>
            <w:tcBorders>
              <w:top w:val="nil"/>
              <w:left w:val="nil"/>
              <w:bottom w:val="nil"/>
              <w:right w:val="nil"/>
            </w:tcBorders>
            <w:shd w:val="clear" w:color="000000" w:fill="FFFFFF"/>
            <w:noWrap/>
            <w:vAlign w:val="center"/>
            <w:hideMark/>
          </w:tcPr>
          <w:p w14:paraId="795F244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-0.023</w:t>
            </w:r>
          </w:p>
        </w:tc>
      </w:tr>
      <w:tr w:rsidR="00A31C1B" w:rsidRPr="00166607" w14:paraId="762624EC" w14:textId="77777777" w:rsidTr="002D0FCF">
        <w:trPr>
          <w:trHeight w:val="280"/>
        </w:trPr>
        <w:tc>
          <w:tcPr>
            <w:tcW w:w="3435" w:type="dxa"/>
            <w:tcBorders>
              <w:top w:val="nil"/>
              <w:left w:val="nil"/>
              <w:bottom w:val="nil"/>
              <w:right w:val="nil"/>
            </w:tcBorders>
            <w:shd w:val="clear" w:color="000000" w:fill="FFFFFF"/>
            <w:noWrap/>
            <w:vAlign w:val="center"/>
            <w:hideMark/>
          </w:tcPr>
          <w:p w14:paraId="7AB5CDA1"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noWrap/>
            <w:vAlign w:val="center"/>
            <w:hideMark/>
          </w:tcPr>
          <w:p w14:paraId="2B9E8EF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(0.424)</w:t>
            </w:r>
          </w:p>
        </w:tc>
        <w:tc>
          <w:tcPr>
            <w:tcW w:w="1520" w:type="dxa"/>
            <w:tcBorders>
              <w:top w:val="nil"/>
              <w:left w:val="nil"/>
              <w:bottom w:val="nil"/>
              <w:right w:val="nil"/>
            </w:tcBorders>
            <w:shd w:val="clear" w:color="000000" w:fill="FFFFFF"/>
            <w:noWrap/>
            <w:vAlign w:val="center"/>
            <w:hideMark/>
          </w:tcPr>
          <w:p w14:paraId="7CDFDF7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(0.018)**</w:t>
            </w:r>
          </w:p>
        </w:tc>
        <w:tc>
          <w:tcPr>
            <w:tcW w:w="1370" w:type="dxa"/>
            <w:tcBorders>
              <w:top w:val="nil"/>
              <w:left w:val="nil"/>
              <w:bottom w:val="nil"/>
              <w:right w:val="nil"/>
            </w:tcBorders>
            <w:shd w:val="clear" w:color="000000" w:fill="FFFFFF"/>
            <w:noWrap/>
            <w:vAlign w:val="center"/>
            <w:hideMark/>
          </w:tcPr>
          <w:p w14:paraId="338CBF7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(0.427)</w:t>
            </w:r>
          </w:p>
        </w:tc>
        <w:tc>
          <w:tcPr>
            <w:tcW w:w="1350" w:type="dxa"/>
            <w:tcBorders>
              <w:top w:val="nil"/>
              <w:left w:val="nil"/>
              <w:bottom w:val="nil"/>
              <w:right w:val="nil"/>
            </w:tcBorders>
            <w:shd w:val="clear" w:color="000000" w:fill="FFFFFF"/>
            <w:noWrap/>
            <w:vAlign w:val="center"/>
            <w:hideMark/>
          </w:tcPr>
          <w:p w14:paraId="399AB73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(0.025)**</w:t>
            </w:r>
          </w:p>
        </w:tc>
        <w:tc>
          <w:tcPr>
            <w:tcW w:w="1180" w:type="dxa"/>
            <w:tcBorders>
              <w:top w:val="nil"/>
              <w:left w:val="nil"/>
              <w:bottom w:val="nil"/>
              <w:right w:val="nil"/>
            </w:tcBorders>
            <w:shd w:val="clear" w:color="000000" w:fill="FFFFFF"/>
            <w:noWrap/>
            <w:vAlign w:val="center"/>
            <w:hideMark/>
          </w:tcPr>
          <w:p w14:paraId="7F73712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(0.418)</w:t>
            </w:r>
          </w:p>
        </w:tc>
        <w:tc>
          <w:tcPr>
            <w:tcW w:w="1520" w:type="dxa"/>
            <w:tcBorders>
              <w:top w:val="nil"/>
              <w:left w:val="nil"/>
              <w:bottom w:val="nil"/>
              <w:right w:val="nil"/>
            </w:tcBorders>
            <w:shd w:val="clear" w:color="000000" w:fill="FFFFFF"/>
            <w:noWrap/>
            <w:vAlign w:val="center"/>
            <w:hideMark/>
          </w:tcPr>
          <w:p w14:paraId="0AC9AE0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(0.029)</w:t>
            </w:r>
          </w:p>
        </w:tc>
      </w:tr>
      <w:tr w:rsidR="00A31C1B" w:rsidRPr="00166607" w14:paraId="06A751C0" w14:textId="77777777" w:rsidTr="002D0FCF">
        <w:trPr>
          <w:trHeight w:val="280"/>
        </w:trPr>
        <w:tc>
          <w:tcPr>
            <w:tcW w:w="3435" w:type="dxa"/>
            <w:tcBorders>
              <w:top w:val="nil"/>
              <w:left w:val="nil"/>
              <w:bottom w:val="nil"/>
              <w:right w:val="nil"/>
            </w:tcBorders>
            <w:shd w:val="clear" w:color="000000" w:fill="FFFFFF"/>
            <w:noWrap/>
            <w:vAlign w:val="center"/>
            <w:hideMark/>
          </w:tcPr>
          <w:p w14:paraId="30635E88"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Spouse/partner had a child as a teen</w:t>
            </w:r>
          </w:p>
        </w:tc>
        <w:tc>
          <w:tcPr>
            <w:tcW w:w="1350" w:type="dxa"/>
            <w:tcBorders>
              <w:top w:val="nil"/>
              <w:left w:val="nil"/>
              <w:bottom w:val="nil"/>
              <w:right w:val="nil"/>
            </w:tcBorders>
            <w:shd w:val="clear" w:color="000000" w:fill="FFFFFF"/>
            <w:noWrap/>
            <w:vAlign w:val="center"/>
            <w:hideMark/>
          </w:tcPr>
          <w:p w14:paraId="6F2E575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0.106</w:t>
            </w:r>
          </w:p>
        </w:tc>
        <w:tc>
          <w:tcPr>
            <w:tcW w:w="1520" w:type="dxa"/>
            <w:tcBorders>
              <w:top w:val="nil"/>
              <w:left w:val="nil"/>
              <w:bottom w:val="nil"/>
              <w:right w:val="nil"/>
            </w:tcBorders>
            <w:shd w:val="clear" w:color="000000" w:fill="FFFFFF"/>
            <w:noWrap/>
            <w:vAlign w:val="center"/>
            <w:hideMark/>
          </w:tcPr>
          <w:p w14:paraId="5FDA10A1"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-0.030</w:t>
            </w:r>
          </w:p>
        </w:tc>
        <w:tc>
          <w:tcPr>
            <w:tcW w:w="1370" w:type="dxa"/>
            <w:tcBorders>
              <w:top w:val="nil"/>
              <w:left w:val="nil"/>
              <w:bottom w:val="nil"/>
              <w:right w:val="nil"/>
            </w:tcBorders>
            <w:shd w:val="clear" w:color="000000" w:fill="FFFFFF"/>
            <w:noWrap/>
            <w:vAlign w:val="center"/>
            <w:hideMark/>
          </w:tcPr>
          <w:p w14:paraId="4BBCD0E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0.111</w:t>
            </w:r>
          </w:p>
        </w:tc>
        <w:tc>
          <w:tcPr>
            <w:tcW w:w="1350" w:type="dxa"/>
            <w:tcBorders>
              <w:top w:val="nil"/>
              <w:left w:val="nil"/>
              <w:bottom w:val="nil"/>
              <w:right w:val="nil"/>
            </w:tcBorders>
            <w:shd w:val="clear" w:color="000000" w:fill="FFFFFF"/>
            <w:noWrap/>
            <w:vAlign w:val="center"/>
            <w:hideMark/>
          </w:tcPr>
          <w:p w14:paraId="25A7BEC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-0.034</w:t>
            </w:r>
          </w:p>
        </w:tc>
        <w:tc>
          <w:tcPr>
            <w:tcW w:w="1180" w:type="dxa"/>
            <w:tcBorders>
              <w:top w:val="nil"/>
              <w:left w:val="nil"/>
              <w:bottom w:val="nil"/>
              <w:right w:val="nil"/>
            </w:tcBorders>
            <w:shd w:val="clear" w:color="000000" w:fill="FFFFFF"/>
            <w:noWrap/>
            <w:vAlign w:val="center"/>
            <w:hideMark/>
          </w:tcPr>
          <w:p w14:paraId="2F4FD33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0.087</w:t>
            </w:r>
          </w:p>
        </w:tc>
        <w:tc>
          <w:tcPr>
            <w:tcW w:w="1520" w:type="dxa"/>
            <w:tcBorders>
              <w:top w:val="nil"/>
              <w:left w:val="nil"/>
              <w:bottom w:val="nil"/>
              <w:right w:val="nil"/>
            </w:tcBorders>
            <w:shd w:val="clear" w:color="000000" w:fill="FFFFFF"/>
            <w:noWrap/>
            <w:vAlign w:val="center"/>
            <w:hideMark/>
          </w:tcPr>
          <w:p w14:paraId="2466611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-0.019</w:t>
            </w:r>
          </w:p>
        </w:tc>
      </w:tr>
      <w:tr w:rsidR="00A31C1B" w:rsidRPr="00166607" w14:paraId="4D03FA7A" w14:textId="77777777" w:rsidTr="002D0FCF">
        <w:trPr>
          <w:trHeight w:val="280"/>
        </w:trPr>
        <w:tc>
          <w:tcPr>
            <w:tcW w:w="3435" w:type="dxa"/>
            <w:tcBorders>
              <w:top w:val="nil"/>
              <w:left w:val="nil"/>
              <w:bottom w:val="nil"/>
              <w:right w:val="nil"/>
            </w:tcBorders>
            <w:shd w:val="clear" w:color="auto" w:fill="auto"/>
            <w:noWrap/>
            <w:vAlign w:val="bottom"/>
            <w:hideMark/>
          </w:tcPr>
          <w:p w14:paraId="5BF7F489" w14:textId="77777777" w:rsidR="00A31C1B" w:rsidRPr="00166607" w:rsidRDefault="00A31C1B" w:rsidP="00A31C1B">
            <w:pPr>
              <w:rPr>
                <w:rFonts w:eastAsia="Times New Roman"/>
                <w:color w:val="000000"/>
                <w:sz w:val="22"/>
                <w:szCs w:val="22"/>
              </w:rPr>
            </w:pPr>
          </w:p>
        </w:tc>
        <w:tc>
          <w:tcPr>
            <w:tcW w:w="1350" w:type="dxa"/>
            <w:tcBorders>
              <w:top w:val="nil"/>
              <w:left w:val="nil"/>
              <w:bottom w:val="nil"/>
              <w:right w:val="nil"/>
            </w:tcBorders>
            <w:shd w:val="clear" w:color="000000" w:fill="FFFFFF"/>
            <w:noWrap/>
            <w:vAlign w:val="center"/>
            <w:hideMark/>
          </w:tcPr>
          <w:p w14:paraId="526D180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(0.308)</w:t>
            </w:r>
          </w:p>
        </w:tc>
        <w:tc>
          <w:tcPr>
            <w:tcW w:w="1520" w:type="dxa"/>
            <w:tcBorders>
              <w:top w:val="nil"/>
              <w:left w:val="nil"/>
              <w:bottom w:val="nil"/>
              <w:right w:val="nil"/>
            </w:tcBorders>
            <w:shd w:val="clear" w:color="000000" w:fill="FFFFFF"/>
            <w:noWrap/>
            <w:vAlign w:val="center"/>
            <w:hideMark/>
          </w:tcPr>
          <w:p w14:paraId="3E40238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(0.014)**</w:t>
            </w:r>
          </w:p>
        </w:tc>
        <w:tc>
          <w:tcPr>
            <w:tcW w:w="1370" w:type="dxa"/>
            <w:tcBorders>
              <w:top w:val="nil"/>
              <w:left w:val="nil"/>
              <w:bottom w:val="nil"/>
              <w:right w:val="nil"/>
            </w:tcBorders>
            <w:shd w:val="clear" w:color="000000" w:fill="FFFFFF"/>
            <w:noWrap/>
            <w:vAlign w:val="center"/>
            <w:hideMark/>
          </w:tcPr>
          <w:p w14:paraId="3D9FE17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(0.315)</w:t>
            </w:r>
          </w:p>
        </w:tc>
        <w:tc>
          <w:tcPr>
            <w:tcW w:w="1350" w:type="dxa"/>
            <w:tcBorders>
              <w:top w:val="nil"/>
              <w:left w:val="nil"/>
              <w:bottom w:val="nil"/>
              <w:right w:val="nil"/>
            </w:tcBorders>
            <w:shd w:val="clear" w:color="000000" w:fill="FFFFFF"/>
            <w:noWrap/>
            <w:vAlign w:val="center"/>
            <w:hideMark/>
          </w:tcPr>
          <w:p w14:paraId="3999498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w:t>
            </w:r>
          </w:p>
        </w:tc>
        <w:tc>
          <w:tcPr>
            <w:tcW w:w="1180" w:type="dxa"/>
            <w:tcBorders>
              <w:top w:val="nil"/>
              <w:left w:val="nil"/>
              <w:bottom w:val="nil"/>
              <w:right w:val="nil"/>
            </w:tcBorders>
            <w:shd w:val="clear" w:color="000000" w:fill="FFFFFF"/>
            <w:noWrap/>
            <w:vAlign w:val="center"/>
            <w:hideMark/>
          </w:tcPr>
          <w:p w14:paraId="48A69BD4"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(0.283)</w:t>
            </w:r>
          </w:p>
        </w:tc>
        <w:tc>
          <w:tcPr>
            <w:tcW w:w="1520" w:type="dxa"/>
            <w:tcBorders>
              <w:top w:val="nil"/>
              <w:left w:val="nil"/>
              <w:bottom w:val="nil"/>
              <w:right w:val="nil"/>
            </w:tcBorders>
            <w:shd w:val="clear" w:color="000000" w:fill="FFFFFF"/>
            <w:noWrap/>
            <w:vAlign w:val="center"/>
            <w:hideMark/>
          </w:tcPr>
          <w:p w14:paraId="3AB5016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w:t>
            </w:r>
          </w:p>
        </w:tc>
      </w:tr>
      <w:tr w:rsidR="00A31C1B" w:rsidRPr="00166607" w14:paraId="28F526F1" w14:textId="77777777" w:rsidTr="002D0FCF">
        <w:trPr>
          <w:trHeight w:val="280"/>
        </w:trPr>
        <w:tc>
          <w:tcPr>
            <w:tcW w:w="3435" w:type="dxa"/>
            <w:tcBorders>
              <w:top w:val="nil"/>
              <w:left w:val="nil"/>
              <w:bottom w:val="nil"/>
              <w:right w:val="nil"/>
            </w:tcBorders>
            <w:shd w:val="clear" w:color="000000" w:fill="FFFFFF"/>
            <w:noWrap/>
            <w:vAlign w:val="center"/>
            <w:hideMark/>
          </w:tcPr>
          <w:p w14:paraId="2CACF24A"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Total number of children</w:t>
            </w:r>
          </w:p>
        </w:tc>
        <w:tc>
          <w:tcPr>
            <w:tcW w:w="1350" w:type="dxa"/>
            <w:tcBorders>
              <w:top w:val="nil"/>
              <w:left w:val="nil"/>
              <w:bottom w:val="nil"/>
              <w:right w:val="nil"/>
            </w:tcBorders>
            <w:shd w:val="clear" w:color="000000" w:fill="FFFFFF"/>
            <w:noWrap/>
            <w:vAlign w:val="center"/>
            <w:hideMark/>
          </w:tcPr>
          <w:p w14:paraId="01D7BDCE"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1.061</w:t>
            </w:r>
          </w:p>
        </w:tc>
        <w:tc>
          <w:tcPr>
            <w:tcW w:w="1520" w:type="dxa"/>
            <w:tcBorders>
              <w:top w:val="nil"/>
              <w:left w:val="nil"/>
              <w:bottom w:val="nil"/>
              <w:right w:val="nil"/>
            </w:tcBorders>
            <w:shd w:val="clear" w:color="000000" w:fill="FFFFFF"/>
            <w:noWrap/>
            <w:vAlign w:val="center"/>
            <w:hideMark/>
          </w:tcPr>
          <w:p w14:paraId="4C992EC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-0.040</w:t>
            </w:r>
          </w:p>
        </w:tc>
        <w:tc>
          <w:tcPr>
            <w:tcW w:w="1370" w:type="dxa"/>
            <w:tcBorders>
              <w:top w:val="nil"/>
              <w:left w:val="nil"/>
              <w:bottom w:val="nil"/>
              <w:right w:val="nil"/>
            </w:tcBorders>
            <w:shd w:val="clear" w:color="000000" w:fill="FFFFFF"/>
            <w:noWrap/>
            <w:vAlign w:val="center"/>
            <w:hideMark/>
          </w:tcPr>
          <w:p w14:paraId="2BA5335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1.047</w:t>
            </w:r>
          </w:p>
        </w:tc>
        <w:tc>
          <w:tcPr>
            <w:tcW w:w="1350" w:type="dxa"/>
            <w:tcBorders>
              <w:top w:val="nil"/>
              <w:left w:val="nil"/>
              <w:bottom w:val="nil"/>
              <w:right w:val="nil"/>
            </w:tcBorders>
            <w:shd w:val="clear" w:color="000000" w:fill="FFFFFF"/>
            <w:noWrap/>
            <w:vAlign w:val="center"/>
            <w:hideMark/>
          </w:tcPr>
          <w:p w14:paraId="7BAF31F2"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-0.016</w:t>
            </w:r>
          </w:p>
        </w:tc>
        <w:tc>
          <w:tcPr>
            <w:tcW w:w="1180" w:type="dxa"/>
            <w:tcBorders>
              <w:top w:val="nil"/>
              <w:left w:val="nil"/>
              <w:bottom w:val="nil"/>
              <w:right w:val="nil"/>
            </w:tcBorders>
            <w:shd w:val="clear" w:color="000000" w:fill="FFFFFF"/>
            <w:noWrap/>
            <w:vAlign w:val="center"/>
            <w:hideMark/>
          </w:tcPr>
          <w:p w14:paraId="0B1C0A9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1.006</w:t>
            </w:r>
          </w:p>
        </w:tc>
        <w:tc>
          <w:tcPr>
            <w:tcW w:w="1520" w:type="dxa"/>
            <w:tcBorders>
              <w:top w:val="nil"/>
              <w:left w:val="nil"/>
              <w:bottom w:val="nil"/>
              <w:right w:val="nil"/>
            </w:tcBorders>
            <w:shd w:val="clear" w:color="000000" w:fill="FFFFFF"/>
            <w:noWrap/>
            <w:vAlign w:val="center"/>
            <w:hideMark/>
          </w:tcPr>
          <w:p w14:paraId="4DCF68D2"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0.013</w:t>
            </w:r>
          </w:p>
        </w:tc>
      </w:tr>
      <w:tr w:rsidR="00A31C1B" w:rsidRPr="00166607" w14:paraId="58C28A9B" w14:textId="77777777" w:rsidTr="002D0FCF">
        <w:trPr>
          <w:trHeight w:val="280"/>
        </w:trPr>
        <w:tc>
          <w:tcPr>
            <w:tcW w:w="3435" w:type="dxa"/>
            <w:tcBorders>
              <w:top w:val="nil"/>
              <w:left w:val="nil"/>
              <w:bottom w:val="nil"/>
              <w:right w:val="nil"/>
            </w:tcBorders>
            <w:shd w:val="clear" w:color="000000" w:fill="FFFFFF"/>
            <w:noWrap/>
            <w:vAlign w:val="center"/>
            <w:hideMark/>
          </w:tcPr>
          <w:p w14:paraId="5FE3BF8B"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noWrap/>
            <w:vAlign w:val="center"/>
            <w:hideMark/>
          </w:tcPr>
          <w:p w14:paraId="3F38291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(1.034)</w:t>
            </w:r>
          </w:p>
        </w:tc>
        <w:tc>
          <w:tcPr>
            <w:tcW w:w="1520" w:type="dxa"/>
            <w:tcBorders>
              <w:top w:val="nil"/>
              <w:left w:val="nil"/>
              <w:bottom w:val="nil"/>
              <w:right w:val="nil"/>
            </w:tcBorders>
            <w:shd w:val="clear" w:color="000000" w:fill="FFFFFF"/>
            <w:noWrap/>
            <w:vAlign w:val="center"/>
            <w:hideMark/>
          </w:tcPr>
          <w:p w14:paraId="688D18E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(0.045)</w:t>
            </w:r>
          </w:p>
        </w:tc>
        <w:tc>
          <w:tcPr>
            <w:tcW w:w="1370" w:type="dxa"/>
            <w:tcBorders>
              <w:top w:val="nil"/>
              <w:left w:val="nil"/>
              <w:bottom w:val="nil"/>
              <w:right w:val="nil"/>
            </w:tcBorders>
            <w:shd w:val="clear" w:color="000000" w:fill="FFFFFF"/>
            <w:noWrap/>
            <w:vAlign w:val="center"/>
            <w:hideMark/>
          </w:tcPr>
          <w:p w14:paraId="0801C6BE"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(1.022)</w:t>
            </w:r>
          </w:p>
        </w:tc>
        <w:tc>
          <w:tcPr>
            <w:tcW w:w="1350" w:type="dxa"/>
            <w:tcBorders>
              <w:top w:val="nil"/>
              <w:left w:val="nil"/>
              <w:bottom w:val="nil"/>
              <w:right w:val="nil"/>
            </w:tcBorders>
            <w:shd w:val="clear" w:color="000000" w:fill="FFFFFF"/>
            <w:noWrap/>
            <w:vAlign w:val="center"/>
            <w:hideMark/>
          </w:tcPr>
          <w:p w14:paraId="4732128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(0.063)</w:t>
            </w:r>
          </w:p>
        </w:tc>
        <w:tc>
          <w:tcPr>
            <w:tcW w:w="1180" w:type="dxa"/>
            <w:tcBorders>
              <w:top w:val="nil"/>
              <w:left w:val="nil"/>
              <w:bottom w:val="nil"/>
              <w:right w:val="nil"/>
            </w:tcBorders>
            <w:shd w:val="clear" w:color="000000" w:fill="FFFFFF"/>
            <w:noWrap/>
            <w:vAlign w:val="center"/>
            <w:hideMark/>
          </w:tcPr>
          <w:p w14:paraId="66FEBFE1"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(0.981)</w:t>
            </w:r>
          </w:p>
        </w:tc>
        <w:tc>
          <w:tcPr>
            <w:tcW w:w="1520" w:type="dxa"/>
            <w:tcBorders>
              <w:top w:val="nil"/>
              <w:left w:val="nil"/>
              <w:bottom w:val="nil"/>
              <w:right w:val="nil"/>
            </w:tcBorders>
            <w:shd w:val="clear" w:color="000000" w:fill="FFFFFF"/>
            <w:noWrap/>
            <w:vAlign w:val="center"/>
            <w:hideMark/>
          </w:tcPr>
          <w:p w14:paraId="561402F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(0.067)</w:t>
            </w:r>
          </w:p>
        </w:tc>
      </w:tr>
      <w:tr w:rsidR="00A31C1B" w:rsidRPr="00166607" w14:paraId="5949FC38" w14:textId="77777777" w:rsidTr="002D0FCF">
        <w:trPr>
          <w:trHeight w:val="280"/>
        </w:trPr>
        <w:tc>
          <w:tcPr>
            <w:tcW w:w="3435" w:type="dxa"/>
            <w:tcBorders>
              <w:top w:val="nil"/>
              <w:left w:val="nil"/>
              <w:bottom w:val="nil"/>
              <w:right w:val="nil"/>
            </w:tcBorders>
            <w:shd w:val="clear" w:color="000000" w:fill="FFFFFF"/>
            <w:noWrap/>
            <w:vAlign w:val="center"/>
            <w:hideMark/>
          </w:tcPr>
          <w:p w14:paraId="3A4C4416"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One or more children</w:t>
            </w:r>
          </w:p>
        </w:tc>
        <w:tc>
          <w:tcPr>
            <w:tcW w:w="1350" w:type="dxa"/>
            <w:tcBorders>
              <w:top w:val="nil"/>
              <w:left w:val="nil"/>
              <w:bottom w:val="nil"/>
              <w:right w:val="nil"/>
            </w:tcBorders>
            <w:shd w:val="clear" w:color="000000" w:fill="FFFFFF"/>
            <w:noWrap/>
            <w:vAlign w:val="center"/>
            <w:hideMark/>
          </w:tcPr>
          <w:p w14:paraId="1ADCC96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0.634</w:t>
            </w:r>
          </w:p>
        </w:tc>
        <w:tc>
          <w:tcPr>
            <w:tcW w:w="1520" w:type="dxa"/>
            <w:tcBorders>
              <w:top w:val="nil"/>
              <w:left w:val="nil"/>
              <w:bottom w:val="nil"/>
              <w:right w:val="nil"/>
            </w:tcBorders>
            <w:shd w:val="clear" w:color="000000" w:fill="FFFFFF"/>
            <w:noWrap/>
            <w:vAlign w:val="center"/>
            <w:hideMark/>
          </w:tcPr>
          <w:p w14:paraId="23280E60"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-0.013</w:t>
            </w:r>
          </w:p>
        </w:tc>
        <w:tc>
          <w:tcPr>
            <w:tcW w:w="1370" w:type="dxa"/>
            <w:tcBorders>
              <w:top w:val="nil"/>
              <w:left w:val="nil"/>
              <w:bottom w:val="nil"/>
              <w:right w:val="nil"/>
            </w:tcBorders>
            <w:shd w:val="clear" w:color="000000" w:fill="FFFFFF"/>
            <w:noWrap/>
            <w:vAlign w:val="center"/>
            <w:hideMark/>
          </w:tcPr>
          <w:p w14:paraId="52BC400E"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0.627</w:t>
            </w:r>
          </w:p>
        </w:tc>
        <w:tc>
          <w:tcPr>
            <w:tcW w:w="1350" w:type="dxa"/>
            <w:tcBorders>
              <w:top w:val="nil"/>
              <w:left w:val="nil"/>
              <w:bottom w:val="nil"/>
              <w:right w:val="nil"/>
            </w:tcBorders>
            <w:shd w:val="clear" w:color="000000" w:fill="FFFFFF"/>
            <w:noWrap/>
            <w:vAlign w:val="center"/>
            <w:hideMark/>
          </w:tcPr>
          <w:p w14:paraId="1AF2485B"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-0.011</w:t>
            </w:r>
          </w:p>
        </w:tc>
        <w:tc>
          <w:tcPr>
            <w:tcW w:w="1180" w:type="dxa"/>
            <w:tcBorders>
              <w:top w:val="nil"/>
              <w:left w:val="nil"/>
              <w:bottom w:val="nil"/>
              <w:right w:val="nil"/>
            </w:tcBorders>
            <w:shd w:val="clear" w:color="000000" w:fill="FFFFFF"/>
            <w:noWrap/>
            <w:vAlign w:val="center"/>
            <w:hideMark/>
          </w:tcPr>
          <w:p w14:paraId="5BCE9AC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0.629</w:t>
            </w:r>
          </w:p>
        </w:tc>
        <w:tc>
          <w:tcPr>
            <w:tcW w:w="1520" w:type="dxa"/>
            <w:tcBorders>
              <w:top w:val="nil"/>
              <w:left w:val="nil"/>
              <w:bottom w:val="nil"/>
              <w:right w:val="nil"/>
            </w:tcBorders>
            <w:shd w:val="clear" w:color="000000" w:fill="FFFFFF"/>
            <w:noWrap/>
            <w:vAlign w:val="center"/>
            <w:hideMark/>
          </w:tcPr>
          <w:p w14:paraId="2014CEB0"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0.003</w:t>
            </w:r>
          </w:p>
        </w:tc>
      </w:tr>
      <w:tr w:rsidR="00A31C1B" w:rsidRPr="00166607" w14:paraId="51674F58" w14:textId="77777777" w:rsidTr="002D0FCF">
        <w:trPr>
          <w:trHeight w:val="280"/>
        </w:trPr>
        <w:tc>
          <w:tcPr>
            <w:tcW w:w="3435" w:type="dxa"/>
            <w:tcBorders>
              <w:top w:val="nil"/>
              <w:left w:val="nil"/>
              <w:bottom w:val="nil"/>
              <w:right w:val="nil"/>
            </w:tcBorders>
            <w:shd w:val="clear" w:color="000000" w:fill="FFFFFF"/>
            <w:noWrap/>
            <w:vAlign w:val="center"/>
            <w:hideMark/>
          </w:tcPr>
          <w:p w14:paraId="065DD8B9"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noWrap/>
            <w:vAlign w:val="center"/>
            <w:hideMark/>
          </w:tcPr>
          <w:p w14:paraId="594FE5A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(0.482)</w:t>
            </w:r>
          </w:p>
        </w:tc>
        <w:tc>
          <w:tcPr>
            <w:tcW w:w="1520" w:type="dxa"/>
            <w:tcBorders>
              <w:top w:val="nil"/>
              <w:left w:val="nil"/>
              <w:bottom w:val="nil"/>
              <w:right w:val="nil"/>
            </w:tcBorders>
            <w:shd w:val="clear" w:color="000000" w:fill="FFFFFF"/>
            <w:noWrap/>
            <w:vAlign w:val="center"/>
            <w:hideMark/>
          </w:tcPr>
          <w:p w14:paraId="692A3D90"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(0.022)</w:t>
            </w:r>
          </w:p>
        </w:tc>
        <w:tc>
          <w:tcPr>
            <w:tcW w:w="1370" w:type="dxa"/>
            <w:tcBorders>
              <w:top w:val="nil"/>
              <w:left w:val="nil"/>
              <w:bottom w:val="nil"/>
              <w:right w:val="nil"/>
            </w:tcBorders>
            <w:shd w:val="clear" w:color="000000" w:fill="FFFFFF"/>
            <w:noWrap/>
            <w:vAlign w:val="center"/>
            <w:hideMark/>
          </w:tcPr>
          <w:p w14:paraId="1488ADD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(0.484)</w:t>
            </w:r>
          </w:p>
        </w:tc>
        <w:tc>
          <w:tcPr>
            <w:tcW w:w="1350" w:type="dxa"/>
            <w:tcBorders>
              <w:top w:val="nil"/>
              <w:left w:val="nil"/>
              <w:bottom w:val="nil"/>
              <w:right w:val="nil"/>
            </w:tcBorders>
            <w:shd w:val="clear" w:color="000000" w:fill="FFFFFF"/>
            <w:noWrap/>
            <w:vAlign w:val="center"/>
            <w:hideMark/>
          </w:tcPr>
          <w:p w14:paraId="5A827DA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(0.031)</w:t>
            </w:r>
          </w:p>
        </w:tc>
        <w:tc>
          <w:tcPr>
            <w:tcW w:w="1180" w:type="dxa"/>
            <w:tcBorders>
              <w:top w:val="nil"/>
              <w:left w:val="nil"/>
              <w:bottom w:val="nil"/>
              <w:right w:val="nil"/>
            </w:tcBorders>
            <w:shd w:val="clear" w:color="000000" w:fill="FFFFFF"/>
            <w:noWrap/>
            <w:vAlign w:val="center"/>
            <w:hideMark/>
          </w:tcPr>
          <w:p w14:paraId="5B1B5A5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(0.484)</w:t>
            </w:r>
          </w:p>
        </w:tc>
        <w:tc>
          <w:tcPr>
            <w:tcW w:w="1520" w:type="dxa"/>
            <w:tcBorders>
              <w:top w:val="nil"/>
              <w:left w:val="nil"/>
              <w:bottom w:val="nil"/>
              <w:right w:val="nil"/>
            </w:tcBorders>
            <w:shd w:val="clear" w:color="000000" w:fill="FFFFFF"/>
            <w:noWrap/>
            <w:vAlign w:val="center"/>
            <w:hideMark/>
          </w:tcPr>
          <w:p w14:paraId="436694C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(0.034)</w:t>
            </w:r>
          </w:p>
        </w:tc>
      </w:tr>
      <w:tr w:rsidR="00A31C1B" w:rsidRPr="00166607" w14:paraId="2F8CE8E9" w14:textId="77777777" w:rsidTr="002D0FCF">
        <w:trPr>
          <w:trHeight w:val="280"/>
        </w:trPr>
        <w:tc>
          <w:tcPr>
            <w:tcW w:w="3435" w:type="dxa"/>
            <w:tcBorders>
              <w:top w:val="nil"/>
              <w:left w:val="nil"/>
              <w:bottom w:val="nil"/>
              <w:right w:val="nil"/>
            </w:tcBorders>
            <w:shd w:val="clear" w:color="000000" w:fill="FFFFFF"/>
            <w:noWrap/>
            <w:vAlign w:val="center"/>
            <w:hideMark/>
          </w:tcPr>
          <w:p w14:paraId="035BB8C4"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Two or more children</w:t>
            </w:r>
          </w:p>
        </w:tc>
        <w:tc>
          <w:tcPr>
            <w:tcW w:w="1350" w:type="dxa"/>
            <w:tcBorders>
              <w:top w:val="nil"/>
              <w:left w:val="nil"/>
              <w:bottom w:val="nil"/>
              <w:right w:val="nil"/>
            </w:tcBorders>
            <w:shd w:val="clear" w:color="000000" w:fill="FFFFFF"/>
            <w:noWrap/>
            <w:vAlign w:val="center"/>
            <w:hideMark/>
          </w:tcPr>
          <w:p w14:paraId="70CBE9D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0.321</w:t>
            </w:r>
          </w:p>
        </w:tc>
        <w:tc>
          <w:tcPr>
            <w:tcW w:w="1520" w:type="dxa"/>
            <w:tcBorders>
              <w:top w:val="nil"/>
              <w:left w:val="nil"/>
              <w:bottom w:val="nil"/>
              <w:right w:val="nil"/>
            </w:tcBorders>
            <w:shd w:val="clear" w:color="000000" w:fill="FFFFFF"/>
            <w:noWrap/>
            <w:vAlign w:val="center"/>
            <w:hideMark/>
          </w:tcPr>
          <w:p w14:paraId="59D7484E"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-0.021</w:t>
            </w:r>
          </w:p>
        </w:tc>
        <w:tc>
          <w:tcPr>
            <w:tcW w:w="1370" w:type="dxa"/>
            <w:tcBorders>
              <w:top w:val="nil"/>
              <w:left w:val="nil"/>
              <w:bottom w:val="nil"/>
              <w:right w:val="nil"/>
            </w:tcBorders>
            <w:shd w:val="clear" w:color="000000" w:fill="FFFFFF"/>
            <w:noWrap/>
            <w:vAlign w:val="center"/>
            <w:hideMark/>
          </w:tcPr>
          <w:p w14:paraId="32FDB8C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0.316</w:t>
            </w:r>
          </w:p>
        </w:tc>
        <w:tc>
          <w:tcPr>
            <w:tcW w:w="1350" w:type="dxa"/>
            <w:tcBorders>
              <w:top w:val="nil"/>
              <w:left w:val="nil"/>
              <w:bottom w:val="nil"/>
              <w:right w:val="nil"/>
            </w:tcBorders>
            <w:shd w:val="clear" w:color="000000" w:fill="FFFFFF"/>
            <w:noWrap/>
            <w:vAlign w:val="center"/>
            <w:hideMark/>
          </w:tcPr>
          <w:p w14:paraId="4AA62EA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-0.007</w:t>
            </w:r>
          </w:p>
        </w:tc>
        <w:tc>
          <w:tcPr>
            <w:tcW w:w="1180" w:type="dxa"/>
            <w:tcBorders>
              <w:top w:val="nil"/>
              <w:left w:val="nil"/>
              <w:bottom w:val="nil"/>
              <w:right w:val="nil"/>
            </w:tcBorders>
            <w:shd w:val="clear" w:color="000000" w:fill="FFFFFF"/>
            <w:noWrap/>
            <w:vAlign w:val="center"/>
            <w:hideMark/>
          </w:tcPr>
          <w:p w14:paraId="6458119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0.299</w:t>
            </w:r>
          </w:p>
        </w:tc>
        <w:tc>
          <w:tcPr>
            <w:tcW w:w="1520" w:type="dxa"/>
            <w:tcBorders>
              <w:top w:val="nil"/>
              <w:left w:val="nil"/>
              <w:bottom w:val="nil"/>
              <w:right w:val="nil"/>
            </w:tcBorders>
            <w:shd w:val="clear" w:color="000000" w:fill="FFFFFF"/>
            <w:noWrap/>
            <w:vAlign w:val="center"/>
            <w:hideMark/>
          </w:tcPr>
          <w:p w14:paraId="21A7705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-0.017</w:t>
            </w:r>
          </w:p>
        </w:tc>
      </w:tr>
      <w:tr w:rsidR="00A31C1B" w:rsidRPr="00166607" w14:paraId="447FF377" w14:textId="77777777" w:rsidTr="002D0FCF">
        <w:trPr>
          <w:trHeight w:val="280"/>
        </w:trPr>
        <w:tc>
          <w:tcPr>
            <w:tcW w:w="3435" w:type="dxa"/>
            <w:tcBorders>
              <w:top w:val="nil"/>
              <w:left w:val="nil"/>
              <w:bottom w:val="nil"/>
              <w:right w:val="nil"/>
            </w:tcBorders>
            <w:shd w:val="clear" w:color="000000" w:fill="FFFFFF"/>
            <w:noWrap/>
            <w:vAlign w:val="center"/>
            <w:hideMark/>
          </w:tcPr>
          <w:p w14:paraId="4BCFF46E"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noWrap/>
            <w:vAlign w:val="center"/>
            <w:hideMark/>
          </w:tcPr>
          <w:p w14:paraId="03E10C3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(0.467)</w:t>
            </w:r>
          </w:p>
        </w:tc>
        <w:tc>
          <w:tcPr>
            <w:tcW w:w="1520" w:type="dxa"/>
            <w:tcBorders>
              <w:top w:val="nil"/>
              <w:left w:val="nil"/>
              <w:bottom w:val="nil"/>
              <w:right w:val="nil"/>
            </w:tcBorders>
            <w:shd w:val="clear" w:color="000000" w:fill="FFFFFF"/>
            <w:noWrap/>
            <w:vAlign w:val="center"/>
            <w:hideMark/>
          </w:tcPr>
          <w:p w14:paraId="6B9F1F54"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(0.021)</w:t>
            </w:r>
          </w:p>
        </w:tc>
        <w:tc>
          <w:tcPr>
            <w:tcW w:w="1370" w:type="dxa"/>
            <w:tcBorders>
              <w:top w:val="nil"/>
              <w:left w:val="nil"/>
              <w:bottom w:val="nil"/>
              <w:right w:val="nil"/>
            </w:tcBorders>
            <w:shd w:val="clear" w:color="000000" w:fill="FFFFFF"/>
            <w:noWrap/>
            <w:vAlign w:val="center"/>
            <w:hideMark/>
          </w:tcPr>
          <w:p w14:paraId="5281C8E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(0.466)</w:t>
            </w:r>
          </w:p>
        </w:tc>
        <w:tc>
          <w:tcPr>
            <w:tcW w:w="1350" w:type="dxa"/>
            <w:tcBorders>
              <w:top w:val="nil"/>
              <w:left w:val="nil"/>
              <w:bottom w:val="nil"/>
              <w:right w:val="nil"/>
            </w:tcBorders>
            <w:shd w:val="clear" w:color="000000" w:fill="FFFFFF"/>
            <w:noWrap/>
            <w:vAlign w:val="center"/>
            <w:hideMark/>
          </w:tcPr>
          <w:p w14:paraId="5806568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w:t>
            </w:r>
          </w:p>
        </w:tc>
        <w:tc>
          <w:tcPr>
            <w:tcW w:w="1180" w:type="dxa"/>
            <w:tcBorders>
              <w:top w:val="nil"/>
              <w:left w:val="nil"/>
              <w:bottom w:val="nil"/>
              <w:right w:val="nil"/>
            </w:tcBorders>
            <w:shd w:val="clear" w:color="000000" w:fill="FFFFFF"/>
            <w:noWrap/>
            <w:vAlign w:val="center"/>
            <w:hideMark/>
          </w:tcPr>
          <w:p w14:paraId="06338EB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(0.459)</w:t>
            </w:r>
          </w:p>
        </w:tc>
        <w:tc>
          <w:tcPr>
            <w:tcW w:w="1520" w:type="dxa"/>
            <w:tcBorders>
              <w:top w:val="nil"/>
              <w:left w:val="nil"/>
              <w:bottom w:val="nil"/>
              <w:right w:val="nil"/>
            </w:tcBorders>
            <w:shd w:val="clear" w:color="000000" w:fill="FFFFFF"/>
            <w:noWrap/>
            <w:vAlign w:val="center"/>
            <w:hideMark/>
          </w:tcPr>
          <w:p w14:paraId="02F678AB"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(0.032)</w:t>
            </w:r>
          </w:p>
        </w:tc>
      </w:tr>
      <w:tr w:rsidR="00A31C1B" w:rsidRPr="00166607" w14:paraId="40DAFABE" w14:textId="77777777" w:rsidTr="002D0FCF">
        <w:trPr>
          <w:trHeight w:val="280"/>
        </w:trPr>
        <w:tc>
          <w:tcPr>
            <w:tcW w:w="3435" w:type="dxa"/>
            <w:tcBorders>
              <w:top w:val="nil"/>
              <w:left w:val="nil"/>
              <w:bottom w:val="nil"/>
              <w:right w:val="nil"/>
            </w:tcBorders>
            <w:shd w:val="clear" w:color="000000" w:fill="FFFFFF"/>
            <w:noWrap/>
            <w:vAlign w:val="center"/>
            <w:hideMark/>
          </w:tcPr>
          <w:p w14:paraId="7BABF0AC"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Three or more children</w:t>
            </w:r>
          </w:p>
        </w:tc>
        <w:tc>
          <w:tcPr>
            <w:tcW w:w="1350" w:type="dxa"/>
            <w:tcBorders>
              <w:top w:val="nil"/>
              <w:left w:val="nil"/>
              <w:bottom w:val="nil"/>
              <w:right w:val="nil"/>
            </w:tcBorders>
            <w:shd w:val="clear" w:color="000000" w:fill="FFFFFF"/>
            <w:noWrap/>
            <w:vAlign w:val="center"/>
            <w:hideMark/>
          </w:tcPr>
          <w:p w14:paraId="0E3D028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0.081</w:t>
            </w:r>
          </w:p>
        </w:tc>
        <w:tc>
          <w:tcPr>
            <w:tcW w:w="1520" w:type="dxa"/>
            <w:tcBorders>
              <w:top w:val="nil"/>
              <w:left w:val="nil"/>
              <w:bottom w:val="nil"/>
              <w:right w:val="nil"/>
            </w:tcBorders>
            <w:shd w:val="clear" w:color="000000" w:fill="FFFFFF"/>
            <w:noWrap/>
            <w:vAlign w:val="center"/>
            <w:hideMark/>
          </w:tcPr>
          <w:p w14:paraId="5596BB40"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-0.004</w:t>
            </w:r>
          </w:p>
        </w:tc>
        <w:tc>
          <w:tcPr>
            <w:tcW w:w="1370" w:type="dxa"/>
            <w:tcBorders>
              <w:top w:val="nil"/>
              <w:left w:val="nil"/>
              <w:bottom w:val="nil"/>
              <w:right w:val="nil"/>
            </w:tcBorders>
            <w:shd w:val="clear" w:color="000000" w:fill="FFFFFF"/>
            <w:noWrap/>
            <w:vAlign w:val="center"/>
            <w:hideMark/>
          </w:tcPr>
          <w:p w14:paraId="129A67A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0.084</w:t>
            </w:r>
          </w:p>
        </w:tc>
        <w:tc>
          <w:tcPr>
            <w:tcW w:w="1350" w:type="dxa"/>
            <w:tcBorders>
              <w:top w:val="nil"/>
              <w:left w:val="nil"/>
              <w:bottom w:val="nil"/>
              <w:right w:val="nil"/>
            </w:tcBorders>
            <w:shd w:val="clear" w:color="000000" w:fill="FFFFFF"/>
            <w:noWrap/>
            <w:vAlign w:val="center"/>
            <w:hideMark/>
          </w:tcPr>
          <w:p w14:paraId="488776F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-0.002</w:t>
            </w:r>
          </w:p>
        </w:tc>
        <w:tc>
          <w:tcPr>
            <w:tcW w:w="1180" w:type="dxa"/>
            <w:tcBorders>
              <w:top w:val="nil"/>
              <w:left w:val="nil"/>
              <w:bottom w:val="nil"/>
              <w:right w:val="nil"/>
            </w:tcBorders>
            <w:shd w:val="clear" w:color="000000" w:fill="FFFFFF"/>
            <w:noWrap/>
            <w:vAlign w:val="center"/>
            <w:hideMark/>
          </w:tcPr>
          <w:p w14:paraId="0FEBC0E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0.059</w:t>
            </w:r>
          </w:p>
        </w:tc>
        <w:tc>
          <w:tcPr>
            <w:tcW w:w="1520" w:type="dxa"/>
            <w:tcBorders>
              <w:top w:val="nil"/>
              <w:left w:val="nil"/>
              <w:bottom w:val="nil"/>
              <w:right w:val="nil"/>
            </w:tcBorders>
            <w:shd w:val="clear" w:color="000000" w:fill="FFFFFF"/>
            <w:noWrap/>
            <w:vAlign w:val="center"/>
            <w:hideMark/>
          </w:tcPr>
          <w:p w14:paraId="6253B88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0.020</w:t>
            </w:r>
          </w:p>
        </w:tc>
      </w:tr>
      <w:tr w:rsidR="00A31C1B" w:rsidRPr="00166607" w14:paraId="434C7F3B" w14:textId="77777777" w:rsidTr="002D0FCF">
        <w:trPr>
          <w:trHeight w:val="300"/>
        </w:trPr>
        <w:tc>
          <w:tcPr>
            <w:tcW w:w="3435" w:type="dxa"/>
            <w:tcBorders>
              <w:top w:val="nil"/>
              <w:left w:val="nil"/>
              <w:bottom w:val="single" w:sz="8" w:space="0" w:color="auto"/>
              <w:right w:val="nil"/>
            </w:tcBorders>
            <w:shd w:val="clear" w:color="auto" w:fill="auto"/>
            <w:noWrap/>
            <w:vAlign w:val="center"/>
            <w:hideMark/>
          </w:tcPr>
          <w:p w14:paraId="2BD233DA"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single" w:sz="8" w:space="0" w:color="auto"/>
              <w:right w:val="nil"/>
            </w:tcBorders>
            <w:shd w:val="clear" w:color="000000" w:fill="FFFFFF"/>
            <w:noWrap/>
            <w:vAlign w:val="center"/>
            <w:hideMark/>
          </w:tcPr>
          <w:p w14:paraId="3A1BEA1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(0.272)</w:t>
            </w:r>
          </w:p>
        </w:tc>
        <w:tc>
          <w:tcPr>
            <w:tcW w:w="1520" w:type="dxa"/>
            <w:tcBorders>
              <w:top w:val="nil"/>
              <w:left w:val="nil"/>
              <w:bottom w:val="single" w:sz="8" w:space="0" w:color="auto"/>
              <w:right w:val="nil"/>
            </w:tcBorders>
            <w:shd w:val="clear" w:color="000000" w:fill="FFFFFF"/>
            <w:noWrap/>
            <w:vAlign w:val="center"/>
            <w:hideMark/>
          </w:tcPr>
          <w:p w14:paraId="5BF0618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(0.012)</w:t>
            </w:r>
          </w:p>
        </w:tc>
        <w:tc>
          <w:tcPr>
            <w:tcW w:w="1370" w:type="dxa"/>
            <w:tcBorders>
              <w:top w:val="nil"/>
              <w:left w:val="nil"/>
              <w:bottom w:val="single" w:sz="8" w:space="0" w:color="auto"/>
              <w:right w:val="nil"/>
            </w:tcBorders>
            <w:shd w:val="clear" w:color="000000" w:fill="FFFFFF"/>
            <w:noWrap/>
            <w:vAlign w:val="center"/>
            <w:hideMark/>
          </w:tcPr>
          <w:p w14:paraId="2FDA447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(0.278)</w:t>
            </w:r>
          </w:p>
        </w:tc>
        <w:tc>
          <w:tcPr>
            <w:tcW w:w="1350" w:type="dxa"/>
            <w:tcBorders>
              <w:top w:val="nil"/>
              <w:left w:val="nil"/>
              <w:bottom w:val="single" w:sz="8" w:space="0" w:color="auto"/>
              <w:right w:val="nil"/>
            </w:tcBorders>
            <w:shd w:val="clear" w:color="000000" w:fill="FFFFFF"/>
            <w:noWrap/>
            <w:vAlign w:val="center"/>
            <w:hideMark/>
          </w:tcPr>
          <w:p w14:paraId="638193E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(0.018)</w:t>
            </w:r>
          </w:p>
        </w:tc>
        <w:tc>
          <w:tcPr>
            <w:tcW w:w="1180" w:type="dxa"/>
            <w:tcBorders>
              <w:top w:val="nil"/>
              <w:left w:val="nil"/>
              <w:bottom w:val="single" w:sz="8" w:space="0" w:color="auto"/>
              <w:right w:val="nil"/>
            </w:tcBorders>
            <w:shd w:val="clear" w:color="000000" w:fill="FFFFFF"/>
            <w:noWrap/>
            <w:vAlign w:val="center"/>
            <w:hideMark/>
          </w:tcPr>
          <w:p w14:paraId="7D14A6E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(0.236)</w:t>
            </w:r>
          </w:p>
        </w:tc>
        <w:tc>
          <w:tcPr>
            <w:tcW w:w="1520" w:type="dxa"/>
            <w:tcBorders>
              <w:top w:val="nil"/>
              <w:left w:val="nil"/>
              <w:bottom w:val="single" w:sz="8" w:space="0" w:color="auto"/>
              <w:right w:val="nil"/>
            </w:tcBorders>
            <w:shd w:val="clear" w:color="000000" w:fill="FFFFFF"/>
            <w:noWrap/>
            <w:vAlign w:val="center"/>
            <w:hideMark/>
          </w:tcPr>
          <w:p w14:paraId="1C5350B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(0.017)</w:t>
            </w:r>
          </w:p>
        </w:tc>
      </w:tr>
      <w:tr w:rsidR="00A31C1B" w:rsidRPr="00166607" w14:paraId="507409E9" w14:textId="77777777" w:rsidTr="002D0FCF">
        <w:trPr>
          <w:trHeight w:val="315"/>
        </w:trPr>
        <w:tc>
          <w:tcPr>
            <w:tcW w:w="3435" w:type="dxa"/>
            <w:tcBorders>
              <w:top w:val="nil"/>
              <w:left w:val="nil"/>
              <w:bottom w:val="single" w:sz="8" w:space="0" w:color="auto"/>
              <w:right w:val="nil"/>
            </w:tcBorders>
            <w:shd w:val="clear" w:color="000000" w:fill="FFFFFF"/>
            <w:vAlign w:val="center"/>
            <w:hideMark/>
          </w:tcPr>
          <w:p w14:paraId="68B9D2D9"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8290" w:type="dxa"/>
            <w:gridSpan w:val="6"/>
            <w:tcBorders>
              <w:top w:val="single" w:sz="8" w:space="0" w:color="auto"/>
              <w:left w:val="nil"/>
              <w:bottom w:val="single" w:sz="8" w:space="0" w:color="auto"/>
              <w:right w:val="nil"/>
            </w:tcBorders>
            <w:shd w:val="clear" w:color="000000" w:fill="FFFFFF"/>
            <w:noWrap/>
            <w:vAlign w:val="center"/>
            <w:hideMark/>
          </w:tcPr>
          <w:p w14:paraId="3BDAB58F" w14:textId="77777777" w:rsidR="00A31C1B" w:rsidRPr="00166607" w:rsidRDefault="00A31C1B" w:rsidP="00A31C1B">
            <w:pPr>
              <w:jc w:val="center"/>
              <w:rPr>
                <w:rFonts w:ascii="Times New Roman" w:eastAsia="Times New Roman" w:hAnsi="Times New Roman"/>
                <w:i/>
                <w:iCs/>
                <w:color w:val="000000"/>
                <w:sz w:val="22"/>
                <w:szCs w:val="22"/>
              </w:rPr>
            </w:pPr>
            <w:r w:rsidRPr="00166607">
              <w:rPr>
                <w:rFonts w:ascii="Times New Roman" w:eastAsia="Times New Roman" w:hAnsi="Times New Roman"/>
                <w:i/>
                <w:iCs/>
                <w:color w:val="000000"/>
                <w:sz w:val="22"/>
                <w:szCs w:val="22"/>
              </w:rPr>
              <w:t>B. Females</w:t>
            </w:r>
          </w:p>
        </w:tc>
      </w:tr>
      <w:tr w:rsidR="00A31C1B" w:rsidRPr="00166607" w14:paraId="66B2D2D6" w14:textId="77777777" w:rsidTr="002D0FCF">
        <w:trPr>
          <w:trHeight w:val="280"/>
        </w:trPr>
        <w:tc>
          <w:tcPr>
            <w:tcW w:w="3435" w:type="dxa"/>
            <w:tcBorders>
              <w:top w:val="nil"/>
              <w:left w:val="nil"/>
              <w:bottom w:val="nil"/>
              <w:right w:val="nil"/>
            </w:tcBorders>
            <w:shd w:val="clear" w:color="000000" w:fill="FFFFFF"/>
            <w:noWrap/>
            <w:vAlign w:val="center"/>
            <w:hideMark/>
          </w:tcPr>
          <w:p w14:paraId="0EAD1D1E"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Had any child as a teen</w:t>
            </w:r>
          </w:p>
        </w:tc>
        <w:tc>
          <w:tcPr>
            <w:tcW w:w="1350" w:type="dxa"/>
            <w:tcBorders>
              <w:top w:val="nil"/>
              <w:left w:val="nil"/>
              <w:bottom w:val="nil"/>
              <w:right w:val="nil"/>
            </w:tcBorders>
            <w:shd w:val="clear" w:color="000000" w:fill="FFFFFF"/>
            <w:noWrap/>
            <w:vAlign w:val="center"/>
            <w:hideMark/>
          </w:tcPr>
          <w:p w14:paraId="2242C9D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0.377</w:t>
            </w:r>
          </w:p>
        </w:tc>
        <w:tc>
          <w:tcPr>
            <w:tcW w:w="1520" w:type="dxa"/>
            <w:tcBorders>
              <w:top w:val="nil"/>
              <w:left w:val="nil"/>
              <w:bottom w:val="nil"/>
              <w:right w:val="nil"/>
            </w:tcBorders>
            <w:shd w:val="clear" w:color="000000" w:fill="FFFFFF"/>
            <w:noWrap/>
            <w:vAlign w:val="center"/>
            <w:hideMark/>
          </w:tcPr>
          <w:p w14:paraId="7745EA9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-0.065</w:t>
            </w:r>
          </w:p>
        </w:tc>
        <w:tc>
          <w:tcPr>
            <w:tcW w:w="1370" w:type="dxa"/>
            <w:tcBorders>
              <w:top w:val="nil"/>
              <w:left w:val="nil"/>
              <w:bottom w:val="nil"/>
              <w:right w:val="nil"/>
            </w:tcBorders>
            <w:shd w:val="clear" w:color="000000" w:fill="FFFFFF"/>
            <w:noWrap/>
            <w:vAlign w:val="center"/>
            <w:hideMark/>
          </w:tcPr>
          <w:p w14:paraId="5045602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0.402</w:t>
            </w:r>
          </w:p>
        </w:tc>
        <w:tc>
          <w:tcPr>
            <w:tcW w:w="1350" w:type="dxa"/>
            <w:tcBorders>
              <w:top w:val="nil"/>
              <w:left w:val="nil"/>
              <w:bottom w:val="nil"/>
              <w:right w:val="nil"/>
            </w:tcBorders>
            <w:shd w:val="clear" w:color="000000" w:fill="FFFFFF"/>
            <w:noWrap/>
            <w:vAlign w:val="center"/>
            <w:hideMark/>
          </w:tcPr>
          <w:p w14:paraId="10865BC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-0.105</w:t>
            </w:r>
          </w:p>
        </w:tc>
        <w:tc>
          <w:tcPr>
            <w:tcW w:w="1180" w:type="dxa"/>
            <w:tcBorders>
              <w:top w:val="nil"/>
              <w:left w:val="nil"/>
              <w:bottom w:val="nil"/>
              <w:right w:val="nil"/>
            </w:tcBorders>
            <w:shd w:val="clear" w:color="000000" w:fill="FFFFFF"/>
            <w:noWrap/>
            <w:vAlign w:val="center"/>
            <w:hideMark/>
          </w:tcPr>
          <w:p w14:paraId="0D7B060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0.337</w:t>
            </w:r>
          </w:p>
        </w:tc>
        <w:tc>
          <w:tcPr>
            <w:tcW w:w="1520" w:type="dxa"/>
            <w:tcBorders>
              <w:top w:val="nil"/>
              <w:left w:val="nil"/>
              <w:bottom w:val="nil"/>
              <w:right w:val="nil"/>
            </w:tcBorders>
            <w:shd w:val="clear" w:color="000000" w:fill="FFFFFF"/>
            <w:noWrap/>
            <w:vAlign w:val="center"/>
            <w:hideMark/>
          </w:tcPr>
          <w:p w14:paraId="43A3319B"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-0.035</w:t>
            </w:r>
          </w:p>
        </w:tc>
      </w:tr>
      <w:tr w:rsidR="00A31C1B" w:rsidRPr="00166607" w14:paraId="4022A766" w14:textId="77777777" w:rsidTr="002D0FCF">
        <w:trPr>
          <w:trHeight w:val="280"/>
        </w:trPr>
        <w:tc>
          <w:tcPr>
            <w:tcW w:w="3435" w:type="dxa"/>
            <w:tcBorders>
              <w:top w:val="nil"/>
              <w:left w:val="nil"/>
              <w:bottom w:val="nil"/>
              <w:right w:val="nil"/>
            </w:tcBorders>
            <w:shd w:val="clear" w:color="000000" w:fill="FFFFFF"/>
            <w:noWrap/>
            <w:vAlign w:val="center"/>
            <w:hideMark/>
          </w:tcPr>
          <w:p w14:paraId="754F392D"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noWrap/>
            <w:vAlign w:val="center"/>
            <w:hideMark/>
          </w:tcPr>
          <w:p w14:paraId="7B51609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(0.485)</w:t>
            </w:r>
          </w:p>
        </w:tc>
        <w:tc>
          <w:tcPr>
            <w:tcW w:w="1520" w:type="dxa"/>
            <w:tcBorders>
              <w:top w:val="nil"/>
              <w:left w:val="nil"/>
              <w:bottom w:val="nil"/>
              <w:right w:val="nil"/>
            </w:tcBorders>
            <w:shd w:val="clear" w:color="000000" w:fill="FFFFFF"/>
            <w:noWrap/>
            <w:vAlign w:val="center"/>
            <w:hideMark/>
          </w:tcPr>
          <w:p w14:paraId="7BF37AC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(0.031)**</w:t>
            </w:r>
          </w:p>
        </w:tc>
        <w:tc>
          <w:tcPr>
            <w:tcW w:w="1370" w:type="dxa"/>
            <w:tcBorders>
              <w:top w:val="nil"/>
              <w:left w:val="nil"/>
              <w:bottom w:val="nil"/>
              <w:right w:val="nil"/>
            </w:tcBorders>
            <w:shd w:val="clear" w:color="000000" w:fill="FFFFFF"/>
            <w:noWrap/>
            <w:vAlign w:val="center"/>
            <w:hideMark/>
          </w:tcPr>
          <w:p w14:paraId="46B9790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(0.492)</w:t>
            </w:r>
          </w:p>
        </w:tc>
        <w:tc>
          <w:tcPr>
            <w:tcW w:w="1350" w:type="dxa"/>
            <w:tcBorders>
              <w:top w:val="nil"/>
              <w:left w:val="nil"/>
              <w:bottom w:val="nil"/>
              <w:right w:val="nil"/>
            </w:tcBorders>
            <w:shd w:val="clear" w:color="000000" w:fill="FFFFFF"/>
            <w:noWrap/>
            <w:vAlign w:val="center"/>
            <w:hideMark/>
          </w:tcPr>
          <w:p w14:paraId="546615C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(0.045)**</w:t>
            </w:r>
          </w:p>
        </w:tc>
        <w:tc>
          <w:tcPr>
            <w:tcW w:w="1180" w:type="dxa"/>
            <w:tcBorders>
              <w:top w:val="nil"/>
              <w:left w:val="nil"/>
              <w:bottom w:val="nil"/>
              <w:right w:val="nil"/>
            </w:tcBorders>
            <w:shd w:val="clear" w:color="000000" w:fill="FFFFFF"/>
            <w:noWrap/>
            <w:vAlign w:val="center"/>
            <w:hideMark/>
          </w:tcPr>
          <w:p w14:paraId="6B5E719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(0.474)</w:t>
            </w:r>
          </w:p>
        </w:tc>
        <w:tc>
          <w:tcPr>
            <w:tcW w:w="1520" w:type="dxa"/>
            <w:tcBorders>
              <w:top w:val="nil"/>
              <w:left w:val="nil"/>
              <w:bottom w:val="nil"/>
              <w:right w:val="nil"/>
            </w:tcBorders>
            <w:shd w:val="clear" w:color="000000" w:fill="FFFFFF"/>
            <w:noWrap/>
            <w:vAlign w:val="center"/>
            <w:hideMark/>
          </w:tcPr>
          <w:p w14:paraId="2139C40B"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(0.047)</w:t>
            </w:r>
          </w:p>
        </w:tc>
      </w:tr>
      <w:tr w:rsidR="00A31C1B" w:rsidRPr="00166607" w14:paraId="2EC36B92" w14:textId="77777777" w:rsidTr="002D0FCF">
        <w:trPr>
          <w:trHeight w:val="280"/>
        </w:trPr>
        <w:tc>
          <w:tcPr>
            <w:tcW w:w="3435" w:type="dxa"/>
            <w:tcBorders>
              <w:top w:val="nil"/>
              <w:left w:val="nil"/>
              <w:bottom w:val="nil"/>
              <w:right w:val="nil"/>
            </w:tcBorders>
            <w:shd w:val="clear" w:color="000000" w:fill="FFFFFF"/>
            <w:noWrap/>
            <w:vAlign w:val="center"/>
            <w:hideMark/>
          </w:tcPr>
          <w:p w14:paraId="0C7CBFE3"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Spouse/partner had a child as a teen</w:t>
            </w:r>
          </w:p>
        </w:tc>
        <w:tc>
          <w:tcPr>
            <w:tcW w:w="1350" w:type="dxa"/>
            <w:tcBorders>
              <w:top w:val="nil"/>
              <w:left w:val="nil"/>
              <w:bottom w:val="nil"/>
              <w:right w:val="nil"/>
            </w:tcBorders>
            <w:shd w:val="clear" w:color="000000" w:fill="FFFFFF"/>
            <w:noWrap/>
            <w:vAlign w:val="center"/>
            <w:hideMark/>
          </w:tcPr>
          <w:p w14:paraId="28DA140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0.056</w:t>
            </w:r>
          </w:p>
        </w:tc>
        <w:tc>
          <w:tcPr>
            <w:tcW w:w="1520" w:type="dxa"/>
            <w:tcBorders>
              <w:top w:val="nil"/>
              <w:left w:val="nil"/>
              <w:bottom w:val="nil"/>
              <w:right w:val="nil"/>
            </w:tcBorders>
            <w:shd w:val="clear" w:color="000000" w:fill="FFFFFF"/>
            <w:noWrap/>
            <w:vAlign w:val="center"/>
            <w:hideMark/>
          </w:tcPr>
          <w:p w14:paraId="513FED1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-0.011</w:t>
            </w:r>
          </w:p>
        </w:tc>
        <w:tc>
          <w:tcPr>
            <w:tcW w:w="1370" w:type="dxa"/>
            <w:tcBorders>
              <w:top w:val="nil"/>
              <w:left w:val="nil"/>
              <w:bottom w:val="nil"/>
              <w:right w:val="nil"/>
            </w:tcBorders>
            <w:shd w:val="clear" w:color="000000" w:fill="FFFFFF"/>
            <w:noWrap/>
            <w:vAlign w:val="center"/>
            <w:hideMark/>
          </w:tcPr>
          <w:p w14:paraId="1C78932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0.055</w:t>
            </w:r>
          </w:p>
        </w:tc>
        <w:tc>
          <w:tcPr>
            <w:tcW w:w="1350" w:type="dxa"/>
            <w:tcBorders>
              <w:top w:val="nil"/>
              <w:left w:val="nil"/>
              <w:bottom w:val="nil"/>
              <w:right w:val="nil"/>
            </w:tcBorders>
            <w:shd w:val="clear" w:color="000000" w:fill="FFFFFF"/>
            <w:noWrap/>
            <w:vAlign w:val="center"/>
            <w:hideMark/>
          </w:tcPr>
          <w:p w14:paraId="58B237A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-0.007</w:t>
            </w:r>
          </w:p>
        </w:tc>
        <w:tc>
          <w:tcPr>
            <w:tcW w:w="1180" w:type="dxa"/>
            <w:tcBorders>
              <w:top w:val="nil"/>
              <w:left w:val="nil"/>
              <w:bottom w:val="nil"/>
              <w:right w:val="nil"/>
            </w:tcBorders>
            <w:shd w:val="clear" w:color="000000" w:fill="FFFFFF"/>
            <w:noWrap/>
            <w:vAlign w:val="center"/>
            <w:hideMark/>
          </w:tcPr>
          <w:p w14:paraId="480DDE81"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0.043</w:t>
            </w:r>
          </w:p>
        </w:tc>
        <w:tc>
          <w:tcPr>
            <w:tcW w:w="1520" w:type="dxa"/>
            <w:tcBorders>
              <w:top w:val="nil"/>
              <w:left w:val="nil"/>
              <w:bottom w:val="nil"/>
              <w:right w:val="nil"/>
            </w:tcBorders>
            <w:shd w:val="clear" w:color="000000" w:fill="FFFFFF"/>
            <w:noWrap/>
            <w:vAlign w:val="center"/>
            <w:hideMark/>
          </w:tcPr>
          <w:p w14:paraId="571DD6B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-0.010</w:t>
            </w:r>
          </w:p>
        </w:tc>
      </w:tr>
      <w:tr w:rsidR="00A31C1B" w:rsidRPr="00166607" w14:paraId="02265025" w14:textId="77777777" w:rsidTr="002D0FCF">
        <w:trPr>
          <w:trHeight w:val="280"/>
        </w:trPr>
        <w:tc>
          <w:tcPr>
            <w:tcW w:w="3435" w:type="dxa"/>
            <w:tcBorders>
              <w:top w:val="nil"/>
              <w:left w:val="nil"/>
              <w:bottom w:val="nil"/>
              <w:right w:val="nil"/>
            </w:tcBorders>
            <w:shd w:val="clear" w:color="auto" w:fill="auto"/>
            <w:noWrap/>
            <w:vAlign w:val="bottom"/>
            <w:hideMark/>
          </w:tcPr>
          <w:p w14:paraId="1A029D41" w14:textId="77777777" w:rsidR="00A31C1B" w:rsidRPr="00166607" w:rsidRDefault="00A31C1B" w:rsidP="00A31C1B">
            <w:pPr>
              <w:rPr>
                <w:rFonts w:eastAsia="Times New Roman"/>
                <w:color w:val="000000"/>
                <w:sz w:val="22"/>
                <w:szCs w:val="22"/>
              </w:rPr>
            </w:pPr>
          </w:p>
        </w:tc>
        <w:tc>
          <w:tcPr>
            <w:tcW w:w="1350" w:type="dxa"/>
            <w:tcBorders>
              <w:top w:val="nil"/>
              <w:left w:val="nil"/>
              <w:bottom w:val="nil"/>
              <w:right w:val="nil"/>
            </w:tcBorders>
            <w:shd w:val="clear" w:color="000000" w:fill="FFFFFF"/>
            <w:noWrap/>
            <w:vAlign w:val="center"/>
            <w:hideMark/>
          </w:tcPr>
          <w:p w14:paraId="7157789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(0.231)</w:t>
            </w:r>
          </w:p>
        </w:tc>
        <w:tc>
          <w:tcPr>
            <w:tcW w:w="1520" w:type="dxa"/>
            <w:tcBorders>
              <w:top w:val="nil"/>
              <w:left w:val="nil"/>
              <w:bottom w:val="nil"/>
              <w:right w:val="nil"/>
            </w:tcBorders>
            <w:shd w:val="clear" w:color="000000" w:fill="FFFFFF"/>
            <w:noWrap/>
            <w:vAlign w:val="center"/>
            <w:hideMark/>
          </w:tcPr>
          <w:p w14:paraId="43BA189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(0.015)</w:t>
            </w:r>
          </w:p>
        </w:tc>
        <w:tc>
          <w:tcPr>
            <w:tcW w:w="1370" w:type="dxa"/>
            <w:tcBorders>
              <w:top w:val="nil"/>
              <w:left w:val="nil"/>
              <w:bottom w:val="nil"/>
              <w:right w:val="nil"/>
            </w:tcBorders>
            <w:shd w:val="clear" w:color="000000" w:fill="FFFFFF"/>
            <w:noWrap/>
            <w:vAlign w:val="center"/>
            <w:hideMark/>
          </w:tcPr>
          <w:p w14:paraId="554F1E4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(0.229)</w:t>
            </w:r>
          </w:p>
        </w:tc>
        <w:tc>
          <w:tcPr>
            <w:tcW w:w="1350" w:type="dxa"/>
            <w:tcBorders>
              <w:top w:val="nil"/>
              <w:left w:val="nil"/>
              <w:bottom w:val="nil"/>
              <w:right w:val="nil"/>
            </w:tcBorders>
            <w:shd w:val="clear" w:color="000000" w:fill="FFFFFF"/>
            <w:noWrap/>
            <w:vAlign w:val="center"/>
            <w:hideMark/>
          </w:tcPr>
          <w:p w14:paraId="574911B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(0.021)</w:t>
            </w:r>
          </w:p>
        </w:tc>
        <w:tc>
          <w:tcPr>
            <w:tcW w:w="1180" w:type="dxa"/>
            <w:tcBorders>
              <w:top w:val="nil"/>
              <w:left w:val="nil"/>
              <w:bottom w:val="nil"/>
              <w:right w:val="nil"/>
            </w:tcBorders>
            <w:shd w:val="clear" w:color="000000" w:fill="FFFFFF"/>
            <w:noWrap/>
            <w:vAlign w:val="center"/>
            <w:hideMark/>
          </w:tcPr>
          <w:p w14:paraId="293A3CE1"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(0.204)</w:t>
            </w:r>
          </w:p>
        </w:tc>
        <w:tc>
          <w:tcPr>
            <w:tcW w:w="1520" w:type="dxa"/>
            <w:tcBorders>
              <w:top w:val="nil"/>
              <w:left w:val="nil"/>
              <w:bottom w:val="nil"/>
              <w:right w:val="nil"/>
            </w:tcBorders>
            <w:shd w:val="clear" w:color="000000" w:fill="FFFFFF"/>
            <w:noWrap/>
            <w:vAlign w:val="center"/>
            <w:hideMark/>
          </w:tcPr>
          <w:p w14:paraId="3A3E469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w:t>
            </w:r>
          </w:p>
        </w:tc>
      </w:tr>
      <w:tr w:rsidR="00A31C1B" w:rsidRPr="00166607" w14:paraId="0ED05629" w14:textId="77777777" w:rsidTr="002D0FCF">
        <w:trPr>
          <w:trHeight w:val="280"/>
        </w:trPr>
        <w:tc>
          <w:tcPr>
            <w:tcW w:w="3435" w:type="dxa"/>
            <w:tcBorders>
              <w:top w:val="nil"/>
              <w:left w:val="nil"/>
              <w:bottom w:val="nil"/>
              <w:right w:val="nil"/>
            </w:tcBorders>
            <w:shd w:val="clear" w:color="000000" w:fill="FFFFFF"/>
            <w:noWrap/>
            <w:vAlign w:val="center"/>
            <w:hideMark/>
          </w:tcPr>
          <w:p w14:paraId="12DD4DA5"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Total number of children</w:t>
            </w:r>
          </w:p>
        </w:tc>
        <w:tc>
          <w:tcPr>
            <w:tcW w:w="1350" w:type="dxa"/>
            <w:tcBorders>
              <w:top w:val="nil"/>
              <w:left w:val="nil"/>
              <w:bottom w:val="nil"/>
              <w:right w:val="nil"/>
            </w:tcBorders>
            <w:shd w:val="clear" w:color="000000" w:fill="FFFFFF"/>
            <w:noWrap/>
            <w:vAlign w:val="center"/>
            <w:hideMark/>
          </w:tcPr>
          <w:p w14:paraId="4EF8813E"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1.355</w:t>
            </w:r>
          </w:p>
        </w:tc>
        <w:tc>
          <w:tcPr>
            <w:tcW w:w="1520" w:type="dxa"/>
            <w:tcBorders>
              <w:top w:val="nil"/>
              <w:left w:val="nil"/>
              <w:bottom w:val="nil"/>
              <w:right w:val="nil"/>
            </w:tcBorders>
            <w:shd w:val="clear" w:color="000000" w:fill="FFFFFF"/>
            <w:noWrap/>
            <w:vAlign w:val="center"/>
            <w:hideMark/>
          </w:tcPr>
          <w:p w14:paraId="2E831140"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-0.023</w:t>
            </w:r>
          </w:p>
        </w:tc>
        <w:tc>
          <w:tcPr>
            <w:tcW w:w="1370" w:type="dxa"/>
            <w:tcBorders>
              <w:top w:val="nil"/>
              <w:left w:val="nil"/>
              <w:bottom w:val="nil"/>
              <w:right w:val="nil"/>
            </w:tcBorders>
            <w:shd w:val="clear" w:color="000000" w:fill="FFFFFF"/>
            <w:noWrap/>
            <w:vAlign w:val="center"/>
            <w:hideMark/>
          </w:tcPr>
          <w:p w14:paraId="7539830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1.367</w:t>
            </w:r>
          </w:p>
        </w:tc>
        <w:tc>
          <w:tcPr>
            <w:tcW w:w="1350" w:type="dxa"/>
            <w:tcBorders>
              <w:top w:val="nil"/>
              <w:left w:val="nil"/>
              <w:bottom w:val="nil"/>
              <w:right w:val="nil"/>
            </w:tcBorders>
            <w:shd w:val="clear" w:color="000000" w:fill="FFFFFF"/>
            <w:noWrap/>
            <w:vAlign w:val="center"/>
            <w:hideMark/>
          </w:tcPr>
          <w:p w14:paraId="3A64F8B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0.019</w:t>
            </w:r>
          </w:p>
        </w:tc>
        <w:tc>
          <w:tcPr>
            <w:tcW w:w="1180" w:type="dxa"/>
            <w:tcBorders>
              <w:top w:val="nil"/>
              <w:left w:val="nil"/>
              <w:bottom w:val="nil"/>
              <w:right w:val="nil"/>
            </w:tcBorders>
            <w:shd w:val="clear" w:color="000000" w:fill="FFFFFF"/>
            <w:noWrap/>
            <w:vAlign w:val="center"/>
            <w:hideMark/>
          </w:tcPr>
          <w:p w14:paraId="4EA6557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1.250</w:t>
            </w:r>
          </w:p>
        </w:tc>
        <w:tc>
          <w:tcPr>
            <w:tcW w:w="1520" w:type="dxa"/>
            <w:tcBorders>
              <w:top w:val="nil"/>
              <w:left w:val="nil"/>
              <w:bottom w:val="nil"/>
              <w:right w:val="nil"/>
            </w:tcBorders>
            <w:shd w:val="clear" w:color="000000" w:fill="FFFFFF"/>
            <w:noWrap/>
            <w:vAlign w:val="center"/>
            <w:hideMark/>
          </w:tcPr>
          <w:p w14:paraId="5E2A10B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0.021</w:t>
            </w:r>
          </w:p>
        </w:tc>
      </w:tr>
      <w:tr w:rsidR="00A31C1B" w:rsidRPr="00166607" w14:paraId="176CC9BF" w14:textId="77777777" w:rsidTr="002D0FCF">
        <w:trPr>
          <w:trHeight w:val="280"/>
        </w:trPr>
        <w:tc>
          <w:tcPr>
            <w:tcW w:w="3435" w:type="dxa"/>
            <w:tcBorders>
              <w:top w:val="nil"/>
              <w:left w:val="nil"/>
              <w:bottom w:val="nil"/>
              <w:right w:val="nil"/>
            </w:tcBorders>
            <w:shd w:val="clear" w:color="000000" w:fill="FFFFFF"/>
            <w:noWrap/>
            <w:vAlign w:val="center"/>
            <w:hideMark/>
          </w:tcPr>
          <w:p w14:paraId="69862B46"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noWrap/>
            <w:vAlign w:val="center"/>
            <w:hideMark/>
          </w:tcPr>
          <w:p w14:paraId="5B37081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(1.031)</w:t>
            </w:r>
          </w:p>
        </w:tc>
        <w:tc>
          <w:tcPr>
            <w:tcW w:w="1520" w:type="dxa"/>
            <w:tcBorders>
              <w:top w:val="nil"/>
              <w:left w:val="nil"/>
              <w:bottom w:val="nil"/>
              <w:right w:val="nil"/>
            </w:tcBorders>
            <w:shd w:val="clear" w:color="000000" w:fill="FFFFFF"/>
            <w:noWrap/>
            <w:vAlign w:val="center"/>
            <w:hideMark/>
          </w:tcPr>
          <w:p w14:paraId="693EA7F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(0.065)</w:t>
            </w:r>
          </w:p>
        </w:tc>
        <w:tc>
          <w:tcPr>
            <w:tcW w:w="1370" w:type="dxa"/>
            <w:tcBorders>
              <w:top w:val="nil"/>
              <w:left w:val="nil"/>
              <w:bottom w:val="nil"/>
              <w:right w:val="nil"/>
            </w:tcBorders>
            <w:shd w:val="clear" w:color="000000" w:fill="FFFFFF"/>
            <w:noWrap/>
            <w:vAlign w:val="center"/>
            <w:hideMark/>
          </w:tcPr>
          <w:p w14:paraId="23BE4C0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(1.021)</w:t>
            </w:r>
          </w:p>
        </w:tc>
        <w:tc>
          <w:tcPr>
            <w:tcW w:w="1350" w:type="dxa"/>
            <w:tcBorders>
              <w:top w:val="nil"/>
              <w:left w:val="nil"/>
              <w:bottom w:val="nil"/>
              <w:right w:val="nil"/>
            </w:tcBorders>
            <w:shd w:val="clear" w:color="000000" w:fill="FFFFFF"/>
            <w:noWrap/>
            <w:vAlign w:val="center"/>
            <w:hideMark/>
          </w:tcPr>
          <w:p w14:paraId="5677833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(0.092)</w:t>
            </w:r>
          </w:p>
        </w:tc>
        <w:tc>
          <w:tcPr>
            <w:tcW w:w="1180" w:type="dxa"/>
            <w:tcBorders>
              <w:top w:val="nil"/>
              <w:left w:val="nil"/>
              <w:bottom w:val="nil"/>
              <w:right w:val="nil"/>
            </w:tcBorders>
            <w:shd w:val="clear" w:color="000000" w:fill="FFFFFF"/>
            <w:noWrap/>
            <w:vAlign w:val="center"/>
            <w:hideMark/>
          </w:tcPr>
          <w:p w14:paraId="41F159D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(0.993)</w:t>
            </w:r>
          </w:p>
        </w:tc>
        <w:tc>
          <w:tcPr>
            <w:tcW w:w="1520" w:type="dxa"/>
            <w:tcBorders>
              <w:top w:val="nil"/>
              <w:left w:val="nil"/>
              <w:bottom w:val="nil"/>
              <w:right w:val="nil"/>
            </w:tcBorders>
            <w:shd w:val="clear" w:color="000000" w:fill="FFFFFF"/>
            <w:noWrap/>
            <w:vAlign w:val="center"/>
            <w:hideMark/>
          </w:tcPr>
          <w:p w14:paraId="6310D29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(0.095)</w:t>
            </w:r>
          </w:p>
        </w:tc>
      </w:tr>
      <w:tr w:rsidR="00A31C1B" w:rsidRPr="00166607" w14:paraId="737DE3C9" w14:textId="77777777" w:rsidTr="002D0FCF">
        <w:trPr>
          <w:trHeight w:val="280"/>
        </w:trPr>
        <w:tc>
          <w:tcPr>
            <w:tcW w:w="3435" w:type="dxa"/>
            <w:tcBorders>
              <w:top w:val="nil"/>
              <w:left w:val="nil"/>
              <w:bottom w:val="nil"/>
              <w:right w:val="nil"/>
            </w:tcBorders>
            <w:shd w:val="clear" w:color="000000" w:fill="FFFFFF"/>
            <w:noWrap/>
            <w:vAlign w:val="center"/>
            <w:hideMark/>
          </w:tcPr>
          <w:p w14:paraId="43846FC4"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lastRenderedPageBreak/>
              <w:t>One or more children</w:t>
            </w:r>
          </w:p>
        </w:tc>
        <w:tc>
          <w:tcPr>
            <w:tcW w:w="1350" w:type="dxa"/>
            <w:tcBorders>
              <w:top w:val="nil"/>
              <w:left w:val="nil"/>
              <w:bottom w:val="nil"/>
              <w:right w:val="nil"/>
            </w:tcBorders>
            <w:shd w:val="clear" w:color="000000" w:fill="FFFFFF"/>
            <w:noWrap/>
            <w:vAlign w:val="center"/>
            <w:hideMark/>
          </w:tcPr>
          <w:p w14:paraId="4AC081B4"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0.778</w:t>
            </w:r>
          </w:p>
        </w:tc>
        <w:tc>
          <w:tcPr>
            <w:tcW w:w="1520" w:type="dxa"/>
            <w:tcBorders>
              <w:top w:val="nil"/>
              <w:left w:val="nil"/>
              <w:bottom w:val="nil"/>
              <w:right w:val="nil"/>
            </w:tcBorders>
            <w:shd w:val="clear" w:color="000000" w:fill="FFFFFF"/>
            <w:noWrap/>
            <w:vAlign w:val="center"/>
            <w:hideMark/>
          </w:tcPr>
          <w:p w14:paraId="563CA584"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-0.011</w:t>
            </w:r>
          </w:p>
        </w:tc>
        <w:tc>
          <w:tcPr>
            <w:tcW w:w="1370" w:type="dxa"/>
            <w:tcBorders>
              <w:top w:val="nil"/>
              <w:left w:val="nil"/>
              <w:bottom w:val="nil"/>
              <w:right w:val="nil"/>
            </w:tcBorders>
            <w:shd w:val="clear" w:color="000000" w:fill="FFFFFF"/>
            <w:noWrap/>
            <w:vAlign w:val="center"/>
            <w:hideMark/>
          </w:tcPr>
          <w:p w14:paraId="6FA68B9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0.784</w:t>
            </w:r>
          </w:p>
        </w:tc>
        <w:tc>
          <w:tcPr>
            <w:tcW w:w="1350" w:type="dxa"/>
            <w:tcBorders>
              <w:top w:val="nil"/>
              <w:left w:val="nil"/>
              <w:bottom w:val="nil"/>
              <w:right w:val="nil"/>
            </w:tcBorders>
            <w:shd w:val="clear" w:color="000000" w:fill="FFFFFF"/>
            <w:noWrap/>
            <w:vAlign w:val="center"/>
            <w:hideMark/>
          </w:tcPr>
          <w:p w14:paraId="634653D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0.004</w:t>
            </w:r>
          </w:p>
        </w:tc>
        <w:tc>
          <w:tcPr>
            <w:tcW w:w="1180" w:type="dxa"/>
            <w:tcBorders>
              <w:top w:val="nil"/>
              <w:left w:val="nil"/>
              <w:bottom w:val="nil"/>
              <w:right w:val="nil"/>
            </w:tcBorders>
            <w:shd w:val="clear" w:color="000000" w:fill="FFFFFF"/>
            <w:noWrap/>
            <w:vAlign w:val="center"/>
            <w:hideMark/>
          </w:tcPr>
          <w:p w14:paraId="1C0AF7E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0.755</w:t>
            </w:r>
          </w:p>
        </w:tc>
        <w:tc>
          <w:tcPr>
            <w:tcW w:w="1520" w:type="dxa"/>
            <w:tcBorders>
              <w:top w:val="nil"/>
              <w:left w:val="nil"/>
              <w:bottom w:val="nil"/>
              <w:right w:val="nil"/>
            </w:tcBorders>
            <w:shd w:val="clear" w:color="000000" w:fill="FFFFFF"/>
            <w:noWrap/>
            <w:vAlign w:val="center"/>
            <w:hideMark/>
          </w:tcPr>
          <w:p w14:paraId="6BD55DD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-0.009</w:t>
            </w:r>
          </w:p>
        </w:tc>
      </w:tr>
      <w:tr w:rsidR="00A31C1B" w:rsidRPr="00166607" w14:paraId="2E05FFD8" w14:textId="77777777" w:rsidTr="002D0FCF">
        <w:trPr>
          <w:trHeight w:val="280"/>
        </w:trPr>
        <w:tc>
          <w:tcPr>
            <w:tcW w:w="3435" w:type="dxa"/>
            <w:tcBorders>
              <w:top w:val="nil"/>
              <w:left w:val="nil"/>
              <w:bottom w:val="nil"/>
              <w:right w:val="nil"/>
            </w:tcBorders>
            <w:shd w:val="clear" w:color="000000" w:fill="FFFFFF"/>
            <w:noWrap/>
            <w:vAlign w:val="center"/>
            <w:hideMark/>
          </w:tcPr>
          <w:p w14:paraId="3F987867"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noWrap/>
            <w:vAlign w:val="center"/>
            <w:hideMark/>
          </w:tcPr>
          <w:p w14:paraId="574FCDE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(0.416)</w:t>
            </w:r>
          </w:p>
        </w:tc>
        <w:tc>
          <w:tcPr>
            <w:tcW w:w="1520" w:type="dxa"/>
            <w:tcBorders>
              <w:top w:val="nil"/>
              <w:left w:val="nil"/>
              <w:bottom w:val="nil"/>
              <w:right w:val="nil"/>
            </w:tcBorders>
            <w:shd w:val="clear" w:color="000000" w:fill="FFFFFF"/>
            <w:noWrap/>
            <w:vAlign w:val="center"/>
            <w:hideMark/>
          </w:tcPr>
          <w:p w14:paraId="2B9BD404"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(0.027)</w:t>
            </w:r>
          </w:p>
        </w:tc>
        <w:tc>
          <w:tcPr>
            <w:tcW w:w="1370" w:type="dxa"/>
            <w:tcBorders>
              <w:top w:val="nil"/>
              <w:left w:val="nil"/>
              <w:bottom w:val="nil"/>
              <w:right w:val="nil"/>
            </w:tcBorders>
            <w:shd w:val="clear" w:color="000000" w:fill="FFFFFF"/>
            <w:noWrap/>
            <w:vAlign w:val="center"/>
            <w:hideMark/>
          </w:tcPr>
          <w:p w14:paraId="14216BE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(0.413)</w:t>
            </w:r>
          </w:p>
        </w:tc>
        <w:tc>
          <w:tcPr>
            <w:tcW w:w="1350" w:type="dxa"/>
            <w:tcBorders>
              <w:top w:val="nil"/>
              <w:left w:val="nil"/>
              <w:bottom w:val="nil"/>
              <w:right w:val="nil"/>
            </w:tcBorders>
            <w:shd w:val="clear" w:color="000000" w:fill="FFFFFF"/>
            <w:noWrap/>
            <w:vAlign w:val="center"/>
            <w:hideMark/>
          </w:tcPr>
          <w:p w14:paraId="61355D9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(0.039)</w:t>
            </w:r>
          </w:p>
        </w:tc>
        <w:tc>
          <w:tcPr>
            <w:tcW w:w="1180" w:type="dxa"/>
            <w:tcBorders>
              <w:top w:val="nil"/>
              <w:left w:val="nil"/>
              <w:bottom w:val="nil"/>
              <w:right w:val="nil"/>
            </w:tcBorders>
            <w:shd w:val="clear" w:color="000000" w:fill="FFFFFF"/>
            <w:noWrap/>
            <w:vAlign w:val="center"/>
            <w:hideMark/>
          </w:tcPr>
          <w:p w14:paraId="5753B661"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(0.431)</w:t>
            </w:r>
          </w:p>
        </w:tc>
        <w:tc>
          <w:tcPr>
            <w:tcW w:w="1520" w:type="dxa"/>
            <w:tcBorders>
              <w:top w:val="nil"/>
              <w:left w:val="nil"/>
              <w:bottom w:val="nil"/>
              <w:right w:val="nil"/>
            </w:tcBorders>
            <w:shd w:val="clear" w:color="000000" w:fill="FFFFFF"/>
            <w:noWrap/>
            <w:vAlign w:val="center"/>
            <w:hideMark/>
          </w:tcPr>
          <w:p w14:paraId="4188893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(0.042)</w:t>
            </w:r>
          </w:p>
        </w:tc>
      </w:tr>
      <w:tr w:rsidR="00A31C1B" w:rsidRPr="00166607" w14:paraId="51279B77" w14:textId="77777777" w:rsidTr="002D0FCF">
        <w:trPr>
          <w:trHeight w:val="280"/>
        </w:trPr>
        <w:tc>
          <w:tcPr>
            <w:tcW w:w="3435" w:type="dxa"/>
            <w:tcBorders>
              <w:top w:val="nil"/>
              <w:left w:val="nil"/>
              <w:bottom w:val="nil"/>
              <w:right w:val="nil"/>
            </w:tcBorders>
            <w:shd w:val="clear" w:color="000000" w:fill="FFFFFF"/>
            <w:noWrap/>
            <w:vAlign w:val="center"/>
            <w:hideMark/>
          </w:tcPr>
          <w:p w14:paraId="3734BFA9"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Two or more children</w:t>
            </w:r>
          </w:p>
        </w:tc>
        <w:tc>
          <w:tcPr>
            <w:tcW w:w="1350" w:type="dxa"/>
            <w:tcBorders>
              <w:top w:val="nil"/>
              <w:left w:val="nil"/>
              <w:bottom w:val="nil"/>
              <w:right w:val="nil"/>
            </w:tcBorders>
            <w:shd w:val="clear" w:color="000000" w:fill="FFFFFF"/>
            <w:noWrap/>
            <w:vAlign w:val="center"/>
            <w:hideMark/>
          </w:tcPr>
          <w:p w14:paraId="7DA9871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0.433</w:t>
            </w:r>
          </w:p>
        </w:tc>
        <w:tc>
          <w:tcPr>
            <w:tcW w:w="1520" w:type="dxa"/>
            <w:tcBorders>
              <w:top w:val="nil"/>
              <w:left w:val="nil"/>
              <w:bottom w:val="nil"/>
              <w:right w:val="nil"/>
            </w:tcBorders>
            <w:shd w:val="clear" w:color="000000" w:fill="FFFFFF"/>
            <w:noWrap/>
            <w:vAlign w:val="center"/>
            <w:hideMark/>
          </w:tcPr>
          <w:p w14:paraId="6BB06F3E"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-0.025</w:t>
            </w:r>
          </w:p>
        </w:tc>
        <w:tc>
          <w:tcPr>
            <w:tcW w:w="1370" w:type="dxa"/>
            <w:tcBorders>
              <w:top w:val="nil"/>
              <w:left w:val="nil"/>
              <w:bottom w:val="nil"/>
              <w:right w:val="nil"/>
            </w:tcBorders>
            <w:shd w:val="clear" w:color="000000" w:fill="FFFFFF"/>
            <w:noWrap/>
            <w:vAlign w:val="center"/>
            <w:hideMark/>
          </w:tcPr>
          <w:p w14:paraId="6AA8A152"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0.437</w:t>
            </w:r>
          </w:p>
        </w:tc>
        <w:tc>
          <w:tcPr>
            <w:tcW w:w="1350" w:type="dxa"/>
            <w:tcBorders>
              <w:top w:val="nil"/>
              <w:left w:val="nil"/>
              <w:bottom w:val="nil"/>
              <w:right w:val="nil"/>
            </w:tcBorders>
            <w:shd w:val="clear" w:color="000000" w:fill="FFFFFF"/>
            <w:noWrap/>
            <w:vAlign w:val="center"/>
            <w:hideMark/>
          </w:tcPr>
          <w:p w14:paraId="6241B41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-0.013</w:t>
            </w:r>
          </w:p>
        </w:tc>
        <w:tc>
          <w:tcPr>
            <w:tcW w:w="1180" w:type="dxa"/>
            <w:tcBorders>
              <w:top w:val="nil"/>
              <w:left w:val="nil"/>
              <w:bottom w:val="nil"/>
              <w:right w:val="nil"/>
            </w:tcBorders>
            <w:shd w:val="clear" w:color="000000" w:fill="FFFFFF"/>
            <w:noWrap/>
            <w:vAlign w:val="center"/>
            <w:hideMark/>
          </w:tcPr>
          <w:p w14:paraId="0DA7708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0.386</w:t>
            </w:r>
          </w:p>
        </w:tc>
        <w:tc>
          <w:tcPr>
            <w:tcW w:w="1520" w:type="dxa"/>
            <w:tcBorders>
              <w:top w:val="nil"/>
              <w:left w:val="nil"/>
              <w:bottom w:val="nil"/>
              <w:right w:val="nil"/>
            </w:tcBorders>
            <w:shd w:val="clear" w:color="000000" w:fill="FFFFFF"/>
            <w:noWrap/>
            <w:vAlign w:val="center"/>
            <w:hideMark/>
          </w:tcPr>
          <w:p w14:paraId="6B9513DB"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-0.020</w:t>
            </w:r>
          </w:p>
        </w:tc>
      </w:tr>
      <w:tr w:rsidR="00A31C1B" w:rsidRPr="00166607" w14:paraId="1DE573D1" w14:textId="77777777" w:rsidTr="002D0FCF">
        <w:trPr>
          <w:trHeight w:val="280"/>
        </w:trPr>
        <w:tc>
          <w:tcPr>
            <w:tcW w:w="3435" w:type="dxa"/>
            <w:tcBorders>
              <w:top w:val="nil"/>
              <w:left w:val="nil"/>
              <w:bottom w:val="nil"/>
              <w:right w:val="nil"/>
            </w:tcBorders>
            <w:shd w:val="clear" w:color="000000" w:fill="FFFFFF"/>
            <w:noWrap/>
            <w:vAlign w:val="center"/>
            <w:hideMark/>
          </w:tcPr>
          <w:p w14:paraId="7783F513"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noWrap/>
            <w:vAlign w:val="center"/>
            <w:hideMark/>
          </w:tcPr>
          <w:p w14:paraId="1C5DD9B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(0.496)</w:t>
            </w:r>
          </w:p>
        </w:tc>
        <w:tc>
          <w:tcPr>
            <w:tcW w:w="1520" w:type="dxa"/>
            <w:tcBorders>
              <w:top w:val="nil"/>
              <w:left w:val="nil"/>
              <w:bottom w:val="nil"/>
              <w:right w:val="nil"/>
            </w:tcBorders>
            <w:shd w:val="clear" w:color="000000" w:fill="FFFFFF"/>
            <w:noWrap/>
            <w:vAlign w:val="center"/>
            <w:hideMark/>
          </w:tcPr>
          <w:p w14:paraId="5776B04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(0.031)</w:t>
            </w:r>
          </w:p>
        </w:tc>
        <w:tc>
          <w:tcPr>
            <w:tcW w:w="1370" w:type="dxa"/>
            <w:tcBorders>
              <w:top w:val="nil"/>
              <w:left w:val="nil"/>
              <w:bottom w:val="nil"/>
              <w:right w:val="nil"/>
            </w:tcBorders>
            <w:shd w:val="clear" w:color="000000" w:fill="FFFFFF"/>
            <w:noWrap/>
            <w:vAlign w:val="center"/>
            <w:hideMark/>
          </w:tcPr>
          <w:p w14:paraId="7F55695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(0.497)</w:t>
            </w:r>
          </w:p>
        </w:tc>
        <w:tc>
          <w:tcPr>
            <w:tcW w:w="1350" w:type="dxa"/>
            <w:tcBorders>
              <w:top w:val="nil"/>
              <w:left w:val="nil"/>
              <w:bottom w:val="nil"/>
              <w:right w:val="nil"/>
            </w:tcBorders>
            <w:shd w:val="clear" w:color="000000" w:fill="FFFFFF"/>
            <w:noWrap/>
            <w:vAlign w:val="center"/>
            <w:hideMark/>
          </w:tcPr>
          <w:p w14:paraId="0AB7D8E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(0.045)</w:t>
            </w:r>
          </w:p>
        </w:tc>
        <w:tc>
          <w:tcPr>
            <w:tcW w:w="1180" w:type="dxa"/>
            <w:tcBorders>
              <w:top w:val="nil"/>
              <w:left w:val="nil"/>
              <w:bottom w:val="nil"/>
              <w:right w:val="nil"/>
            </w:tcBorders>
            <w:shd w:val="clear" w:color="000000" w:fill="FFFFFF"/>
            <w:noWrap/>
            <w:vAlign w:val="center"/>
            <w:hideMark/>
          </w:tcPr>
          <w:p w14:paraId="4A08A760"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(0.488)</w:t>
            </w:r>
          </w:p>
        </w:tc>
        <w:tc>
          <w:tcPr>
            <w:tcW w:w="1520" w:type="dxa"/>
            <w:tcBorders>
              <w:top w:val="nil"/>
              <w:left w:val="nil"/>
              <w:bottom w:val="nil"/>
              <w:right w:val="nil"/>
            </w:tcBorders>
            <w:shd w:val="clear" w:color="000000" w:fill="FFFFFF"/>
            <w:noWrap/>
            <w:vAlign w:val="center"/>
            <w:hideMark/>
          </w:tcPr>
          <w:p w14:paraId="4909F414"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(0.047)</w:t>
            </w:r>
          </w:p>
        </w:tc>
      </w:tr>
      <w:tr w:rsidR="00A31C1B" w:rsidRPr="00166607" w14:paraId="569D3BC0" w14:textId="77777777" w:rsidTr="002D0FCF">
        <w:trPr>
          <w:trHeight w:val="280"/>
        </w:trPr>
        <w:tc>
          <w:tcPr>
            <w:tcW w:w="3435" w:type="dxa"/>
            <w:tcBorders>
              <w:top w:val="nil"/>
              <w:left w:val="nil"/>
              <w:bottom w:val="nil"/>
              <w:right w:val="nil"/>
            </w:tcBorders>
            <w:shd w:val="clear" w:color="000000" w:fill="FFFFFF"/>
            <w:noWrap/>
            <w:vAlign w:val="center"/>
            <w:hideMark/>
          </w:tcPr>
          <w:p w14:paraId="0698D685"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Three or more children</w:t>
            </w:r>
          </w:p>
        </w:tc>
        <w:tc>
          <w:tcPr>
            <w:tcW w:w="1350" w:type="dxa"/>
            <w:tcBorders>
              <w:top w:val="nil"/>
              <w:left w:val="nil"/>
              <w:bottom w:val="nil"/>
              <w:right w:val="nil"/>
            </w:tcBorders>
            <w:shd w:val="clear" w:color="000000" w:fill="FFFFFF"/>
            <w:noWrap/>
            <w:vAlign w:val="center"/>
            <w:hideMark/>
          </w:tcPr>
          <w:p w14:paraId="306A6BA2"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0.108</w:t>
            </w:r>
          </w:p>
        </w:tc>
        <w:tc>
          <w:tcPr>
            <w:tcW w:w="1520" w:type="dxa"/>
            <w:tcBorders>
              <w:top w:val="nil"/>
              <w:left w:val="nil"/>
              <w:bottom w:val="nil"/>
              <w:right w:val="nil"/>
            </w:tcBorders>
            <w:shd w:val="clear" w:color="000000" w:fill="FFFFFF"/>
            <w:noWrap/>
            <w:vAlign w:val="center"/>
            <w:hideMark/>
          </w:tcPr>
          <w:p w14:paraId="7DAFEBFB"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0.010</w:t>
            </w:r>
          </w:p>
        </w:tc>
        <w:tc>
          <w:tcPr>
            <w:tcW w:w="1370" w:type="dxa"/>
            <w:tcBorders>
              <w:top w:val="nil"/>
              <w:left w:val="nil"/>
              <w:bottom w:val="nil"/>
              <w:right w:val="nil"/>
            </w:tcBorders>
            <w:shd w:val="clear" w:color="000000" w:fill="FFFFFF"/>
            <w:noWrap/>
            <w:vAlign w:val="center"/>
            <w:hideMark/>
          </w:tcPr>
          <w:p w14:paraId="60FCFCF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0.111</w:t>
            </w:r>
          </w:p>
        </w:tc>
        <w:tc>
          <w:tcPr>
            <w:tcW w:w="1350" w:type="dxa"/>
            <w:tcBorders>
              <w:top w:val="nil"/>
              <w:left w:val="nil"/>
              <w:bottom w:val="nil"/>
              <w:right w:val="nil"/>
            </w:tcBorders>
            <w:shd w:val="clear" w:color="000000" w:fill="FFFFFF"/>
            <w:noWrap/>
            <w:vAlign w:val="center"/>
            <w:hideMark/>
          </w:tcPr>
          <w:p w14:paraId="648232A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0.017</w:t>
            </w:r>
          </w:p>
        </w:tc>
        <w:tc>
          <w:tcPr>
            <w:tcW w:w="1180" w:type="dxa"/>
            <w:tcBorders>
              <w:top w:val="nil"/>
              <w:left w:val="nil"/>
              <w:bottom w:val="nil"/>
              <w:right w:val="nil"/>
            </w:tcBorders>
            <w:shd w:val="clear" w:color="000000" w:fill="FFFFFF"/>
            <w:noWrap/>
            <w:vAlign w:val="center"/>
            <w:hideMark/>
          </w:tcPr>
          <w:p w14:paraId="71DEFC9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0.082</w:t>
            </w:r>
          </w:p>
        </w:tc>
        <w:tc>
          <w:tcPr>
            <w:tcW w:w="1520" w:type="dxa"/>
            <w:tcBorders>
              <w:top w:val="nil"/>
              <w:left w:val="nil"/>
              <w:bottom w:val="nil"/>
              <w:right w:val="nil"/>
            </w:tcBorders>
            <w:shd w:val="clear" w:color="000000" w:fill="FFFFFF"/>
            <w:noWrap/>
            <w:vAlign w:val="center"/>
            <w:hideMark/>
          </w:tcPr>
          <w:p w14:paraId="128D6D0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0.038</w:t>
            </w:r>
          </w:p>
        </w:tc>
      </w:tr>
      <w:tr w:rsidR="00A31C1B" w:rsidRPr="00166607" w14:paraId="594F20AB" w14:textId="77777777" w:rsidTr="002D0FCF">
        <w:trPr>
          <w:trHeight w:val="300"/>
        </w:trPr>
        <w:tc>
          <w:tcPr>
            <w:tcW w:w="3435" w:type="dxa"/>
            <w:tcBorders>
              <w:top w:val="nil"/>
              <w:left w:val="nil"/>
              <w:bottom w:val="single" w:sz="8" w:space="0" w:color="auto"/>
              <w:right w:val="nil"/>
            </w:tcBorders>
            <w:shd w:val="clear" w:color="auto" w:fill="auto"/>
            <w:noWrap/>
            <w:vAlign w:val="center"/>
            <w:hideMark/>
          </w:tcPr>
          <w:p w14:paraId="690A1F25"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single" w:sz="8" w:space="0" w:color="auto"/>
              <w:right w:val="nil"/>
            </w:tcBorders>
            <w:shd w:val="clear" w:color="000000" w:fill="FFFFFF"/>
            <w:noWrap/>
            <w:vAlign w:val="center"/>
            <w:hideMark/>
          </w:tcPr>
          <w:p w14:paraId="4459CBF2"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(0.31)</w:t>
            </w:r>
          </w:p>
        </w:tc>
        <w:tc>
          <w:tcPr>
            <w:tcW w:w="1520" w:type="dxa"/>
            <w:tcBorders>
              <w:top w:val="nil"/>
              <w:left w:val="nil"/>
              <w:bottom w:val="single" w:sz="8" w:space="0" w:color="auto"/>
              <w:right w:val="nil"/>
            </w:tcBorders>
            <w:shd w:val="clear" w:color="000000" w:fill="FFFFFF"/>
            <w:noWrap/>
            <w:vAlign w:val="center"/>
            <w:hideMark/>
          </w:tcPr>
          <w:p w14:paraId="43F1E64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w:t>
            </w:r>
          </w:p>
        </w:tc>
        <w:tc>
          <w:tcPr>
            <w:tcW w:w="1370" w:type="dxa"/>
            <w:tcBorders>
              <w:top w:val="nil"/>
              <w:left w:val="nil"/>
              <w:bottom w:val="single" w:sz="8" w:space="0" w:color="auto"/>
              <w:right w:val="nil"/>
            </w:tcBorders>
            <w:shd w:val="clear" w:color="000000" w:fill="FFFFFF"/>
            <w:noWrap/>
            <w:vAlign w:val="center"/>
            <w:hideMark/>
          </w:tcPr>
          <w:p w14:paraId="321BB95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(0.314)</w:t>
            </w:r>
          </w:p>
        </w:tc>
        <w:tc>
          <w:tcPr>
            <w:tcW w:w="1350" w:type="dxa"/>
            <w:tcBorders>
              <w:top w:val="nil"/>
              <w:left w:val="nil"/>
              <w:bottom w:val="single" w:sz="8" w:space="0" w:color="auto"/>
              <w:right w:val="nil"/>
            </w:tcBorders>
            <w:shd w:val="clear" w:color="000000" w:fill="FFFFFF"/>
            <w:noWrap/>
            <w:vAlign w:val="center"/>
            <w:hideMark/>
          </w:tcPr>
          <w:p w14:paraId="6CA2E58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w:t>
            </w:r>
          </w:p>
        </w:tc>
        <w:tc>
          <w:tcPr>
            <w:tcW w:w="1180" w:type="dxa"/>
            <w:tcBorders>
              <w:top w:val="nil"/>
              <w:left w:val="nil"/>
              <w:bottom w:val="single" w:sz="8" w:space="0" w:color="auto"/>
              <w:right w:val="nil"/>
            </w:tcBorders>
            <w:shd w:val="clear" w:color="000000" w:fill="FFFFFF"/>
            <w:noWrap/>
            <w:vAlign w:val="center"/>
            <w:hideMark/>
          </w:tcPr>
          <w:p w14:paraId="404C1D1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(0.274)</w:t>
            </w:r>
          </w:p>
        </w:tc>
        <w:tc>
          <w:tcPr>
            <w:tcW w:w="1520" w:type="dxa"/>
            <w:tcBorders>
              <w:top w:val="nil"/>
              <w:left w:val="nil"/>
              <w:bottom w:val="single" w:sz="8" w:space="0" w:color="auto"/>
              <w:right w:val="nil"/>
            </w:tcBorders>
            <w:shd w:val="clear" w:color="000000" w:fill="FFFFFF"/>
            <w:noWrap/>
            <w:vAlign w:val="center"/>
            <w:hideMark/>
          </w:tcPr>
          <w:p w14:paraId="43060734"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(0.028)</w:t>
            </w:r>
          </w:p>
        </w:tc>
      </w:tr>
      <w:tr w:rsidR="00A31C1B" w:rsidRPr="00166607" w14:paraId="7639497E" w14:textId="77777777" w:rsidTr="002D0FCF">
        <w:trPr>
          <w:trHeight w:val="315"/>
        </w:trPr>
        <w:tc>
          <w:tcPr>
            <w:tcW w:w="3435" w:type="dxa"/>
            <w:tcBorders>
              <w:top w:val="nil"/>
              <w:left w:val="nil"/>
              <w:bottom w:val="single" w:sz="8" w:space="0" w:color="auto"/>
              <w:right w:val="nil"/>
            </w:tcBorders>
            <w:shd w:val="clear" w:color="000000" w:fill="FFFFFF"/>
            <w:vAlign w:val="center"/>
            <w:hideMark/>
          </w:tcPr>
          <w:p w14:paraId="4BA52499"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8290" w:type="dxa"/>
            <w:gridSpan w:val="6"/>
            <w:tcBorders>
              <w:top w:val="nil"/>
              <w:left w:val="nil"/>
              <w:bottom w:val="single" w:sz="8" w:space="0" w:color="auto"/>
              <w:right w:val="nil"/>
            </w:tcBorders>
            <w:shd w:val="clear" w:color="000000" w:fill="FFFFFF"/>
            <w:noWrap/>
            <w:vAlign w:val="center"/>
            <w:hideMark/>
          </w:tcPr>
          <w:p w14:paraId="1979F1AD" w14:textId="77777777" w:rsidR="00A31C1B" w:rsidRPr="00166607" w:rsidRDefault="00A31C1B" w:rsidP="00A31C1B">
            <w:pPr>
              <w:jc w:val="center"/>
              <w:rPr>
                <w:rFonts w:ascii="Times New Roman" w:eastAsia="Times New Roman" w:hAnsi="Times New Roman"/>
                <w:i/>
                <w:iCs/>
                <w:color w:val="000000"/>
                <w:sz w:val="22"/>
                <w:szCs w:val="22"/>
              </w:rPr>
            </w:pPr>
            <w:r w:rsidRPr="00166607">
              <w:rPr>
                <w:rFonts w:ascii="Times New Roman" w:eastAsia="Times New Roman" w:hAnsi="Times New Roman"/>
                <w:i/>
                <w:iCs/>
                <w:color w:val="000000"/>
                <w:sz w:val="22"/>
                <w:szCs w:val="22"/>
              </w:rPr>
              <w:t>C. Males</w:t>
            </w:r>
          </w:p>
        </w:tc>
      </w:tr>
      <w:tr w:rsidR="00A31C1B" w:rsidRPr="00166607" w14:paraId="13B451EB" w14:textId="77777777" w:rsidTr="002D0FCF">
        <w:trPr>
          <w:trHeight w:val="280"/>
        </w:trPr>
        <w:tc>
          <w:tcPr>
            <w:tcW w:w="3435" w:type="dxa"/>
            <w:tcBorders>
              <w:top w:val="nil"/>
              <w:left w:val="nil"/>
              <w:bottom w:val="nil"/>
              <w:right w:val="nil"/>
            </w:tcBorders>
            <w:shd w:val="clear" w:color="000000" w:fill="FFFFFF"/>
            <w:noWrap/>
            <w:vAlign w:val="center"/>
            <w:hideMark/>
          </w:tcPr>
          <w:p w14:paraId="0EC56A33"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Had any child as a teen</w:t>
            </w:r>
          </w:p>
        </w:tc>
        <w:tc>
          <w:tcPr>
            <w:tcW w:w="1350" w:type="dxa"/>
            <w:tcBorders>
              <w:top w:val="nil"/>
              <w:left w:val="nil"/>
              <w:bottom w:val="nil"/>
              <w:right w:val="nil"/>
            </w:tcBorders>
            <w:shd w:val="clear" w:color="000000" w:fill="FFFFFF"/>
            <w:noWrap/>
            <w:vAlign w:val="center"/>
            <w:hideMark/>
          </w:tcPr>
          <w:p w14:paraId="4687F115"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0.078</w:t>
            </w:r>
          </w:p>
        </w:tc>
        <w:tc>
          <w:tcPr>
            <w:tcW w:w="1520" w:type="dxa"/>
            <w:tcBorders>
              <w:top w:val="nil"/>
              <w:left w:val="nil"/>
              <w:bottom w:val="nil"/>
              <w:right w:val="nil"/>
            </w:tcBorders>
            <w:shd w:val="clear" w:color="000000" w:fill="FFFFFF"/>
            <w:noWrap/>
            <w:vAlign w:val="center"/>
            <w:hideMark/>
          </w:tcPr>
          <w:p w14:paraId="6838823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-0.020</w:t>
            </w:r>
          </w:p>
        </w:tc>
        <w:tc>
          <w:tcPr>
            <w:tcW w:w="1370" w:type="dxa"/>
            <w:tcBorders>
              <w:top w:val="nil"/>
              <w:left w:val="nil"/>
              <w:bottom w:val="nil"/>
              <w:right w:val="nil"/>
            </w:tcBorders>
            <w:shd w:val="clear" w:color="000000" w:fill="FFFFFF"/>
            <w:noWrap/>
            <w:vAlign w:val="center"/>
            <w:hideMark/>
          </w:tcPr>
          <w:p w14:paraId="5AE7DAFB"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0.083</w:t>
            </w:r>
          </w:p>
        </w:tc>
        <w:tc>
          <w:tcPr>
            <w:tcW w:w="1350" w:type="dxa"/>
            <w:tcBorders>
              <w:top w:val="nil"/>
              <w:left w:val="nil"/>
              <w:bottom w:val="nil"/>
              <w:right w:val="nil"/>
            </w:tcBorders>
            <w:shd w:val="clear" w:color="000000" w:fill="FFFFFF"/>
            <w:noWrap/>
            <w:vAlign w:val="center"/>
            <w:hideMark/>
          </w:tcPr>
          <w:p w14:paraId="0BC8C41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-0.022</w:t>
            </w:r>
          </w:p>
        </w:tc>
        <w:tc>
          <w:tcPr>
            <w:tcW w:w="1180" w:type="dxa"/>
            <w:tcBorders>
              <w:top w:val="nil"/>
              <w:left w:val="nil"/>
              <w:bottom w:val="nil"/>
              <w:right w:val="nil"/>
            </w:tcBorders>
            <w:shd w:val="clear" w:color="000000" w:fill="FFFFFF"/>
            <w:noWrap/>
            <w:vAlign w:val="center"/>
            <w:hideMark/>
          </w:tcPr>
          <w:p w14:paraId="3016CE2B"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0.073</w:t>
            </w:r>
          </w:p>
        </w:tc>
        <w:tc>
          <w:tcPr>
            <w:tcW w:w="1520" w:type="dxa"/>
            <w:tcBorders>
              <w:top w:val="nil"/>
              <w:left w:val="nil"/>
              <w:bottom w:val="nil"/>
              <w:right w:val="nil"/>
            </w:tcBorders>
            <w:shd w:val="clear" w:color="000000" w:fill="FFFFFF"/>
            <w:noWrap/>
            <w:vAlign w:val="center"/>
            <w:hideMark/>
          </w:tcPr>
          <w:p w14:paraId="75F0031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-0.007</w:t>
            </w:r>
          </w:p>
        </w:tc>
      </w:tr>
      <w:tr w:rsidR="00A31C1B" w:rsidRPr="00166607" w14:paraId="3DBC8C15" w14:textId="77777777" w:rsidTr="002D0FCF">
        <w:trPr>
          <w:trHeight w:val="280"/>
        </w:trPr>
        <w:tc>
          <w:tcPr>
            <w:tcW w:w="3435" w:type="dxa"/>
            <w:tcBorders>
              <w:top w:val="nil"/>
              <w:left w:val="nil"/>
              <w:bottom w:val="nil"/>
              <w:right w:val="nil"/>
            </w:tcBorders>
            <w:shd w:val="clear" w:color="000000" w:fill="FFFFFF"/>
            <w:noWrap/>
            <w:vAlign w:val="center"/>
            <w:hideMark/>
          </w:tcPr>
          <w:p w14:paraId="07B76AE2"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noWrap/>
            <w:vAlign w:val="center"/>
            <w:hideMark/>
          </w:tcPr>
          <w:p w14:paraId="228C10A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(0.268)</w:t>
            </w:r>
          </w:p>
        </w:tc>
        <w:tc>
          <w:tcPr>
            <w:tcW w:w="1520" w:type="dxa"/>
            <w:tcBorders>
              <w:top w:val="nil"/>
              <w:left w:val="nil"/>
              <w:bottom w:val="nil"/>
              <w:right w:val="nil"/>
            </w:tcBorders>
            <w:shd w:val="clear" w:color="000000" w:fill="FFFFFF"/>
            <w:noWrap/>
            <w:vAlign w:val="center"/>
            <w:hideMark/>
          </w:tcPr>
          <w:p w14:paraId="7267CB7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(0.018)</w:t>
            </w:r>
          </w:p>
        </w:tc>
        <w:tc>
          <w:tcPr>
            <w:tcW w:w="1370" w:type="dxa"/>
            <w:tcBorders>
              <w:top w:val="nil"/>
              <w:left w:val="nil"/>
              <w:bottom w:val="nil"/>
              <w:right w:val="nil"/>
            </w:tcBorders>
            <w:shd w:val="clear" w:color="000000" w:fill="FFFFFF"/>
            <w:noWrap/>
            <w:vAlign w:val="center"/>
            <w:hideMark/>
          </w:tcPr>
          <w:p w14:paraId="12F60E5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(0.276)</w:t>
            </w:r>
          </w:p>
        </w:tc>
        <w:tc>
          <w:tcPr>
            <w:tcW w:w="1350" w:type="dxa"/>
            <w:tcBorders>
              <w:top w:val="nil"/>
              <w:left w:val="nil"/>
              <w:bottom w:val="nil"/>
              <w:right w:val="nil"/>
            </w:tcBorders>
            <w:shd w:val="clear" w:color="000000" w:fill="FFFFFF"/>
            <w:noWrap/>
            <w:vAlign w:val="center"/>
            <w:hideMark/>
          </w:tcPr>
          <w:p w14:paraId="049105B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(0.024)</w:t>
            </w:r>
          </w:p>
        </w:tc>
        <w:tc>
          <w:tcPr>
            <w:tcW w:w="1180" w:type="dxa"/>
            <w:tcBorders>
              <w:top w:val="nil"/>
              <w:left w:val="nil"/>
              <w:bottom w:val="nil"/>
              <w:right w:val="nil"/>
            </w:tcBorders>
            <w:shd w:val="clear" w:color="000000" w:fill="FFFFFF"/>
            <w:noWrap/>
            <w:vAlign w:val="center"/>
            <w:hideMark/>
          </w:tcPr>
          <w:p w14:paraId="4A95C6E0"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(0.261)</w:t>
            </w:r>
          </w:p>
        </w:tc>
        <w:tc>
          <w:tcPr>
            <w:tcW w:w="1520" w:type="dxa"/>
            <w:tcBorders>
              <w:top w:val="nil"/>
              <w:left w:val="nil"/>
              <w:bottom w:val="nil"/>
              <w:right w:val="nil"/>
            </w:tcBorders>
            <w:shd w:val="clear" w:color="000000" w:fill="FFFFFF"/>
            <w:noWrap/>
            <w:vAlign w:val="center"/>
            <w:hideMark/>
          </w:tcPr>
          <w:p w14:paraId="6EFB677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(0.028)</w:t>
            </w:r>
          </w:p>
        </w:tc>
      </w:tr>
      <w:tr w:rsidR="00A31C1B" w:rsidRPr="00166607" w14:paraId="3D31263B" w14:textId="77777777" w:rsidTr="002D0FCF">
        <w:trPr>
          <w:trHeight w:val="280"/>
        </w:trPr>
        <w:tc>
          <w:tcPr>
            <w:tcW w:w="3435" w:type="dxa"/>
            <w:tcBorders>
              <w:top w:val="nil"/>
              <w:left w:val="nil"/>
              <w:bottom w:val="nil"/>
              <w:right w:val="nil"/>
            </w:tcBorders>
            <w:shd w:val="clear" w:color="000000" w:fill="FFFFFF"/>
            <w:noWrap/>
            <w:vAlign w:val="center"/>
            <w:hideMark/>
          </w:tcPr>
          <w:p w14:paraId="0556CB4A"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Spouse/partner had a child as a teen</w:t>
            </w:r>
          </w:p>
        </w:tc>
        <w:tc>
          <w:tcPr>
            <w:tcW w:w="1350" w:type="dxa"/>
            <w:tcBorders>
              <w:top w:val="nil"/>
              <w:left w:val="nil"/>
              <w:bottom w:val="nil"/>
              <w:right w:val="nil"/>
            </w:tcBorders>
            <w:shd w:val="clear" w:color="000000" w:fill="FFFFFF"/>
            <w:noWrap/>
            <w:vAlign w:val="center"/>
            <w:hideMark/>
          </w:tcPr>
          <w:p w14:paraId="6DC1783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0.161</w:t>
            </w:r>
          </w:p>
        </w:tc>
        <w:tc>
          <w:tcPr>
            <w:tcW w:w="1520" w:type="dxa"/>
            <w:tcBorders>
              <w:top w:val="nil"/>
              <w:left w:val="nil"/>
              <w:bottom w:val="nil"/>
              <w:right w:val="nil"/>
            </w:tcBorders>
            <w:shd w:val="clear" w:color="000000" w:fill="FFFFFF"/>
            <w:noWrap/>
            <w:vAlign w:val="center"/>
            <w:hideMark/>
          </w:tcPr>
          <w:p w14:paraId="322D1DB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-0.051</w:t>
            </w:r>
          </w:p>
        </w:tc>
        <w:tc>
          <w:tcPr>
            <w:tcW w:w="1370" w:type="dxa"/>
            <w:tcBorders>
              <w:top w:val="nil"/>
              <w:left w:val="nil"/>
              <w:bottom w:val="nil"/>
              <w:right w:val="nil"/>
            </w:tcBorders>
            <w:shd w:val="clear" w:color="000000" w:fill="FFFFFF"/>
            <w:noWrap/>
            <w:vAlign w:val="center"/>
            <w:hideMark/>
          </w:tcPr>
          <w:p w14:paraId="07D9993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0.165</w:t>
            </w:r>
          </w:p>
        </w:tc>
        <w:tc>
          <w:tcPr>
            <w:tcW w:w="1350" w:type="dxa"/>
            <w:tcBorders>
              <w:top w:val="nil"/>
              <w:left w:val="nil"/>
              <w:bottom w:val="nil"/>
              <w:right w:val="nil"/>
            </w:tcBorders>
            <w:shd w:val="clear" w:color="000000" w:fill="FFFFFF"/>
            <w:noWrap/>
            <w:vAlign w:val="center"/>
            <w:hideMark/>
          </w:tcPr>
          <w:p w14:paraId="41D7EBD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-0.058</w:t>
            </w:r>
          </w:p>
        </w:tc>
        <w:tc>
          <w:tcPr>
            <w:tcW w:w="1180" w:type="dxa"/>
            <w:tcBorders>
              <w:top w:val="nil"/>
              <w:left w:val="nil"/>
              <w:bottom w:val="nil"/>
              <w:right w:val="nil"/>
            </w:tcBorders>
            <w:shd w:val="clear" w:color="000000" w:fill="FFFFFF"/>
            <w:noWrap/>
            <w:vAlign w:val="center"/>
            <w:hideMark/>
          </w:tcPr>
          <w:p w14:paraId="137F393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0.146</w:t>
            </w:r>
          </w:p>
        </w:tc>
        <w:tc>
          <w:tcPr>
            <w:tcW w:w="1520" w:type="dxa"/>
            <w:tcBorders>
              <w:top w:val="nil"/>
              <w:left w:val="nil"/>
              <w:bottom w:val="nil"/>
              <w:right w:val="nil"/>
            </w:tcBorders>
            <w:shd w:val="clear" w:color="000000" w:fill="FFFFFF"/>
            <w:noWrap/>
            <w:vAlign w:val="center"/>
            <w:hideMark/>
          </w:tcPr>
          <w:p w14:paraId="12C225C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-0.031</w:t>
            </w:r>
          </w:p>
        </w:tc>
      </w:tr>
      <w:tr w:rsidR="00A31C1B" w:rsidRPr="00166607" w14:paraId="7493A7AC" w14:textId="77777777" w:rsidTr="002D0FCF">
        <w:trPr>
          <w:trHeight w:val="280"/>
        </w:trPr>
        <w:tc>
          <w:tcPr>
            <w:tcW w:w="3435" w:type="dxa"/>
            <w:tcBorders>
              <w:top w:val="nil"/>
              <w:left w:val="nil"/>
              <w:bottom w:val="nil"/>
              <w:right w:val="nil"/>
            </w:tcBorders>
            <w:shd w:val="clear" w:color="auto" w:fill="auto"/>
            <w:noWrap/>
            <w:vAlign w:val="bottom"/>
            <w:hideMark/>
          </w:tcPr>
          <w:p w14:paraId="21946978" w14:textId="77777777" w:rsidR="00A31C1B" w:rsidRPr="00166607" w:rsidRDefault="00A31C1B" w:rsidP="00A31C1B">
            <w:pPr>
              <w:rPr>
                <w:rFonts w:eastAsia="Times New Roman"/>
                <w:color w:val="000000"/>
                <w:sz w:val="22"/>
                <w:szCs w:val="22"/>
              </w:rPr>
            </w:pPr>
          </w:p>
        </w:tc>
        <w:tc>
          <w:tcPr>
            <w:tcW w:w="1350" w:type="dxa"/>
            <w:tcBorders>
              <w:top w:val="nil"/>
              <w:left w:val="nil"/>
              <w:bottom w:val="nil"/>
              <w:right w:val="nil"/>
            </w:tcBorders>
            <w:shd w:val="clear" w:color="000000" w:fill="FFFFFF"/>
            <w:noWrap/>
            <w:vAlign w:val="center"/>
            <w:hideMark/>
          </w:tcPr>
          <w:p w14:paraId="559EF7B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(0.368)</w:t>
            </w:r>
          </w:p>
        </w:tc>
        <w:tc>
          <w:tcPr>
            <w:tcW w:w="1520" w:type="dxa"/>
            <w:tcBorders>
              <w:top w:val="nil"/>
              <w:left w:val="nil"/>
              <w:bottom w:val="nil"/>
              <w:right w:val="nil"/>
            </w:tcBorders>
            <w:shd w:val="clear" w:color="000000" w:fill="FFFFFF"/>
            <w:noWrap/>
            <w:vAlign w:val="center"/>
            <w:hideMark/>
          </w:tcPr>
          <w:p w14:paraId="4E92CAA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(0.024)**</w:t>
            </w:r>
          </w:p>
        </w:tc>
        <w:tc>
          <w:tcPr>
            <w:tcW w:w="1370" w:type="dxa"/>
            <w:tcBorders>
              <w:top w:val="nil"/>
              <w:left w:val="nil"/>
              <w:bottom w:val="nil"/>
              <w:right w:val="nil"/>
            </w:tcBorders>
            <w:shd w:val="clear" w:color="000000" w:fill="FFFFFF"/>
            <w:noWrap/>
            <w:vAlign w:val="center"/>
            <w:hideMark/>
          </w:tcPr>
          <w:p w14:paraId="70753CF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(0.372)</w:t>
            </w:r>
          </w:p>
        </w:tc>
        <w:tc>
          <w:tcPr>
            <w:tcW w:w="1350" w:type="dxa"/>
            <w:tcBorders>
              <w:top w:val="nil"/>
              <w:left w:val="nil"/>
              <w:bottom w:val="nil"/>
              <w:right w:val="nil"/>
            </w:tcBorders>
            <w:shd w:val="clear" w:color="000000" w:fill="FFFFFF"/>
            <w:noWrap/>
            <w:vAlign w:val="center"/>
            <w:hideMark/>
          </w:tcPr>
          <w:p w14:paraId="5CB0907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(0.033)*</w:t>
            </w:r>
          </w:p>
        </w:tc>
        <w:tc>
          <w:tcPr>
            <w:tcW w:w="1180" w:type="dxa"/>
            <w:tcBorders>
              <w:top w:val="nil"/>
              <w:left w:val="nil"/>
              <w:bottom w:val="nil"/>
              <w:right w:val="nil"/>
            </w:tcBorders>
            <w:shd w:val="clear" w:color="000000" w:fill="FFFFFF"/>
            <w:noWrap/>
            <w:vAlign w:val="center"/>
            <w:hideMark/>
          </w:tcPr>
          <w:p w14:paraId="7CA3230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(0.354)</w:t>
            </w:r>
          </w:p>
        </w:tc>
        <w:tc>
          <w:tcPr>
            <w:tcW w:w="1520" w:type="dxa"/>
            <w:tcBorders>
              <w:top w:val="nil"/>
              <w:left w:val="nil"/>
              <w:bottom w:val="nil"/>
              <w:right w:val="nil"/>
            </w:tcBorders>
            <w:shd w:val="clear" w:color="000000" w:fill="FFFFFF"/>
            <w:noWrap/>
            <w:vAlign w:val="center"/>
            <w:hideMark/>
          </w:tcPr>
          <w:p w14:paraId="1983E92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(0.038)</w:t>
            </w:r>
          </w:p>
        </w:tc>
      </w:tr>
      <w:tr w:rsidR="00A31C1B" w:rsidRPr="00166607" w14:paraId="2B762E13" w14:textId="77777777" w:rsidTr="002D0FCF">
        <w:trPr>
          <w:trHeight w:val="280"/>
        </w:trPr>
        <w:tc>
          <w:tcPr>
            <w:tcW w:w="3435" w:type="dxa"/>
            <w:tcBorders>
              <w:top w:val="nil"/>
              <w:left w:val="nil"/>
              <w:bottom w:val="nil"/>
              <w:right w:val="nil"/>
            </w:tcBorders>
            <w:shd w:val="clear" w:color="000000" w:fill="FFFFFF"/>
            <w:noWrap/>
            <w:vAlign w:val="center"/>
            <w:hideMark/>
          </w:tcPr>
          <w:p w14:paraId="5F946805"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Total number of children</w:t>
            </w:r>
          </w:p>
        </w:tc>
        <w:tc>
          <w:tcPr>
            <w:tcW w:w="1350" w:type="dxa"/>
            <w:tcBorders>
              <w:top w:val="nil"/>
              <w:left w:val="nil"/>
              <w:bottom w:val="nil"/>
              <w:right w:val="nil"/>
            </w:tcBorders>
            <w:shd w:val="clear" w:color="000000" w:fill="FFFFFF"/>
            <w:noWrap/>
            <w:vAlign w:val="center"/>
            <w:hideMark/>
          </w:tcPr>
          <w:p w14:paraId="5B676F71"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0.740</w:t>
            </w:r>
          </w:p>
        </w:tc>
        <w:tc>
          <w:tcPr>
            <w:tcW w:w="1520" w:type="dxa"/>
            <w:tcBorders>
              <w:top w:val="nil"/>
              <w:left w:val="nil"/>
              <w:bottom w:val="nil"/>
              <w:right w:val="nil"/>
            </w:tcBorders>
            <w:shd w:val="clear" w:color="000000" w:fill="FFFFFF"/>
            <w:noWrap/>
            <w:vAlign w:val="center"/>
            <w:hideMark/>
          </w:tcPr>
          <w:p w14:paraId="2A2B23E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-0.061</w:t>
            </w:r>
          </w:p>
        </w:tc>
        <w:tc>
          <w:tcPr>
            <w:tcW w:w="1370" w:type="dxa"/>
            <w:tcBorders>
              <w:top w:val="nil"/>
              <w:left w:val="nil"/>
              <w:bottom w:val="nil"/>
              <w:right w:val="nil"/>
            </w:tcBorders>
            <w:shd w:val="clear" w:color="000000" w:fill="FFFFFF"/>
            <w:noWrap/>
            <w:vAlign w:val="center"/>
            <w:hideMark/>
          </w:tcPr>
          <w:p w14:paraId="540D5DA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0.738</w:t>
            </w:r>
          </w:p>
        </w:tc>
        <w:tc>
          <w:tcPr>
            <w:tcW w:w="1350" w:type="dxa"/>
            <w:tcBorders>
              <w:top w:val="nil"/>
              <w:left w:val="nil"/>
              <w:bottom w:val="nil"/>
              <w:right w:val="nil"/>
            </w:tcBorders>
            <w:shd w:val="clear" w:color="000000" w:fill="FFFFFF"/>
            <w:noWrap/>
            <w:vAlign w:val="center"/>
            <w:hideMark/>
          </w:tcPr>
          <w:p w14:paraId="1FCF0931"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-0.033</w:t>
            </w:r>
          </w:p>
        </w:tc>
        <w:tc>
          <w:tcPr>
            <w:tcW w:w="1180" w:type="dxa"/>
            <w:tcBorders>
              <w:top w:val="nil"/>
              <w:left w:val="nil"/>
              <w:bottom w:val="nil"/>
              <w:right w:val="nil"/>
            </w:tcBorders>
            <w:shd w:val="clear" w:color="000000" w:fill="FFFFFF"/>
            <w:noWrap/>
            <w:vAlign w:val="center"/>
            <w:hideMark/>
          </w:tcPr>
          <w:p w14:paraId="64A06CB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0.679</w:t>
            </w:r>
          </w:p>
        </w:tc>
        <w:tc>
          <w:tcPr>
            <w:tcW w:w="1520" w:type="dxa"/>
            <w:tcBorders>
              <w:top w:val="nil"/>
              <w:left w:val="nil"/>
              <w:bottom w:val="nil"/>
              <w:right w:val="nil"/>
            </w:tcBorders>
            <w:shd w:val="clear" w:color="000000" w:fill="FFFFFF"/>
            <w:noWrap/>
            <w:vAlign w:val="center"/>
            <w:hideMark/>
          </w:tcPr>
          <w:p w14:paraId="7978D451"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0.003</w:t>
            </w:r>
          </w:p>
        </w:tc>
      </w:tr>
      <w:tr w:rsidR="00A31C1B" w:rsidRPr="00166607" w14:paraId="3BA83F96" w14:textId="77777777" w:rsidTr="002D0FCF">
        <w:trPr>
          <w:trHeight w:val="280"/>
        </w:trPr>
        <w:tc>
          <w:tcPr>
            <w:tcW w:w="3435" w:type="dxa"/>
            <w:tcBorders>
              <w:top w:val="nil"/>
              <w:left w:val="nil"/>
              <w:bottom w:val="nil"/>
              <w:right w:val="nil"/>
            </w:tcBorders>
            <w:shd w:val="clear" w:color="000000" w:fill="FFFFFF"/>
            <w:noWrap/>
            <w:vAlign w:val="center"/>
            <w:hideMark/>
          </w:tcPr>
          <w:p w14:paraId="6FD2521C"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noWrap/>
            <w:vAlign w:val="center"/>
            <w:hideMark/>
          </w:tcPr>
          <w:p w14:paraId="72A4F9C0"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(0.939)</w:t>
            </w:r>
          </w:p>
        </w:tc>
        <w:tc>
          <w:tcPr>
            <w:tcW w:w="1520" w:type="dxa"/>
            <w:tcBorders>
              <w:top w:val="nil"/>
              <w:left w:val="nil"/>
              <w:bottom w:val="nil"/>
              <w:right w:val="nil"/>
            </w:tcBorders>
            <w:shd w:val="clear" w:color="000000" w:fill="FFFFFF"/>
            <w:noWrap/>
            <w:vAlign w:val="center"/>
            <w:hideMark/>
          </w:tcPr>
          <w:p w14:paraId="3E0E251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(0.062)</w:t>
            </w:r>
          </w:p>
        </w:tc>
        <w:tc>
          <w:tcPr>
            <w:tcW w:w="1370" w:type="dxa"/>
            <w:tcBorders>
              <w:top w:val="nil"/>
              <w:left w:val="nil"/>
              <w:bottom w:val="nil"/>
              <w:right w:val="nil"/>
            </w:tcBorders>
            <w:shd w:val="clear" w:color="000000" w:fill="FFFFFF"/>
            <w:noWrap/>
            <w:vAlign w:val="center"/>
            <w:hideMark/>
          </w:tcPr>
          <w:p w14:paraId="3FB11A2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(0.926)</w:t>
            </w:r>
          </w:p>
        </w:tc>
        <w:tc>
          <w:tcPr>
            <w:tcW w:w="1350" w:type="dxa"/>
            <w:tcBorders>
              <w:top w:val="nil"/>
              <w:left w:val="nil"/>
              <w:bottom w:val="nil"/>
              <w:right w:val="nil"/>
            </w:tcBorders>
            <w:shd w:val="clear" w:color="000000" w:fill="FFFFFF"/>
            <w:noWrap/>
            <w:vAlign w:val="center"/>
            <w:hideMark/>
          </w:tcPr>
          <w:p w14:paraId="08451241"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(0.086)</w:t>
            </w:r>
          </w:p>
        </w:tc>
        <w:tc>
          <w:tcPr>
            <w:tcW w:w="1180" w:type="dxa"/>
            <w:tcBorders>
              <w:top w:val="nil"/>
              <w:left w:val="nil"/>
              <w:bottom w:val="nil"/>
              <w:right w:val="nil"/>
            </w:tcBorders>
            <w:shd w:val="clear" w:color="000000" w:fill="FFFFFF"/>
            <w:noWrap/>
            <w:vAlign w:val="center"/>
            <w:hideMark/>
          </w:tcPr>
          <w:p w14:paraId="5CD9F10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(0.865)</w:t>
            </w:r>
          </w:p>
        </w:tc>
        <w:tc>
          <w:tcPr>
            <w:tcW w:w="1520" w:type="dxa"/>
            <w:tcBorders>
              <w:top w:val="nil"/>
              <w:left w:val="nil"/>
              <w:bottom w:val="nil"/>
              <w:right w:val="nil"/>
            </w:tcBorders>
            <w:shd w:val="clear" w:color="000000" w:fill="FFFFFF"/>
            <w:noWrap/>
            <w:vAlign w:val="center"/>
            <w:hideMark/>
          </w:tcPr>
          <w:p w14:paraId="3001445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(0.092)</w:t>
            </w:r>
          </w:p>
        </w:tc>
      </w:tr>
      <w:tr w:rsidR="00A31C1B" w:rsidRPr="00166607" w14:paraId="1B9A81E2" w14:textId="77777777" w:rsidTr="002D0FCF">
        <w:trPr>
          <w:trHeight w:val="280"/>
        </w:trPr>
        <w:tc>
          <w:tcPr>
            <w:tcW w:w="3435" w:type="dxa"/>
            <w:tcBorders>
              <w:top w:val="nil"/>
              <w:left w:val="nil"/>
              <w:bottom w:val="nil"/>
              <w:right w:val="nil"/>
            </w:tcBorders>
            <w:shd w:val="clear" w:color="000000" w:fill="FFFFFF"/>
            <w:noWrap/>
            <w:vAlign w:val="center"/>
            <w:hideMark/>
          </w:tcPr>
          <w:p w14:paraId="409C1FE1"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One or more children</w:t>
            </w:r>
          </w:p>
        </w:tc>
        <w:tc>
          <w:tcPr>
            <w:tcW w:w="1350" w:type="dxa"/>
            <w:tcBorders>
              <w:top w:val="nil"/>
              <w:left w:val="nil"/>
              <w:bottom w:val="nil"/>
              <w:right w:val="nil"/>
            </w:tcBorders>
            <w:shd w:val="clear" w:color="000000" w:fill="FFFFFF"/>
            <w:noWrap/>
            <w:vAlign w:val="center"/>
            <w:hideMark/>
          </w:tcPr>
          <w:p w14:paraId="407FD20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0.477</w:t>
            </w:r>
          </w:p>
        </w:tc>
        <w:tc>
          <w:tcPr>
            <w:tcW w:w="1520" w:type="dxa"/>
            <w:tcBorders>
              <w:top w:val="nil"/>
              <w:left w:val="nil"/>
              <w:bottom w:val="nil"/>
              <w:right w:val="nil"/>
            </w:tcBorders>
            <w:shd w:val="clear" w:color="000000" w:fill="FFFFFF"/>
            <w:noWrap/>
            <w:vAlign w:val="center"/>
            <w:hideMark/>
          </w:tcPr>
          <w:p w14:paraId="02A947D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-0.015</w:t>
            </w:r>
          </w:p>
        </w:tc>
        <w:tc>
          <w:tcPr>
            <w:tcW w:w="1370" w:type="dxa"/>
            <w:tcBorders>
              <w:top w:val="nil"/>
              <w:left w:val="nil"/>
              <w:bottom w:val="nil"/>
              <w:right w:val="nil"/>
            </w:tcBorders>
            <w:shd w:val="clear" w:color="000000" w:fill="FFFFFF"/>
            <w:noWrap/>
            <w:vAlign w:val="center"/>
            <w:hideMark/>
          </w:tcPr>
          <w:p w14:paraId="3335A8C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0.476</w:t>
            </w:r>
          </w:p>
        </w:tc>
        <w:tc>
          <w:tcPr>
            <w:tcW w:w="1350" w:type="dxa"/>
            <w:tcBorders>
              <w:top w:val="nil"/>
              <w:left w:val="nil"/>
              <w:bottom w:val="nil"/>
              <w:right w:val="nil"/>
            </w:tcBorders>
            <w:shd w:val="clear" w:color="000000" w:fill="FFFFFF"/>
            <w:noWrap/>
            <w:vAlign w:val="center"/>
            <w:hideMark/>
          </w:tcPr>
          <w:p w14:paraId="2C995B9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-0.022</w:t>
            </w:r>
          </w:p>
        </w:tc>
        <w:tc>
          <w:tcPr>
            <w:tcW w:w="1180" w:type="dxa"/>
            <w:tcBorders>
              <w:top w:val="nil"/>
              <w:left w:val="nil"/>
              <w:bottom w:val="nil"/>
              <w:right w:val="nil"/>
            </w:tcBorders>
            <w:shd w:val="clear" w:color="000000" w:fill="FFFFFF"/>
            <w:noWrap/>
            <w:vAlign w:val="center"/>
            <w:hideMark/>
          </w:tcPr>
          <w:p w14:paraId="125BE3F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0.460</w:t>
            </w:r>
          </w:p>
        </w:tc>
        <w:tc>
          <w:tcPr>
            <w:tcW w:w="1520" w:type="dxa"/>
            <w:tcBorders>
              <w:top w:val="nil"/>
              <w:left w:val="nil"/>
              <w:bottom w:val="nil"/>
              <w:right w:val="nil"/>
            </w:tcBorders>
            <w:shd w:val="clear" w:color="000000" w:fill="FFFFFF"/>
            <w:noWrap/>
            <w:vAlign w:val="center"/>
            <w:hideMark/>
          </w:tcPr>
          <w:p w14:paraId="6A46077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0.020</w:t>
            </w:r>
          </w:p>
        </w:tc>
      </w:tr>
      <w:tr w:rsidR="00A31C1B" w:rsidRPr="00166607" w14:paraId="4C44AF3F" w14:textId="77777777" w:rsidTr="002D0FCF">
        <w:trPr>
          <w:trHeight w:val="280"/>
        </w:trPr>
        <w:tc>
          <w:tcPr>
            <w:tcW w:w="3435" w:type="dxa"/>
            <w:tcBorders>
              <w:top w:val="nil"/>
              <w:left w:val="nil"/>
              <w:bottom w:val="nil"/>
              <w:right w:val="nil"/>
            </w:tcBorders>
            <w:shd w:val="clear" w:color="000000" w:fill="FFFFFF"/>
            <w:noWrap/>
            <w:vAlign w:val="center"/>
            <w:hideMark/>
          </w:tcPr>
          <w:p w14:paraId="1175806A"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noWrap/>
            <w:vAlign w:val="center"/>
            <w:hideMark/>
          </w:tcPr>
          <w:p w14:paraId="63CC16A8"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(0.5)</w:t>
            </w:r>
          </w:p>
        </w:tc>
        <w:tc>
          <w:tcPr>
            <w:tcW w:w="1520" w:type="dxa"/>
            <w:tcBorders>
              <w:top w:val="nil"/>
              <w:left w:val="nil"/>
              <w:bottom w:val="nil"/>
              <w:right w:val="nil"/>
            </w:tcBorders>
            <w:shd w:val="clear" w:color="000000" w:fill="FFFFFF"/>
            <w:noWrap/>
            <w:vAlign w:val="center"/>
            <w:hideMark/>
          </w:tcPr>
          <w:p w14:paraId="278E150E"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(0.034)</w:t>
            </w:r>
          </w:p>
        </w:tc>
        <w:tc>
          <w:tcPr>
            <w:tcW w:w="1370" w:type="dxa"/>
            <w:tcBorders>
              <w:top w:val="nil"/>
              <w:left w:val="nil"/>
              <w:bottom w:val="nil"/>
              <w:right w:val="nil"/>
            </w:tcBorders>
            <w:shd w:val="clear" w:color="000000" w:fill="FFFFFF"/>
            <w:noWrap/>
            <w:vAlign w:val="center"/>
            <w:hideMark/>
          </w:tcPr>
          <w:p w14:paraId="10CA94C1"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(0.501)</w:t>
            </w:r>
          </w:p>
        </w:tc>
        <w:tc>
          <w:tcPr>
            <w:tcW w:w="1350" w:type="dxa"/>
            <w:tcBorders>
              <w:top w:val="nil"/>
              <w:left w:val="nil"/>
              <w:bottom w:val="nil"/>
              <w:right w:val="nil"/>
            </w:tcBorders>
            <w:shd w:val="clear" w:color="000000" w:fill="FFFFFF"/>
            <w:noWrap/>
            <w:vAlign w:val="center"/>
            <w:hideMark/>
          </w:tcPr>
          <w:p w14:paraId="46B95B5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(0.047)</w:t>
            </w:r>
          </w:p>
        </w:tc>
        <w:tc>
          <w:tcPr>
            <w:tcW w:w="1180" w:type="dxa"/>
            <w:tcBorders>
              <w:top w:val="nil"/>
              <w:left w:val="nil"/>
              <w:bottom w:val="nil"/>
              <w:right w:val="nil"/>
            </w:tcBorders>
            <w:shd w:val="clear" w:color="000000" w:fill="FFFFFF"/>
            <w:noWrap/>
            <w:vAlign w:val="center"/>
            <w:hideMark/>
          </w:tcPr>
          <w:p w14:paraId="4FF237C1"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(0.5)</w:t>
            </w:r>
          </w:p>
        </w:tc>
        <w:tc>
          <w:tcPr>
            <w:tcW w:w="1520" w:type="dxa"/>
            <w:tcBorders>
              <w:top w:val="nil"/>
              <w:left w:val="nil"/>
              <w:bottom w:val="nil"/>
              <w:right w:val="nil"/>
            </w:tcBorders>
            <w:shd w:val="clear" w:color="000000" w:fill="FFFFFF"/>
            <w:noWrap/>
            <w:vAlign w:val="center"/>
            <w:hideMark/>
          </w:tcPr>
          <w:p w14:paraId="1A51B97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(0.055)</w:t>
            </w:r>
          </w:p>
        </w:tc>
      </w:tr>
      <w:tr w:rsidR="00A31C1B" w:rsidRPr="00166607" w14:paraId="591CD28E" w14:textId="77777777" w:rsidTr="002D0FCF">
        <w:trPr>
          <w:trHeight w:val="280"/>
        </w:trPr>
        <w:tc>
          <w:tcPr>
            <w:tcW w:w="3435" w:type="dxa"/>
            <w:tcBorders>
              <w:top w:val="nil"/>
              <w:left w:val="nil"/>
              <w:bottom w:val="nil"/>
              <w:right w:val="nil"/>
            </w:tcBorders>
            <w:shd w:val="clear" w:color="000000" w:fill="FFFFFF"/>
            <w:noWrap/>
            <w:vAlign w:val="center"/>
            <w:hideMark/>
          </w:tcPr>
          <w:p w14:paraId="0203D364"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Two or more children</w:t>
            </w:r>
          </w:p>
        </w:tc>
        <w:tc>
          <w:tcPr>
            <w:tcW w:w="1350" w:type="dxa"/>
            <w:tcBorders>
              <w:top w:val="nil"/>
              <w:left w:val="nil"/>
              <w:bottom w:val="nil"/>
              <w:right w:val="nil"/>
            </w:tcBorders>
            <w:shd w:val="clear" w:color="000000" w:fill="FFFFFF"/>
            <w:noWrap/>
            <w:vAlign w:val="center"/>
            <w:hideMark/>
          </w:tcPr>
          <w:p w14:paraId="67D14C1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0.198</w:t>
            </w:r>
          </w:p>
        </w:tc>
        <w:tc>
          <w:tcPr>
            <w:tcW w:w="1520" w:type="dxa"/>
            <w:tcBorders>
              <w:top w:val="nil"/>
              <w:left w:val="nil"/>
              <w:bottom w:val="nil"/>
              <w:right w:val="nil"/>
            </w:tcBorders>
            <w:shd w:val="clear" w:color="000000" w:fill="FFFFFF"/>
            <w:noWrap/>
            <w:vAlign w:val="center"/>
            <w:hideMark/>
          </w:tcPr>
          <w:p w14:paraId="6360E100"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-0.017</w:t>
            </w:r>
          </w:p>
        </w:tc>
        <w:tc>
          <w:tcPr>
            <w:tcW w:w="1370" w:type="dxa"/>
            <w:tcBorders>
              <w:top w:val="nil"/>
              <w:left w:val="nil"/>
              <w:bottom w:val="nil"/>
              <w:right w:val="nil"/>
            </w:tcBorders>
            <w:shd w:val="clear" w:color="000000" w:fill="FFFFFF"/>
            <w:noWrap/>
            <w:vAlign w:val="center"/>
            <w:hideMark/>
          </w:tcPr>
          <w:p w14:paraId="16A4BB42"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0.199</w:t>
            </w:r>
          </w:p>
        </w:tc>
        <w:tc>
          <w:tcPr>
            <w:tcW w:w="1350" w:type="dxa"/>
            <w:tcBorders>
              <w:top w:val="nil"/>
              <w:left w:val="nil"/>
              <w:bottom w:val="nil"/>
              <w:right w:val="nil"/>
            </w:tcBorders>
            <w:shd w:val="clear" w:color="000000" w:fill="FFFFFF"/>
            <w:noWrap/>
            <w:vAlign w:val="center"/>
            <w:hideMark/>
          </w:tcPr>
          <w:p w14:paraId="48B088E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0.008</w:t>
            </w:r>
          </w:p>
        </w:tc>
        <w:tc>
          <w:tcPr>
            <w:tcW w:w="1180" w:type="dxa"/>
            <w:tcBorders>
              <w:top w:val="nil"/>
              <w:left w:val="nil"/>
              <w:bottom w:val="nil"/>
              <w:right w:val="nil"/>
            </w:tcBorders>
            <w:shd w:val="clear" w:color="000000" w:fill="FFFFFF"/>
            <w:noWrap/>
            <w:vAlign w:val="center"/>
            <w:hideMark/>
          </w:tcPr>
          <w:p w14:paraId="3781BD8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0.182</w:t>
            </w:r>
          </w:p>
        </w:tc>
        <w:tc>
          <w:tcPr>
            <w:tcW w:w="1520" w:type="dxa"/>
            <w:tcBorders>
              <w:top w:val="nil"/>
              <w:left w:val="nil"/>
              <w:bottom w:val="nil"/>
              <w:right w:val="nil"/>
            </w:tcBorders>
            <w:shd w:val="clear" w:color="000000" w:fill="FFFFFF"/>
            <w:noWrap/>
            <w:vAlign w:val="center"/>
            <w:hideMark/>
          </w:tcPr>
          <w:p w14:paraId="0751685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-0.013</w:t>
            </w:r>
          </w:p>
        </w:tc>
      </w:tr>
      <w:tr w:rsidR="00A31C1B" w:rsidRPr="00166607" w14:paraId="4D0B0853" w14:textId="77777777" w:rsidTr="002D0FCF">
        <w:trPr>
          <w:trHeight w:val="280"/>
        </w:trPr>
        <w:tc>
          <w:tcPr>
            <w:tcW w:w="3435" w:type="dxa"/>
            <w:tcBorders>
              <w:top w:val="nil"/>
              <w:left w:val="nil"/>
              <w:bottom w:val="nil"/>
              <w:right w:val="nil"/>
            </w:tcBorders>
            <w:shd w:val="clear" w:color="000000" w:fill="FFFFFF"/>
            <w:noWrap/>
            <w:vAlign w:val="center"/>
            <w:hideMark/>
          </w:tcPr>
          <w:p w14:paraId="41C68294"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nil"/>
              <w:right w:val="nil"/>
            </w:tcBorders>
            <w:shd w:val="clear" w:color="000000" w:fill="FFFFFF"/>
            <w:noWrap/>
            <w:vAlign w:val="center"/>
            <w:hideMark/>
          </w:tcPr>
          <w:p w14:paraId="778C3E4E"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(0.399)</w:t>
            </w:r>
          </w:p>
        </w:tc>
        <w:tc>
          <w:tcPr>
            <w:tcW w:w="1520" w:type="dxa"/>
            <w:tcBorders>
              <w:top w:val="nil"/>
              <w:left w:val="nil"/>
              <w:bottom w:val="nil"/>
              <w:right w:val="nil"/>
            </w:tcBorders>
            <w:shd w:val="clear" w:color="000000" w:fill="FFFFFF"/>
            <w:noWrap/>
            <w:vAlign w:val="center"/>
            <w:hideMark/>
          </w:tcPr>
          <w:p w14:paraId="5A3F2EAB"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(0.027)</w:t>
            </w:r>
          </w:p>
        </w:tc>
        <w:tc>
          <w:tcPr>
            <w:tcW w:w="1370" w:type="dxa"/>
            <w:tcBorders>
              <w:top w:val="nil"/>
              <w:left w:val="nil"/>
              <w:bottom w:val="nil"/>
              <w:right w:val="nil"/>
            </w:tcBorders>
            <w:shd w:val="clear" w:color="000000" w:fill="FFFFFF"/>
            <w:noWrap/>
            <w:vAlign w:val="center"/>
            <w:hideMark/>
          </w:tcPr>
          <w:p w14:paraId="44EE4B8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(0.4)</w:t>
            </w:r>
          </w:p>
        </w:tc>
        <w:tc>
          <w:tcPr>
            <w:tcW w:w="1350" w:type="dxa"/>
            <w:tcBorders>
              <w:top w:val="nil"/>
              <w:left w:val="nil"/>
              <w:bottom w:val="nil"/>
              <w:right w:val="nil"/>
            </w:tcBorders>
            <w:shd w:val="clear" w:color="000000" w:fill="FFFFFF"/>
            <w:noWrap/>
            <w:vAlign w:val="center"/>
            <w:hideMark/>
          </w:tcPr>
          <w:p w14:paraId="04D49273"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(0.038)</w:t>
            </w:r>
          </w:p>
        </w:tc>
        <w:tc>
          <w:tcPr>
            <w:tcW w:w="1180" w:type="dxa"/>
            <w:tcBorders>
              <w:top w:val="nil"/>
              <w:left w:val="nil"/>
              <w:bottom w:val="nil"/>
              <w:right w:val="nil"/>
            </w:tcBorders>
            <w:shd w:val="clear" w:color="000000" w:fill="FFFFFF"/>
            <w:noWrap/>
            <w:vAlign w:val="center"/>
            <w:hideMark/>
          </w:tcPr>
          <w:p w14:paraId="6A030AC9"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(0.388)</w:t>
            </w:r>
          </w:p>
        </w:tc>
        <w:tc>
          <w:tcPr>
            <w:tcW w:w="1520" w:type="dxa"/>
            <w:tcBorders>
              <w:top w:val="nil"/>
              <w:left w:val="nil"/>
              <w:bottom w:val="nil"/>
              <w:right w:val="nil"/>
            </w:tcBorders>
            <w:shd w:val="clear" w:color="000000" w:fill="FFFFFF"/>
            <w:noWrap/>
            <w:vAlign w:val="center"/>
            <w:hideMark/>
          </w:tcPr>
          <w:p w14:paraId="11C1A607"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(0.042)</w:t>
            </w:r>
          </w:p>
        </w:tc>
      </w:tr>
      <w:tr w:rsidR="00A31C1B" w:rsidRPr="00166607" w14:paraId="74FB94EE" w14:textId="77777777" w:rsidTr="002D0FCF">
        <w:trPr>
          <w:trHeight w:val="280"/>
        </w:trPr>
        <w:tc>
          <w:tcPr>
            <w:tcW w:w="3435" w:type="dxa"/>
            <w:tcBorders>
              <w:top w:val="nil"/>
              <w:left w:val="nil"/>
              <w:bottom w:val="nil"/>
              <w:right w:val="nil"/>
            </w:tcBorders>
            <w:shd w:val="clear" w:color="000000" w:fill="FFFFFF"/>
            <w:noWrap/>
            <w:vAlign w:val="center"/>
            <w:hideMark/>
          </w:tcPr>
          <w:p w14:paraId="3B4B3151"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Three or more children</w:t>
            </w:r>
          </w:p>
        </w:tc>
        <w:tc>
          <w:tcPr>
            <w:tcW w:w="1350" w:type="dxa"/>
            <w:tcBorders>
              <w:top w:val="nil"/>
              <w:left w:val="nil"/>
              <w:bottom w:val="nil"/>
              <w:right w:val="nil"/>
            </w:tcBorders>
            <w:shd w:val="clear" w:color="000000" w:fill="FFFFFF"/>
            <w:noWrap/>
            <w:vAlign w:val="center"/>
            <w:hideMark/>
          </w:tcPr>
          <w:p w14:paraId="4EAFD01C"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0.051</w:t>
            </w:r>
          </w:p>
        </w:tc>
        <w:tc>
          <w:tcPr>
            <w:tcW w:w="1520" w:type="dxa"/>
            <w:tcBorders>
              <w:top w:val="nil"/>
              <w:left w:val="nil"/>
              <w:bottom w:val="nil"/>
              <w:right w:val="nil"/>
            </w:tcBorders>
            <w:shd w:val="clear" w:color="000000" w:fill="FFFFFF"/>
            <w:noWrap/>
            <w:vAlign w:val="center"/>
            <w:hideMark/>
          </w:tcPr>
          <w:p w14:paraId="49CF9A4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-0.019</w:t>
            </w:r>
          </w:p>
        </w:tc>
        <w:tc>
          <w:tcPr>
            <w:tcW w:w="1370" w:type="dxa"/>
            <w:tcBorders>
              <w:top w:val="nil"/>
              <w:left w:val="nil"/>
              <w:bottom w:val="nil"/>
              <w:right w:val="nil"/>
            </w:tcBorders>
            <w:shd w:val="clear" w:color="000000" w:fill="FFFFFF"/>
            <w:noWrap/>
            <w:vAlign w:val="center"/>
            <w:hideMark/>
          </w:tcPr>
          <w:p w14:paraId="3C5ED3B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0.058</w:t>
            </w:r>
          </w:p>
        </w:tc>
        <w:tc>
          <w:tcPr>
            <w:tcW w:w="1350" w:type="dxa"/>
            <w:tcBorders>
              <w:top w:val="nil"/>
              <w:left w:val="nil"/>
              <w:bottom w:val="nil"/>
              <w:right w:val="nil"/>
            </w:tcBorders>
            <w:shd w:val="clear" w:color="000000" w:fill="FFFFFF"/>
            <w:noWrap/>
            <w:vAlign w:val="center"/>
            <w:hideMark/>
          </w:tcPr>
          <w:p w14:paraId="1CEDBEB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-0.017</w:t>
            </w:r>
          </w:p>
        </w:tc>
        <w:tc>
          <w:tcPr>
            <w:tcW w:w="1180" w:type="dxa"/>
            <w:tcBorders>
              <w:top w:val="nil"/>
              <w:left w:val="nil"/>
              <w:bottom w:val="nil"/>
              <w:right w:val="nil"/>
            </w:tcBorders>
            <w:shd w:val="clear" w:color="000000" w:fill="FFFFFF"/>
            <w:noWrap/>
            <w:vAlign w:val="center"/>
            <w:hideMark/>
          </w:tcPr>
          <w:p w14:paraId="67BB6AFE"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0.029</w:t>
            </w:r>
          </w:p>
        </w:tc>
        <w:tc>
          <w:tcPr>
            <w:tcW w:w="1520" w:type="dxa"/>
            <w:tcBorders>
              <w:top w:val="nil"/>
              <w:left w:val="nil"/>
              <w:bottom w:val="nil"/>
              <w:right w:val="nil"/>
            </w:tcBorders>
            <w:shd w:val="clear" w:color="000000" w:fill="FFFFFF"/>
            <w:noWrap/>
            <w:vAlign w:val="center"/>
            <w:hideMark/>
          </w:tcPr>
          <w:p w14:paraId="1C0488AA"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-0.003</w:t>
            </w:r>
          </w:p>
        </w:tc>
      </w:tr>
      <w:tr w:rsidR="00A31C1B" w:rsidRPr="00166607" w14:paraId="533183E2" w14:textId="77777777" w:rsidTr="002D0FCF">
        <w:trPr>
          <w:trHeight w:val="300"/>
        </w:trPr>
        <w:tc>
          <w:tcPr>
            <w:tcW w:w="3435" w:type="dxa"/>
            <w:tcBorders>
              <w:top w:val="nil"/>
              <w:left w:val="nil"/>
              <w:bottom w:val="double" w:sz="6" w:space="0" w:color="auto"/>
              <w:right w:val="nil"/>
            </w:tcBorders>
            <w:shd w:val="clear" w:color="auto" w:fill="auto"/>
            <w:noWrap/>
            <w:vAlign w:val="center"/>
            <w:hideMark/>
          </w:tcPr>
          <w:p w14:paraId="728D70FC" w14:textId="77777777" w:rsidR="00A31C1B" w:rsidRPr="00166607" w:rsidRDefault="00A31C1B" w:rsidP="00A31C1B">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50" w:type="dxa"/>
            <w:tcBorders>
              <w:top w:val="nil"/>
              <w:left w:val="nil"/>
              <w:bottom w:val="double" w:sz="6" w:space="0" w:color="auto"/>
              <w:right w:val="nil"/>
            </w:tcBorders>
            <w:shd w:val="clear" w:color="000000" w:fill="FFFFFF"/>
            <w:noWrap/>
            <w:vAlign w:val="center"/>
            <w:hideMark/>
          </w:tcPr>
          <w:p w14:paraId="37345D92"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(0.22)</w:t>
            </w:r>
          </w:p>
        </w:tc>
        <w:tc>
          <w:tcPr>
            <w:tcW w:w="1520" w:type="dxa"/>
            <w:tcBorders>
              <w:top w:val="nil"/>
              <w:left w:val="nil"/>
              <w:bottom w:val="double" w:sz="6" w:space="0" w:color="auto"/>
              <w:right w:val="nil"/>
            </w:tcBorders>
            <w:shd w:val="clear" w:color="000000" w:fill="FFFFFF"/>
            <w:noWrap/>
            <w:vAlign w:val="center"/>
            <w:hideMark/>
          </w:tcPr>
          <w:p w14:paraId="6EF684C6"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(0.014)</w:t>
            </w:r>
          </w:p>
        </w:tc>
        <w:tc>
          <w:tcPr>
            <w:tcW w:w="1370" w:type="dxa"/>
            <w:tcBorders>
              <w:top w:val="nil"/>
              <w:left w:val="nil"/>
              <w:bottom w:val="double" w:sz="6" w:space="0" w:color="auto"/>
              <w:right w:val="nil"/>
            </w:tcBorders>
            <w:shd w:val="clear" w:color="000000" w:fill="FFFFFF"/>
            <w:noWrap/>
            <w:vAlign w:val="center"/>
            <w:hideMark/>
          </w:tcPr>
          <w:p w14:paraId="02509EDD"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(0.235)</w:t>
            </w:r>
          </w:p>
        </w:tc>
        <w:tc>
          <w:tcPr>
            <w:tcW w:w="1350" w:type="dxa"/>
            <w:tcBorders>
              <w:top w:val="nil"/>
              <w:left w:val="nil"/>
              <w:bottom w:val="double" w:sz="6" w:space="0" w:color="auto"/>
              <w:right w:val="nil"/>
            </w:tcBorders>
            <w:shd w:val="clear" w:color="000000" w:fill="FFFFFF"/>
            <w:noWrap/>
            <w:vAlign w:val="center"/>
            <w:hideMark/>
          </w:tcPr>
          <w:p w14:paraId="69EB2C5F"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(0.021)</w:t>
            </w:r>
          </w:p>
        </w:tc>
        <w:tc>
          <w:tcPr>
            <w:tcW w:w="1180" w:type="dxa"/>
            <w:tcBorders>
              <w:top w:val="nil"/>
              <w:left w:val="nil"/>
              <w:bottom w:val="double" w:sz="6" w:space="0" w:color="auto"/>
              <w:right w:val="nil"/>
            </w:tcBorders>
            <w:shd w:val="clear" w:color="000000" w:fill="FFFFFF"/>
            <w:noWrap/>
            <w:vAlign w:val="center"/>
            <w:hideMark/>
          </w:tcPr>
          <w:p w14:paraId="7E12192B"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(0.169)</w:t>
            </w:r>
          </w:p>
        </w:tc>
        <w:tc>
          <w:tcPr>
            <w:tcW w:w="1520" w:type="dxa"/>
            <w:tcBorders>
              <w:top w:val="nil"/>
              <w:left w:val="nil"/>
              <w:bottom w:val="double" w:sz="6" w:space="0" w:color="auto"/>
              <w:right w:val="nil"/>
            </w:tcBorders>
            <w:shd w:val="clear" w:color="000000" w:fill="FFFFFF"/>
            <w:noWrap/>
            <w:vAlign w:val="center"/>
            <w:hideMark/>
          </w:tcPr>
          <w:p w14:paraId="175C839B" w14:textId="77777777" w:rsidR="00A31C1B" w:rsidRPr="00166607" w:rsidRDefault="00A31C1B" w:rsidP="00A31C1B">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(0.017)</w:t>
            </w:r>
          </w:p>
        </w:tc>
      </w:tr>
    </w:tbl>
    <w:p w14:paraId="3B9D974E" w14:textId="07F484EA" w:rsidR="00544DF6" w:rsidRPr="00166607" w:rsidRDefault="00544DF6">
      <w:pPr>
        <w:rPr>
          <w:rFonts w:ascii="Times New Roman" w:hAnsi="Times New Roman"/>
          <w:sz w:val="20"/>
          <w:szCs w:val="20"/>
        </w:rPr>
      </w:pPr>
      <w:r w:rsidRPr="00166607">
        <w:rPr>
          <w:rFonts w:ascii="Times New Roman" w:hAnsi="Times New Roman"/>
          <w:i/>
          <w:sz w:val="20"/>
          <w:szCs w:val="20"/>
        </w:rPr>
        <w:t xml:space="preserve">Notes: </w:t>
      </w:r>
      <w:r w:rsidRPr="00166607">
        <w:rPr>
          <w:rFonts w:ascii="Times New Roman" w:hAnsi="Times New Roman"/>
          <w:sz w:val="20"/>
          <w:szCs w:val="20"/>
        </w:rPr>
        <w:t xml:space="preserve">Table reports </w:t>
      </w:r>
      <w:r w:rsidR="00A40FB1" w:rsidRPr="00166607">
        <w:rPr>
          <w:rFonts w:ascii="Times New Roman" w:hAnsi="Times New Roman"/>
          <w:sz w:val="20"/>
          <w:szCs w:val="20"/>
        </w:rPr>
        <w:t>scholarship lottery loser</w:t>
      </w:r>
      <w:r w:rsidRPr="00166607">
        <w:rPr>
          <w:rFonts w:ascii="Times New Roman" w:hAnsi="Times New Roman"/>
          <w:sz w:val="20"/>
          <w:szCs w:val="20"/>
        </w:rPr>
        <w:t>’s means and estimated effects of winning a scholarship fertility outcomes</w:t>
      </w:r>
      <w:r w:rsidR="0072634D" w:rsidRPr="00166607">
        <w:rPr>
          <w:rFonts w:ascii="Times New Roman" w:hAnsi="Times New Roman"/>
          <w:sz w:val="20"/>
          <w:szCs w:val="20"/>
        </w:rPr>
        <w:t xml:space="preserve"> based on SISBEN 2010 data</w:t>
      </w:r>
      <w:r w:rsidRPr="00166607">
        <w:rPr>
          <w:rFonts w:ascii="Times New Roman" w:hAnsi="Times New Roman"/>
          <w:sz w:val="20"/>
          <w:szCs w:val="20"/>
        </w:rPr>
        <w:t>.  Estimates in columns 2,</w:t>
      </w:r>
      <w:r w:rsidR="0072634D" w:rsidRPr="00166607">
        <w:rPr>
          <w:rFonts w:ascii="Times New Roman" w:hAnsi="Times New Roman"/>
          <w:sz w:val="20"/>
          <w:szCs w:val="20"/>
        </w:rPr>
        <w:t xml:space="preserve"> 4</w:t>
      </w:r>
      <w:r w:rsidRPr="00166607">
        <w:rPr>
          <w:rFonts w:ascii="Times New Roman" w:hAnsi="Times New Roman"/>
          <w:sz w:val="20"/>
          <w:szCs w:val="20"/>
        </w:rPr>
        <w:t>,</w:t>
      </w:r>
      <w:r w:rsidR="0072634D" w:rsidRPr="00166607">
        <w:rPr>
          <w:rFonts w:ascii="Times New Roman" w:hAnsi="Times New Roman"/>
          <w:sz w:val="20"/>
          <w:szCs w:val="20"/>
        </w:rPr>
        <w:t xml:space="preserve"> and </w:t>
      </w:r>
      <w:r w:rsidRPr="00166607">
        <w:rPr>
          <w:rFonts w:ascii="Times New Roman" w:hAnsi="Times New Roman"/>
          <w:sz w:val="20"/>
          <w:szCs w:val="20"/>
        </w:rPr>
        <w:t>6</w:t>
      </w:r>
      <w:r w:rsidR="0072634D" w:rsidRPr="00166607">
        <w:rPr>
          <w:rFonts w:ascii="Times New Roman" w:hAnsi="Times New Roman"/>
          <w:sz w:val="20"/>
          <w:szCs w:val="20"/>
        </w:rPr>
        <w:t xml:space="preserve"> </w:t>
      </w:r>
      <w:r w:rsidRPr="00166607">
        <w:rPr>
          <w:rFonts w:ascii="Times New Roman" w:hAnsi="Times New Roman"/>
          <w:sz w:val="20"/>
          <w:szCs w:val="20"/>
        </w:rPr>
        <w:t xml:space="preserve">are from linear probability models. Numbers in parentheses are </w:t>
      </w:r>
      <w:r w:rsidR="0005745E" w:rsidRPr="00166607">
        <w:rPr>
          <w:rFonts w:ascii="Times New Roman" w:hAnsi="Times New Roman"/>
          <w:sz w:val="20"/>
          <w:szCs w:val="20"/>
        </w:rPr>
        <w:t xml:space="preserve">robust </w:t>
      </w:r>
      <w:r w:rsidRPr="00166607">
        <w:rPr>
          <w:rFonts w:ascii="Times New Roman" w:hAnsi="Times New Roman"/>
          <w:sz w:val="20"/>
          <w:szCs w:val="20"/>
        </w:rPr>
        <w:t>standard errors</w:t>
      </w:r>
      <w:r w:rsidR="0072634D" w:rsidRPr="00166607">
        <w:rPr>
          <w:rFonts w:ascii="Times New Roman" w:hAnsi="Times New Roman"/>
          <w:sz w:val="20"/>
          <w:szCs w:val="20"/>
        </w:rPr>
        <w:t xml:space="preserve"> with the exception of total number of children in columns 1, 3 and 5, which are standard deviations of the loser’s mean</w:t>
      </w:r>
      <w:r w:rsidRPr="00166607">
        <w:rPr>
          <w:rFonts w:ascii="Times New Roman" w:hAnsi="Times New Roman"/>
          <w:sz w:val="20"/>
          <w:szCs w:val="20"/>
        </w:rPr>
        <w:t xml:space="preserve">.  Controls include age, male and whether the applicant had a phone number at the </w:t>
      </w:r>
      <w:r w:rsidR="0005745E" w:rsidRPr="00166607">
        <w:rPr>
          <w:rFonts w:ascii="Times New Roman" w:hAnsi="Times New Roman"/>
          <w:sz w:val="20"/>
          <w:szCs w:val="20"/>
        </w:rPr>
        <w:t>time of scholarship application</w:t>
      </w:r>
      <w:r w:rsidRPr="00166607">
        <w:rPr>
          <w:rFonts w:ascii="Times New Roman" w:hAnsi="Times New Roman"/>
          <w:sz w:val="20"/>
          <w:szCs w:val="20"/>
        </w:rPr>
        <w:t>. * significant 10%, ** significant 5%.</w:t>
      </w:r>
    </w:p>
    <w:p w14:paraId="6AED0DC9" w14:textId="2336BF46" w:rsidR="00D617F8" w:rsidRPr="00166607" w:rsidRDefault="00D617F8">
      <w:pPr>
        <w:rPr>
          <w:rFonts w:ascii="Times New Roman" w:hAnsi="Times New Roman"/>
          <w:sz w:val="20"/>
          <w:szCs w:val="20"/>
        </w:rPr>
      </w:pPr>
      <w:r w:rsidRPr="00166607">
        <w:rPr>
          <w:rFonts w:ascii="Times New Roman" w:hAnsi="Times New Roman"/>
          <w:sz w:val="20"/>
          <w:szCs w:val="20"/>
        </w:rPr>
        <w:br w:type="page"/>
      </w:r>
    </w:p>
    <w:p w14:paraId="7DF7B989" w14:textId="7BFE14A5" w:rsidR="00B17530" w:rsidRPr="00166607" w:rsidRDefault="000B1B5E" w:rsidP="000B1B5E">
      <w:pPr>
        <w:rPr>
          <w:rFonts w:ascii="Times New Roman" w:hAnsi="Times New Roman"/>
        </w:rPr>
      </w:pPr>
      <w:r w:rsidRPr="00166607">
        <w:rPr>
          <w:rFonts w:ascii="Times New Roman" w:hAnsi="Times New Roman"/>
          <w:szCs w:val="20"/>
        </w:rPr>
        <w:lastRenderedPageBreak/>
        <w:t xml:space="preserve">Table </w:t>
      </w:r>
      <w:r w:rsidR="00B13EE4" w:rsidRPr="00166607">
        <w:rPr>
          <w:rFonts w:ascii="Times New Roman" w:hAnsi="Times New Roman"/>
          <w:szCs w:val="20"/>
        </w:rPr>
        <w:t>8</w:t>
      </w:r>
      <w:r w:rsidRPr="00166607">
        <w:rPr>
          <w:rFonts w:ascii="Times New Roman" w:hAnsi="Times New Roman"/>
          <w:szCs w:val="20"/>
        </w:rPr>
        <w:t>.</w:t>
      </w:r>
      <w:r w:rsidRPr="00166607">
        <w:rPr>
          <w:rFonts w:ascii="Times New Roman" w:hAnsi="Times New Roman"/>
          <w:sz w:val="20"/>
          <w:szCs w:val="20"/>
        </w:rPr>
        <w:t xml:space="preserve">  </w:t>
      </w:r>
      <w:r w:rsidRPr="00166607">
        <w:rPr>
          <w:rFonts w:ascii="Times New Roman" w:hAnsi="Times New Roman"/>
        </w:rPr>
        <w:t>Fiscal impacts of scholarships</w:t>
      </w:r>
    </w:p>
    <w:tbl>
      <w:tblPr>
        <w:tblW w:w="12975" w:type="dxa"/>
        <w:tblInd w:w="93" w:type="dxa"/>
        <w:tblLayout w:type="fixed"/>
        <w:tblLook w:val="04A0" w:firstRow="1" w:lastRow="0" w:firstColumn="1" w:lastColumn="0" w:noHBand="0" w:noVBand="1"/>
      </w:tblPr>
      <w:tblGrid>
        <w:gridCol w:w="640"/>
        <w:gridCol w:w="1985"/>
        <w:gridCol w:w="980"/>
        <w:gridCol w:w="1450"/>
        <w:gridCol w:w="960"/>
        <w:gridCol w:w="1650"/>
        <w:gridCol w:w="940"/>
        <w:gridCol w:w="1580"/>
        <w:gridCol w:w="2790"/>
      </w:tblGrid>
      <w:tr w:rsidR="00FC6056" w:rsidRPr="00166607" w14:paraId="6C3A85B5" w14:textId="77777777" w:rsidTr="00FC6056">
        <w:trPr>
          <w:trHeight w:val="140"/>
        </w:trPr>
        <w:tc>
          <w:tcPr>
            <w:tcW w:w="640" w:type="dxa"/>
            <w:tcBorders>
              <w:top w:val="nil"/>
              <w:left w:val="nil"/>
              <w:bottom w:val="nil"/>
              <w:right w:val="nil"/>
            </w:tcBorders>
            <w:shd w:val="clear" w:color="auto" w:fill="auto"/>
            <w:noWrap/>
            <w:vAlign w:val="bottom"/>
            <w:hideMark/>
          </w:tcPr>
          <w:p w14:paraId="54C9C79E" w14:textId="77777777" w:rsidR="00FC6056" w:rsidRPr="00166607" w:rsidRDefault="00FC6056" w:rsidP="00FC6056">
            <w:pPr>
              <w:rPr>
                <w:rFonts w:ascii="Calibri" w:eastAsia="Times New Roman" w:hAnsi="Calibri"/>
                <w:color w:val="000000"/>
                <w:sz w:val="22"/>
                <w:szCs w:val="22"/>
              </w:rPr>
            </w:pPr>
          </w:p>
        </w:tc>
        <w:tc>
          <w:tcPr>
            <w:tcW w:w="1985" w:type="dxa"/>
            <w:tcBorders>
              <w:top w:val="nil"/>
              <w:left w:val="nil"/>
              <w:bottom w:val="nil"/>
              <w:right w:val="nil"/>
            </w:tcBorders>
            <w:shd w:val="clear" w:color="auto" w:fill="auto"/>
            <w:noWrap/>
            <w:vAlign w:val="bottom"/>
            <w:hideMark/>
          </w:tcPr>
          <w:p w14:paraId="5BFBE99D" w14:textId="77777777" w:rsidR="00FC6056" w:rsidRPr="00166607" w:rsidRDefault="00FC6056" w:rsidP="00FC6056">
            <w:pPr>
              <w:rPr>
                <w:rFonts w:ascii="Calibri" w:eastAsia="Times New Roman" w:hAnsi="Calibri"/>
                <w:color w:val="000000"/>
                <w:sz w:val="22"/>
                <w:szCs w:val="22"/>
              </w:rPr>
            </w:pPr>
          </w:p>
        </w:tc>
        <w:tc>
          <w:tcPr>
            <w:tcW w:w="980" w:type="dxa"/>
            <w:tcBorders>
              <w:top w:val="nil"/>
              <w:left w:val="nil"/>
              <w:bottom w:val="nil"/>
              <w:right w:val="nil"/>
            </w:tcBorders>
            <w:shd w:val="clear" w:color="auto" w:fill="auto"/>
            <w:noWrap/>
            <w:vAlign w:val="bottom"/>
            <w:hideMark/>
          </w:tcPr>
          <w:p w14:paraId="6A3E177B" w14:textId="77777777" w:rsidR="00FC6056" w:rsidRPr="00166607" w:rsidRDefault="00FC6056" w:rsidP="00FC6056">
            <w:pPr>
              <w:rPr>
                <w:rFonts w:ascii="Calibri" w:eastAsia="Times New Roman" w:hAnsi="Calibri"/>
                <w:color w:val="000000"/>
                <w:sz w:val="22"/>
                <w:szCs w:val="22"/>
              </w:rPr>
            </w:pPr>
          </w:p>
        </w:tc>
        <w:tc>
          <w:tcPr>
            <w:tcW w:w="1450" w:type="dxa"/>
            <w:tcBorders>
              <w:top w:val="nil"/>
              <w:left w:val="nil"/>
              <w:bottom w:val="nil"/>
              <w:right w:val="nil"/>
            </w:tcBorders>
            <w:shd w:val="clear" w:color="auto" w:fill="auto"/>
            <w:noWrap/>
            <w:vAlign w:val="bottom"/>
            <w:hideMark/>
          </w:tcPr>
          <w:p w14:paraId="6B17B5A7" w14:textId="77777777" w:rsidR="00FC6056" w:rsidRPr="00166607" w:rsidRDefault="00FC6056" w:rsidP="00FC6056">
            <w:pPr>
              <w:rPr>
                <w:rFonts w:ascii="Calibri" w:eastAsia="Times New Roman" w:hAnsi="Calibri"/>
                <w:color w:val="000000"/>
                <w:sz w:val="22"/>
                <w:szCs w:val="22"/>
              </w:rPr>
            </w:pPr>
          </w:p>
        </w:tc>
        <w:tc>
          <w:tcPr>
            <w:tcW w:w="960" w:type="dxa"/>
            <w:tcBorders>
              <w:top w:val="nil"/>
              <w:left w:val="nil"/>
              <w:bottom w:val="nil"/>
              <w:right w:val="nil"/>
            </w:tcBorders>
            <w:shd w:val="clear" w:color="auto" w:fill="auto"/>
            <w:noWrap/>
            <w:vAlign w:val="bottom"/>
            <w:hideMark/>
          </w:tcPr>
          <w:p w14:paraId="07A0BE0F" w14:textId="77777777" w:rsidR="00FC6056" w:rsidRPr="00166607" w:rsidRDefault="00FC6056" w:rsidP="00FC6056">
            <w:pPr>
              <w:jc w:val="center"/>
              <w:rPr>
                <w:rFonts w:ascii="Calibri" w:eastAsia="Times New Roman" w:hAnsi="Calibri"/>
                <w:color w:val="000000"/>
                <w:sz w:val="22"/>
                <w:szCs w:val="22"/>
              </w:rPr>
            </w:pPr>
          </w:p>
        </w:tc>
        <w:tc>
          <w:tcPr>
            <w:tcW w:w="1650" w:type="dxa"/>
            <w:tcBorders>
              <w:top w:val="nil"/>
              <w:left w:val="nil"/>
              <w:bottom w:val="nil"/>
              <w:right w:val="nil"/>
            </w:tcBorders>
            <w:shd w:val="clear" w:color="auto" w:fill="auto"/>
            <w:noWrap/>
            <w:vAlign w:val="bottom"/>
            <w:hideMark/>
          </w:tcPr>
          <w:p w14:paraId="3CA7F8A0" w14:textId="77777777" w:rsidR="00FC6056" w:rsidRPr="00166607" w:rsidRDefault="00FC6056" w:rsidP="00FC6056">
            <w:pPr>
              <w:rPr>
                <w:rFonts w:ascii="Calibri" w:eastAsia="Times New Roman" w:hAnsi="Calibri"/>
                <w:color w:val="000000"/>
                <w:sz w:val="22"/>
                <w:szCs w:val="22"/>
              </w:rPr>
            </w:pPr>
          </w:p>
        </w:tc>
        <w:tc>
          <w:tcPr>
            <w:tcW w:w="940" w:type="dxa"/>
            <w:tcBorders>
              <w:top w:val="nil"/>
              <w:left w:val="nil"/>
              <w:bottom w:val="nil"/>
              <w:right w:val="nil"/>
            </w:tcBorders>
            <w:shd w:val="clear" w:color="auto" w:fill="auto"/>
            <w:noWrap/>
            <w:vAlign w:val="bottom"/>
            <w:hideMark/>
          </w:tcPr>
          <w:p w14:paraId="12F9EE4A" w14:textId="77777777" w:rsidR="00FC6056" w:rsidRPr="00166607" w:rsidRDefault="00FC6056" w:rsidP="00FC6056">
            <w:pPr>
              <w:jc w:val="center"/>
              <w:rPr>
                <w:rFonts w:ascii="Calibri" w:eastAsia="Times New Roman" w:hAnsi="Calibri"/>
                <w:color w:val="000000"/>
                <w:sz w:val="22"/>
                <w:szCs w:val="22"/>
              </w:rPr>
            </w:pPr>
          </w:p>
        </w:tc>
        <w:tc>
          <w:tcPr>
            <w:tcW w:w="1580" w:type="dxa"/>
            <w:tcBorders>
              <w:top w:val="nil"/>
              <w:left w:val="nil"/>
              <w:bottom w:val="nil"/>
              <w:right w:val="nil"/>
            </w:tcBorders>
            <w:shd w:val="clear" w:color="auto" w:fill="auto"/>
            <w:noWrap/>
            <w:vAlign w:val="bottom"/>
            <w:hideMark/>
          </w:tcPr>
          <w:p w14:paraId="19375065" w14:textId="77777777" w:rsidR="00FC6056" w:rsidRPr="00166607" w:rsidRDefault="00FC6056" w:rsidP="00FC6056">
            <w:pPr>
              <w:rPr>
                <w:rFonts w:ascii="Calibri" w:eastAsia="Times New Roman" w:hAnsi="Calibri"/>
                <w:color w:val="000000"/>
                <w:sz w:val="22"/>
                <w:szCs w:val="22"/>
              </w:rPr>
            </w:pPr>
          </w:p>
        </w:tc>
        <w:tc>
          <w:tcPr>
            <w:tcW w:w="2790" w:type="dxa"/>
            <w:tcBorders>
              <w:top w:val="nil"/>
              <w:left w:val="nil"/>
              <w:bottom w:val="nil"/>
              <w:right w:val="nil"/>
            </w:tcBorders>
            <w:shd w:val="clear" w:color="auto" w:fill="auto"/>
            <w:noWrap/>
            <w:vAlign w:val="bottom"/>
            <w:hideMark/>
          </w:tcPr>
          <w:p w14:paraId="7A13FF6A" w14:textId="77777777" w:rsidR="00FC6056" w:rsidRPr="00166607" w:rsidRDefault="00FC6056" w:rsidP="00FC6056">
            <w:pPr>
              <w:rPr>
                <w:rFonts w:ascii="Calibri" w:eastAsia="Times New Roman" w:hAnsi="Calibri"/>
                <w:color w:val="000000"/>
                <w:sz w:val="22"/>
                <w:szCs w:val="22"/>
              </w:rPr>
            </w:pPr>
          </w:p>
        </w:tc>
      </w:tr>
      <w:tr w:rsidR="00FC6056" w:rsidRPr="00166607" w14:paraId="0E7B5266" w14:textId="77777777" w:rsidTr="00FC6056">
        <w:trPr>
          <w:trHeight w:val="495"/>
        </w:trPr>
        <w:tc>
          <w:tcPr>
            <w:tcW w:w="640" w:type="dxa"/>
            <w:tcBorders>
              <w:top w:val="double" w:sz="6" w:space="0" w:color="auto"/>
              <w:left w:val="nil"/>
              <w:bottom w:val="nil"/>
              <w:right w:val="nil"/>
            </w:tcBorders>
            <w:shd w:val="clear" w:color="000000" w:fill="FFFFFF"/>
            <w:vAlign w:val="center"/>
            <w:hideMark/>
          </w:tcPr>
          <w:p w14:paraId="1C2868DE"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1985" w:type="dxa"/>
            <w:tcBorders>
              <w:top w:val="double" w:sz="6" w:space="0" w:color="auto"/>
              <w:left w:val="nil"/>
              <w:bottom w:val="nil"/>
              <w:right w:val="nil"/>
            </w:tcBorders>
            <w:shd w:val="clear" w:color="000000" w:fill="FFFFFF"/>
            <w:vAlign w:val="center"/>
            <w:hideMark/>
          </w:tcPr>
          <w:p w14:paraId="554BC6B8"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2430" w:type="dxa"/>
            <w:gridSpan w:val="2"/>
            <w:tcBorders>
              <w:top w:val="double" w:sz="6" w:space="0" w:color="auto"/>
              <w:left w:val="nil"/>
              <w:bottom w:val="nil"/>
              <w:right w:val="nil"/>
            </w:tcBorders>
            <w:shd w:val="clear" w:color="000000" w:fill="FFFFFF"/>
            <w:vAlign w:val="center"/>
            <w:hideMark/>
          </w:tcPr>
          <w:p w14:paraId="571351EA"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All Applicants</w:t>
            </w:r>
          </w:p>
        </w:tc>
        <w:tc>
          <w:tcPr>
            <w:tcW w:w="2610" w:type="dxa"/>
            <w:gridSpan w:val="2"/>
            <w:tcBorders>
              <w:top w:val="double" w:sz="6" w:space="0" w:color="auto"/>
              <w:left w:val="nil"/>
              <w:bottom w:val="nil"/>
              <w:right w:val="nil"/>
            </w:tcBorders>
            <w:shd w:val="clear" w:color="000000" w:fill="FFFFFF"/>
            <w:vAlign w:val="center"/>
            <w:hideMark/>
          </w:tcPr>
          <w:p w14:paraId="1B3A6C61"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Academic School Applicants</w:t>
            </w:r>
          </w:p>
        </w:tc>
        <w:tc>
          <w:tcPr>
            <w:tcW w:w="2520" w:type="dxa"/>
            <w:gridSpan w:val="2"/>
            <w:tcBorders>
              <w:top w:val="double" w:sz="6" w:space="0" w:color="auto"/>
              <w:left w:val="nil"/>
              <w:bottom w:val="nil"/>
              <w:right w:val="nil"/>
            </w:tcBorders>
            <w:shd w:val="clear" w:color="000000" w:fill="FFFFFF"/>
            <w:vAlign w:val="center"/>
            <w:hideMark/>
          </w:tcPr>
          <w:p w14:paraId="2B5C8E12"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Vocational School Applicants</w:t>
            </w:r>
          </w:p>
        </w:tc>
        <w:tc>
          <w:tcPr>
            <w:tcW w:w="2790" w:type="dxa"/>
            <w:tcBorders>
              <w:top w:val="double" w:sz="6" w:space="0" w:color="auto"/>
              <w:left w:val="nil"/>
              <w:bottom w:val="nil"/>
              <w:right w:val="nil"/>
            </w:tcBorders>
            <w:shd w:val="clear" w:color="000000" w:fill="FFFFFF"/>
            <w:vAlign w:val="center"/>
            <w:hideMark/>
          </w:tcPr>
          <w:p w14:paraId="18C3114C"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Notes</w:t>
            </w:r>
          </w:p>
        </w:tc>
      </w:tr>
      <w:tr w:rsidR="00FC6056" w:rsidRPr="00166607" w14:paraId="2378EBED" w14:textId="77777777" w:rsidTr="00FC6056">
        <w:trPr>
          <w:trHeight w:val="300"/>
        </w:trPr>
        <w:tc>
          <w:tcPr>
            <w:tcW w:w="640" w:type="dxa"/>
            <w:tcBorders>
              <w:top w:val="nil"/>
              <w:left w:val="nil"/>
              <w:bottom w:val="nil"/>
              <w:right w:val="nil"/>
            </w:tcBorders>
            <w:shd w:val="clear" w:color="000000" w:fill="FFFFFF"/>
            <w:vAlign w:val="center"/>
            <w:hideMark/>
          </w:tcPr>
          <w:p w14:paraId="2C14D8F7"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1985" w:type="dxa"/>
            <w:tcBorders>
              <w:top w:val="nil"/>
              <w:left w:val="nil"/>
              <w:bottom w:val="nil"/>
              <w:right w:val="nil"/>
            </w:tcBorders>
            <w:shd w:val="clear" w:color="000000" w:fill="FFFFFF"/>
            <w:vAlign w:val="center"/>
            <w:hideMark/>
          </w:tcPr>
          <w:p w14:paraId="36D44144"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980" w:type="dxa"/>
            <w:tcBorders>
              <w:top w:val="nil"/>
              <w:left w:val="nil"/>
              <w:bottom w:val="nil"/>
              <w:right w:val="nil"/>
            </w:tcBorders>
            <w:shd w:val="clear" w:color="000000" w:fill="FFFFFF"/>
            <w:vAlign w:val="center"/>
            <w:hideMark/>
          </w:tcPr>
          <w:p w14:paraId="07D896C3"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Estimate</w:t>
            </w:r>
          </w:p>
        </w:tc>
        <w:tc>
          <w:tcPr>
            <w:tcW w:w="1450" w:type="dxa"/>
            <w:tcBorders>
              <w:top w:val="nil"/>
              <w:left w:val="nil"/>
              <w:bottom w:val="nil"/>
              <w:right w:val="nil"/>
            </w:tcBorders>
            <w:shd w:val="clear" w:color="000000" w:fill="FFFFFF"/>
            <w:vAlign w:val="center"/>
            <w:hideMark/>
          </w:tcPr>
          <w:p w14:paraId="1B1C6E24"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90% C.I.</w:t>
            </w:r>
          </w:p>
        </w:tc>
        <w:tc>
          <w:tcPr>
            <w:tcW w:w="960" w:type="dxa"/>
            <w:tcBorders>
              <w:top w:val="nil"/>
              <w:left w:val="nil"/>
              <w:bottom w:val="nil"/>
              <w:right w:val="nil"/>
            </w:tcBorders>
            <w:shd w:val="clear" w:color="000000" w:fill="FFFFFF"/>
            <w:vAlign w:val="center"/>
            <w:hideMark/>
          </w:tcPr>
          <w:p w14:paraId="2CBA1081"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Estimate</w:t>
            </w:r>
          </w:p>
        </w:tc>
        <w:tc>
          <w:tcPr>
            <w:tcW w:w="1650" w:type="dxa"/>
            <w:tcBorders>
              <w:top w:val="nil"/>
              <w:left w:val="nil"/>
              <w:bottom w:val="nil"/>
              <w:right w:val="nil"/>
            </w:tcBorders>
            <w:shd w:val="clear" w:color="000000" w:fill="FFFFFF"/>
            <w:vAlign w:val="center"/>
            <w:hideMark/>
          </w:tcPr>
          <w:p w14:paraId="7917EBE4"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90% C.I.</w:t>
            </w:r>
          </w:p>
        </w:tc>
        <w:tc>
          <w:tcPr>
            <w:tcW w:w="940" w:type="dxa"/>
            <w:tcBorders>
              <w:top w:val="nil"/>
              <w:left w:val="nil"/>
              <w:bottom w:val="nil"/>
              <w:right w:val="nil"/>
            </w:tcBorders>
            <w:shd w:val="clear" w:color="000000" w:fill="FFFFFF"/>
            <w:vAlign w:val="center"/>
            <w:hideMark/>
          </w:tcPr>
          <w:p w14:paraId="25C19186"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Estimate</w:t>
            </w:r>
          </w:p>
        </w:tc>
        <w:tc>
          <w:tcPr>
            <w:tcW w:w="1580" w:type="dxa"/>
            <w:tcBorders>
              <w:top w:val="nil"/>
              <w:left w:val="nil"/>
              <w:bottom w:val="nil"/>
              <w:right w:val="nil"/>
            </w:tcBorders>
            <w:shd w:val="clear" w:color="000000" w:fill="FFFFFF"/>
            <w:vAlign w:val="center"/>
            <w:hideMark/>
          </w:tcPr>
          <w:p w14:paraId="0DF899B9"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90% C.I.</w:t>
            </w:r>
          </w:p>
        </w:tc>
        <w:tc>
          <w:tcPr>
            <w:tcW w:w="2790" w:type="dxa"/>
            <w:tcBorders>
              <w:top w:val="nil"/>
              <w:left w:val="nil"/>
              <w:bottom w:val="nil"/>
              <w:right w:val="nil"/>
            </w:tcBorders>
            <w:shd w:val="clear" w:color="000000" w:fill="FFFFFF"/>
            <w:vAlign w:val="center"/>
            <w:hideMark/>
          </w:tcPr>
          <w:p w14:paraId="152E1218"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r>
      <w:tr w:rsidR="00FC6056" w:rsidRPr="00166607" w14:paraId="3B6F1C0D" w14:textId="77777777" w:rsidTr="00FC6056">
        <w:trPr>
          <w:trHeight w:val="300"/>
        </w:trPr>
        <w:tc>
          <w:tcPr>
            <w:tcW w:w="640" w:type="dxa"/>
            <w:tcBorders>
              <w:top w:val="single" w:sz="8" w:space="0" w:color="auto"/>
              <w:left w:val="nil"/>
              <w:bottom w:val="single" w:sz="8" w:space="0" w:color="auto"/>
              <w:right w:val="nil"/>
            </w:tcBorders>
            <w:shd w:val="clear" w:color="000000" w:fill="FFFFFF"/>
            <w:vAlign w:val="center"/>
            <w:hideMark/>
          </w:tcPr>
          <w:p w14:paraId="70FFA854"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Row #</w:t>
            </w:r>
          </w:p>
        </w:tc>
        <w:tc>
          <w:tcPr>
            <w:tcW w:w="1985" w:type="dxa"/>
            <w:tcBorders>
              <w:top w:val="single" w:sz="8" w:space="0" w:color="auto"/>
              <w:left w:val="nil"/>
              <w:bottom w:val="single" w:sz="8" w:space="0" w:color="auto"/>
              <w:right w:val="nil"/>
            </w:tcBorders>
            <w:shd w:val="clear" w:color="000000" w:fill="FFFFFF"/>
            <w:vAlign w:val="center"/>
            <w:hideMark/>
          </w:tcPr>
          <w:p w14:paraId="1AE9986D"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A. Government Costs</w:t>
            </w:r>
          </w:p>
        </w:tc>
        <w:tc>
          <w:tcPr>
            <w:tcW w:w="980" w:type="dxa"/>
            <w:tcBorders>
              <w:top w:val="single" w:sz="8" w:space="0" w:color="auto"/>
              <w:left w:val="nil"/>
              <w:bottom w:val="single" w:sz="8" w:space="0" w:color="auto"/>
              <w:right w:val="nil"/>
            </w:tcBorders>
            <w:shd w:val="clear" w:color="000000" w:fill="FFFFFF"/>
            <w:vAlign w:val="center"/>
            <w:hideMark/>
          </w:tcPr>
          <w:p w14:paraId="0E895575"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1450" w:type="dxa"/>
            <w:tcBorders>
              <w:top w:val="single" w:sz="8" w:space="0" w:color="auto"/>
              <w:left w:val="nil"/>
              <w:bottom w:val="single" w:sz="8" w:space="0" w:color="auto"/>
              <w:right w:val="nil"/>
            </w:tcBorders>
            <w:shd w:val="clear" w:color="000000" w:fill="FFFFFF"/>
            <w:vAlign w:val="center"/>
            <w:hideMark/>
          </w:tcPr>
          <w:p w14:paraId="45A02466"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960" w:type="dxa"/>
            <w:tcBorders>
              <w:top w:val="single" w:sz="8" w:space="0" w:color="auto"/>
              <w:left w:val="nil"/>
              <w:bottom w:val="single" w:sz="8" w:space="0" w:color="auto"/>
              <w:right w:val="nil"/>
            </w:tcBorders>
            <w:shd w:val="clear" w:color="000000" w:fill="FFFFFF"/>
            <w:vAlign w:val="center"/>
            <w:hideMark/>
          </w:tcPr>
          <w:p w14:paraId="2BA12E0E"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1650" w:type="dxa"/>
            <w:tcBorders>
              <w:top w:val="single" w:sz="8" w:space="0" w:color="auto"/>
              <w:left w:val="nil"/>
              <w:bottom w:val="single" w:sz="8" w:space="0" w:color="auto"/>
              <w:right w:val="nil"/>
            </w:tcBorders>
            <w:shd w:val="clear" w:color="000000" w:fill="FFFFFF"/>
            <w:vAlign w:val="center"/>
            <w:hideMark/>
          </w:tcPr>
          <w:p w14:paraId="6170901F"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940" w:type="dxa"/>
            <w:tcBorders>
              <w:top w:val="single" w:sz="8" w:space="0" w:color="auto"/>
              <w:left w:val="nil"/>
              <w:bottom w:val="single" w:sz="8" w:space="0" w:color="auto"/>
              <w:right w:val="nil"/>
            </w:tcBorders>
            <w:shd w:val="clear" w:color="000000" w:fill="FFFFFF"/>
            <w:vAlign w:val="center"/>
            <w:hideMark/>
          </w:tcPr>
          <w:p w14:paraId="3655E894"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1580" w:type="dxa"/>
            <w:tcBorders>
              <w:top w:val="single" w:sz="8" w:space="0" w:color="auto"/>
              <w:left w:val="nil"/>
              <w:bottom w:val="single" w:sz="8" w:space="0" w:color="auto"/>
              <w:right w:val="nil"/>
            </w:tcBorders>
            <w:shd w:val="clear" w:color="000000" w:fill="FFFFFF"/>
            <w:vAlign w:val="center"/>
            <w:hideMark/>
          </w:tcPr>
          <w:p w14:paraId="18C83E26"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2790" w:type="dxa"/>
            <w:tcBorders>
              <w:top w:val="single" w:sz="8" w:space="0" w:color="auto"/>
              <w:left w:val="nil"/>
              <w:bottom w:val="single" w:sz="8" w:space="0" w:color="auto"/>
              <w:right w:val="nil"/>
            </w:tcBorders>
            <w:shd w:val="clear" w:color="000000" w:fill="FFFFFF"/>
            <w:vAlign w:val="center"/>
            <w:hideMark/>
          </w:tcPr>
          <w:p w14:paraId="5504FD1D"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r>
      <w:tr w:rsidR="00FC6056" w:rsidRPr="00166607" w14:paraId="3470C2B4" w14:textId="77777777" w:rsidTr="00FC6056">
        <w:trPr>
          <w:trHeight w:val="300"/>
        </w:trPr>
        <w:tc>
          <w:tcPr>
            <w:tcW w:w="640" w:type="dxa"/>
            <w:tcBorders>
              <w:top w:val="nil"/>
              <w:left w:val="nil"/>
              <w:bottom w:val="nil"/>
              <w:right w:val="nil"/>
            </w:tcBorders>
            <w:shd w:val="clear" w:color="000000" w:fill="FFFFFF"/>
            <w:noWrap/>
            <w:vAlign w:val="center"/>
            <w:hideMark/>
          </w:tcPr>
          <w:p w14:paraId="3093E262" w14:textId="77777777" w:rsidR="00FC6056" w:rsidRPr="00166607" w:rsidRDefault="00FC6056" w:rsidP="00FC6056">
            <w:pPr>
              <w:jc w:val="center"/>
              <w:rPr>
                <w:rFonts w:ascii="Times New Roman" w:eastAsia="Times New Roman" w:hAnsi="Times New Roman"/>
                <w:color w:val="000000"/>
              </w:rPr>
            </w:pPr>
            <w:r w:rsidRPr="00166607">
              <w:rPr>
                <w:rFonts w:ascii="Times New Roman" w:eastAsia="Times New Roman" w:hAnsi="Times New Roman"/>
                <w:color w:val="000000"/>
              </w:rPr>
              <w:t> </w:t>
            </w:r>
          </w:p>
        </w:tc>
        <w:tc>
          <w:tcPr>
            <w:tcW w:w="1985" w:type="dxa"/>
            <w:tcBorders>
              <w:top w:val="nil"/>
              <w:left w:val="nil"/>
              <w:bottom w:val="nil"/>
              <w:right w:val="nil"/>
            </w:tcBorders>
            <w:shd w:val="clear" w:color="000000" w:fill="FFFFFF"/>
            <w:vAlign w:val="center"/>
            <w:hideMark/>
          </w:tcPr>
          <w:p w14:paraId="3460A444"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Secondary Education Costs</w:t>
            </w:r>
          </w:p>
        </w:tc>
        <w:tc>
          <w:tcPr>
            <w:tcW w:w="980" w:type="dxa"/>
            <w:tcBorders>
              <w:top w:val="nil"/>
              <w:left w:val="nil"/>
              <w:bottom w:val="nil"/>
              <w:right w:val="nil"/>
            </w:tcBorders>
            <w:shd w:val="clear" w:color="000000" w:fill="FFFFFF"/>
            <w:vAlign w:val="center"/>
            <w:hideMark/>
          </w:tcPr>
          <w:p w14:paraId="7A8A964C"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1450" w:type="dxa"/>
            <w:tcBorders>
              <w:top w:val="nil"/>
              <w:left w:val="nil"/>
              <w:bottom w:val="nil"/>
              <w:right w:val="nil"/>
            </w:tcBorders>
            <w:shd w:val="clear" w:color="000000" w:fill="FFFFFF"/>
            <w:vAlign w:val="center"/>
            <w:hideMark/>
          </w:tcPr>
          <w:p w14:paraId="31B4DA65"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960" w:type="dxa"/>
            <w:tcBorders>
              <w:top w:val="nil"/>
              <w:left w:val="nil"/>
              <w:bottom w:val="nil"/>
              <w:right w:val="nil"/>
            </w:tcBorders>
            <w:shd w:val="clear" w:color="000000" w:fill="FFFFFF"/>
            <w:vAlign w:val="center"/>
            <w:hideMark/>
          </w:tcPr>
          <w:p w14:paraId="022B270B"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1650" w:type="dxa"/>
            <w:tcBorders>
              <w:top w:val="nil"/>
              <w:left w:val="nil"/>
              <w:bottom w:val="nil"/>
              <w:right w:val="nil"/>
            </w:tcBorders>
            <w:shd w:val="clear" w:color="000000" w:fill="FFFFFF"/>
            <w:vAlign w:val="center"/>
            <w:hideMark/>
          </w:tcPr>
          <w:p w14:paraId="4C857603"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940" w:type="dxa"/>
            <w:tcBorders>
              <w:top w:val="nil"/>
              <w:left w:val="nil"/>
              <w:bottom w:val="nil"/>
              <w:right w:val="nil"/>
            </w:tcBorders>
            <w:shd w:val="clear" w:color="000000" w:fill="FFFFFF"/>
            <w:vAlign w:val="center"/>
            <w:hideMark/>
          </w:tcPr>
          <w:p w14:paraId="370D2098"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1580" w:type="dxa"/>
            <w:tcBorders>
              <w:top w:val="nil"/>
              <w:left w:val="nil"/>
              <w:bottom w:val="nil"/>
              <w:right w:val="nil"/>
            </w:tcBorders>
            <w:shd w:val="clear" w:color="000000" w:fill="FFFFFF"/>
            <w:vAlign w:val="center"/>
            <w:hideMark/>
          </w:tcPr>
          <w:p w14:paraId="0DA826FC"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2790" w:type="dxa"/>
            <w:tcBorders>
              <w:top w:val="nil"/>
              <w:left w:val="nil"/>
              <w:bottom w:val="nil"/>
              <w:right w:val="nil"/>
            </w:tcBorders>
            <w:shd w:val="clear" w:color="000000" w:fill="FFFFFF"/>
            <w:vAlign w:val="center"/>
            <w:hideMark/>
          </w:tcPr>
          <w:p w14:paraId="06EC5B21"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r>
      <w:tr w:rsidR="00FC6056" w:rsidRPr="00166607" w14:paraId="29F133AF" w14:textId="77777777" w:rsidTr="00FC6056">
        <w:trPr>
          <w:trHeight w:val="440"/>
        </w:trPr>
        <w:tc>
          <w:tcPr>
            <w:tcW w:w="640" w:type="dxa"/>
            <w:tcBorders>
              <w:top w:val="nil"/>
              <w:left w:val="nil"/>
              <w:bottom w:val="nil"/>
              <w:right w:val="nil"/>
            </w:tcBorders>
            <w:shd w:val="clear" w:color="000000" w:fill="FFFFFF"/>
            <w:noWrap/>
            <w:vAlign w:val="center"/>
            <w:hideMark/>
          </w:tcPr>
          <w:p w14:paraId="64EA325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1</w:t>
            </w:r>
          </w:p>
        </w:tc>
        <w:tc>
          <w:tcPr>
            <w:tcW w:w="1985" w:type="dxa"/>
            <w:tcBorders>
              <w:top w:val="nil"/>
              <w:left w:val="nil"/>
              <w:bottom w:val="nil"/>
              <w:right w:val="nil"/>
            </w:tcBorders>
            <w:shd w:val="clear" w:color="000000" w:fill="FFFFFF"/>
            <w:vAlign w:val="center"/>
            <w:hideMark/>
          </w:tcPr>
          <w:p w14:paraId="0799B08A"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Annual per-pupil cost of public school</w:t>
            </w:r>
          </w:p>
        </w:tc>
        <w:tc>
          <w:tcPr>
            <w:tcW w:w="980" w:type="dxa"/>
            <w:tcBorders>
              <w:top w:val="nil"/>
              <w:left w:val="nil"/>
              <w:bottom w:val="nil"/>
              <w:right w:val="nil"/>
            </w:tcBorders>
            <w:shd w:val="clear" w:color="000000" w:fill="FFFFFF"/>
            <w:vAlign w:val="center"/>
            <w:hideMark/>
          </w:tcPr>
          <w:p w14:paraId="2E16407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$ 449</w:t>
            </w:r>
          </w:p>
        </w:tc>
        <w:tc>
          <w:tcPr>
            <w:tcW w:w="1450" w:type="dxa"/>
            <w:tcBorders>
              <w:top w:val="nil"/>
              <w:left w:val="nil"/>
              <w:bottom w:val="nil"/>
              <w:right w:val="nil"/>
            </w:tcBorders>
            <w:shd w:val="clear" w:color="000000" w:fill="FFFFFF"/>
            <w:vAlign w:val="center"/>
            <w:hideMark/>
          </w:tcPr>
          <w:p w14:paraId="26B35CF6"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960" w:type="dxa"/>
            <w:tcBorders>
              <w:top w:val="nil"/>
              <w:left w:val="nil"/>
              <w:bottom w:val="nil"/>
              <w:right w:val="nil"/>
            </w:tcBorders>
            <w:shd w:val="clear" w:color="000000" w:fill="FFFFFF"/>
            <w:vAlign w:val="center"/>
            <w:hideMark/>
          </w:tcPr>
          <w:p w14:paraId="4A02136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$ 449</w:t>
            </w:r>
          </w:p>
        </w:tc>
        <w:tc>
          <w:tcPr>
            <w:tcW w:w="1650" w:type="dxa"/>
            <w:tcBorders>
              <w:top w:val="nil"/>
              <w:left w:val="nil"/>
              <w:bottom w:val="nil"/>
              <w:right w:val="nil"/>
            </w:tcBorders>
            <w:shd w:val="clear" w:color="000000" w:fill="FFFFFF"/>
            <w:vAlign w:val="center"/>
            <w:hideMark/>
          </w:tcPr>
          <w:p w14:paraId="4CAEF537"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940" w:type="dxa"/>
            <w:tcBorders>
              <w:top w:val="nil"/>
              <w:left w:val="nil"/>
              <w:bottom w:val="nil"/>
              <w:right w:val="nil"/>
            </w:tcBorders>
            <w:shd w:val="clear" w:color="000000" w:fill="FFFFFF"/>
            <w:vAlign w:val="center"/>
            <w:hideMark/>
          </w:tcPr>
          <w:p w14:paraId="6F020B8E"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$ 449</w:t>
            </w:r>
          </w:p>
        </w:tc>
        <w:tc>
          <w:tcPr>
            <w:tcW w:w="1580" w:type="dxa"/>
            <w:tcBorders>
              <w:top w:val="nil"/>
              <w:left w:val="nil"/>
              <w:bottom w:val="nil"/>
              <w:right w:val="nil"/>
            </w:tcBorders>
            <w:shd w:val="clear" w:color="000000" w:fill="FFFFFF"/>
            <w:vAlign w:val="center"/>
            <w:hideMark/>
          </w:tcPr>
          <w:p w14:paraId="3C8238DA"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2790" w:type="dxa"/>
            <w:tcBorders>
              <w:top w:val="nil"/>
              <w:left w:val="nil"/>
              <w:bottom w:val="nil"/>
              <w:right w:val="nil"/>
            </w:tcBorders>
            <w:shd w:val="clear" w:color="000000" w:fill="FFFFFF"/>
            <w:vAlign w:val="center"/>
            <w:hideMark/>
          </w:tcPr>
          <w:p w14:paraId="6ACBDD2F"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From Angrist et al. (2002), converted to 2013 dollars</w:t>
            </w:r>
          </w:p>
        </w:tc>
      </w:tr>
      <w:tr w:rsidR="00FC6056" w:rsidRPr="00166607" w14:paraId="5286035C" w14:textId="77777777" w:rsidTr="00FC6056">
        <w:trPr>
          <w:trHeight w:val="440"/>
        </w:trPr>
        <w:tc>
          <w:tcPr>
            <w:tcW w:w="640" w:type="dxa"/>
            <w:tcBorders>
              <w:top w:val="nil"/>
              <w:left w:val="nil"/>
              <w:bottom w:val="nil"/>
              <w:right w:val="nil"/>
            </w:tcBorders>
            <w:shd w:val="clear" w:color="000000" w:fill="FFFFFF"/>
            <w:noWrap/>
            <w:vAlign w:val="center"/>
            <w:hideMark/>
          </w:tcPr>
          <w:p w14:paraId="255891B9"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2</w:t>
            </w:r>
          </w:p>
        </w:tc>
        <w:tc>
          <w:tcPr>
            <w:tcW w:w="1985" w:type="dxa"/>
            <w:tcBorders>
              <w:top w:val="nil"/>
              <w:left w:val="nil"/>
              <w:bottom w:val="nil"/>
              <w:right w:val="nil"/>
            </w:tcBorders>
            <w:shd w:val="clear" w:color="000000" w:fill="FFFFFF"/>
            <w:vAlign w:val="center"/>
            <w:hideMark/>
          </w:tcPr>
          <w:p w14:paraId="51DB352E"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Annual value of PACES scholarship</w:t>
            </w:r>
          </w:p>
        </w:tc>
        <w:tc>
          <w:tcPr>
            <w:tcW w:w="980" w:type="dxa"/>
            <w:tcBorders>
              <w:top w:val="nil"/>
              <w:left w:val="nil"/>
              <w:bottom w:val="nil"/>
              <w:right w:val="nil"/>
            </w:tcBorders>
            <w:shd w:val="clear" w:color="000000" w:fill="FFFFFF"/>
            <w:vAlign w:val="center"/>
            <w:hideMark/>
          </w:tcPr>
          <w:p w14:paraId="619410C8"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$ 244</w:t>
            </w:r>
          </w:p>
        </w:tc>
        <w:tc>
          <w:tcPr>
            <w:tcW w:w="1450" w:type="dxa"/>
            <w:tcBorders>
              <w:top w:val="nil"/>
              <w:left w:val="nil"/>
              <w:bottom w:val="nil"/>
              <w:right w:val="nil"/>
            </w:tcBorders>
            <w:shd w:val="clear" w:color="000000" w:fill="FFFFFF"/>
            <w:vAlign w:val="center"/>
            <w:hideMark/>
          </w:tcPr>
          <w:p w14:paraId="0854B827"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960" w:type="dxa"/>
            <w:tcBorders>
              <w:top w:val="nil"/>
              <w:left w:val="nil"/>
              <w:bottom w:val="nil"/>
              <w:right w:val="nil"/>
            </w:tcBorders>
            <w:shd w:val="clear" w:color="000000" w:fill="FFFFFF"/>
            <w:vAlign w:val="center"/>
            <w:hideMark/>
          </w:tcPr>
          <w:p w14:paraId="35296E6F"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$ 244</w:t>
            </w:r>
          </w:p>
        </w:tc>
        <w:tc>
          <w:tcPr>
            <w:tcW w:w="1650" w:type="dxa"/>
            <w:tcBorders>
              <w:top w:val="nil"/>
              <w:left w:val="nil"/>
              <w:bottom w:val="nil"/>
              <w:right w:val="nil"/>
            </w:tcBorders>
            <w:shd w:val="clear" w:color="000000" w:fill="FFFFFF"/>
            <w:vAlign w:val="center"/>
            <w:hideMark/>
          </w:tcPr>
          <w:p w14:paraId="117E6FFE"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940" w:type="dxa"/>
            <w:tcBorders>
              <w:top w:val="nil"/>
              <w:left w:val="nil"/>
              <w:bottom w:val="nil"/>
              <w:right w:val="nil"/>
            </w:tcBorders>
            <w:shd w:val="clear" w:color="000000" w:fill="FFFFFF"/>
            <w:vAlign w:val="center"/>
            <w:hideMark/>
          </w:tcPr>
          <w:p w14:paraId="3A9B2AAE"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$ 244</w:t>
            </w:r>
          </w:p>
        </w:tc>
        <w:tc>
          <w:tcPr>
            <w:tcW w:w="1580" w:type="dxa"/>
            <w:tcBorders>
              <w:top w:val="nil"/>
              <w:left w:val="nil"/>
              <w:bottom w:val="nil"/>
              <w:right w:val="nil"/>
            </w:tcBorders>
            <w:shd w:val="clear" w:color="000000" w:fill="FFFFFF"/>
            <w:vAlign w:val="center"/>
            <w:hideMark/>
          </w:tcPr>
          <w:p w14:paraId="6DC1330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2790" w:type="dxa"/>
            <w:tcBorders>
              <w:top w:val="nil"/>
              <w:left w:val="nil"/>
              <w:bottom w:val="nil"/>
              <w:right w:val="nil"/>
            </w:tcBorders>
            <w:shd w:val="clear" w:color="000000" w:fill="FFFFFF"/>
            <w:vAlign w:val="center"/>
            <w:hideMark/>
          </w:tcPr>
          <w:p w14:paraId="27CF308B"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From Angrist et al. (2002), converted to 2013 dollars</w:t>
            </w:r>
          </w:p>
        </w:tc>
      </w:tr>
      <w:tr w:rsidR="00FC6056" w:rsidRPr="00166607" w14:paraId="1AA52AA9" w14:textId="77777777" w:rsidTr="00FC6056">
        <w:trPr>
          <w:trHeight w:val="1100"/>
        </w:trPr>
        <w:tc>
          <w:tcPr>
            <w:tcW w:w="640" w:type="dxa"/>
            <w:tcBorders>
              <w:top w:val="nil"/>
              <w:left w:val="nil"/>
              <w:bottom w:val="nil"/>
              <w:right w:val="nil"/>
            </w:tcBorders>
            <w:shd w:val="clear" w:color="000000" w:fill="FFFFFF"/>
            <w:vAlign w:val="center"/>
            <w:hideMark/>
          </w:tcPr>
          <w:p w14:paraId="7A3BC978"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3</w:t>
            </w:r>
          </w:p>
        </w:tc>
        <w:tc>
          <w:tcPr>
            <w:tcW w:w="1985" w:type="dxa"/>
            <w:tcBorders>
              <w:top w:val="nil"/>
              <w:left w:val="nil"/>
              <w:bottom w:val="nil"/>
              <w:right w:val="nil"/>
            </w:tcBorders>
            <w:shd w:val="clear" w:color="000000" w:fill="FFFFFF"/>
            <w:vAlign w:val="center"/>
            <w:hideMark/>
          </w:tcPr>
          <w:p w14:paraId="62ACF3C2"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Expenditure from scholarship costs for students who would have enrolled in private school, aggregated over 6 years</w:t>
            </w:r>
          </w:p>
        </w:tc>
        <w:tc>
          <w:tcPr>
            <w:tcW w:w="980" w:type="dxa"/>
            <w:tcBorders>
              <w:top w:val="nil"/>
              <w:left w:val="nil"/>
              <w:bottom w:val="nil"/>
              <w:right w:val="nil"/>
            </w:tcBorders>
            <w:shd w:val="clear" w:color="000000" w:fill="FFFFFF"/>
            <w:vAlign w:val="center"/>
            <w:hideMark/>
          </w:tcPr>
          <w:p w14:paraId="20103A5C"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$ 473</w:t>
            </w:r>
          </w:p>
        </w:tc>
        <w:tc>
          <w:tcPr>
            <w:tcW w:w="1450" w:type="dxa"/>
            <w:tcBorders>
              <w:top w:val="nil"/>
              <w:left w:val="nil"/>
              <w:bottom w:val="nil"/>
              <w:right w:val="nil"/>
            </w:tcBorders>
            <w:shd w:val="clear" w:color="000000" w:fill="FFFFFF"/>
            <w:vAlign w:val="center"/>
            <w:hideMark/>
          </w:tcPr>
          <w:p w14:paraId="299BAFF1"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960" w:type="dxa"/>
            <w:tcBorders>
              <w:top w:val="nil"/>
              <w:left w:val="nil"/>
              <w:bottom w:val="nil"/>
              <w:right w:val="nil"/>
            </w:tcBorders>
            <w:shd w:val="clear" w:color="000000" w:fill="FFFFFF"/>
            <w:vAlign w:val="center"/>
            <w:hideMark/>
          </w:tcPr>
          <w:p w14:paraId="54B98631"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$ 472</w:t>
            </w:r>
          </w:p>
        </w:tc>
        <w:tc>
          <w:tcPr>
            <w:tcW w:w="1650" w:type="dxa"/>
            <w:tcBorders>
              <w:top w:val="nil"/>
              <w:left w:val="nil"/>
              <w:bottom w:val="nil"/>
              <w:right w:val="nil"/>
            </w:tcBorders>
            <w:shd w:val="clear" w:color="000000" w:fill="FFFFFF"/>
            <w:vAlign w:val="center"/>
            <w:hideMark/>
          </w:tcPr>
          <w:p w14:paraId="6C5DF73D"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940" w:type="dxa"/>
            <w:tcBorders>
              <w:top w:val="nil"/>
              <w:left w:val="nil"/>
              <w:bottom w:val="nil"/>
              <w:right w:val="nil"/>
            </w:tcBorders>
            <w:shd w:val="clear" w:color="000000" w:fill="FFFFFF"/>
            <w:vAlign w:val="center"/>
            <w:hideMark/>
          </w:tcPr>
          <w:p w14:paraId="6BE2DF83"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$ 474</w:t>
            </w:r>
          </w:p>
        </w:tc>
        <w:tc>
          <w:tcPr>
            <w:tcW w:w="1580" w:type="dxa"/>
            <w:tcBorders>
              <w:top w:val="nil"/>
              <w:left w:val="nil"/>
              <w:bottom w:val="nil"/>
              <w:right w:val="nil"/>
            </w:tcBorders>
            <w:shd w:val="clear" w:color="000000" w:fill="FFFFFF"/>
            <w:vAlign w:val="center"/>
            <w:hideMark/>
          </w:tcPr>
          <w:p w14:paraId="79A5844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2790" w:type="dxa"/>
            <w:tcBorders>
              <w:top w:val="nil"/>
              <w:left w:val="nil"/>
              <w:bottom w:val="nil"/>
              <w:right w:val="nil"/>
            </w:tcBorders>
            <w:shd w:val="clear" w:color="000000" w:fill="FFFFFF"/>
            <w:vAlign w:val="center"/>
            <w:hideMark/>
          </w:tcPr>
          <w:p w14:paraId="5DD0499E"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Row (2)*Proportion of lottery winners attending private school*proportion of winners continuing to use scholarships; computed annually and summed over the six years</w:t>
            </w:r>
          </w:p>
        </w:tc>
      </w:tr>
      <w:tr w:rsidR="00FC6056" w:rsidRPr="00166607" w14:paraId="4800A241" w14:textId="77777777" w:rsidTr="00FC6056">
        <w:trPr>
          <w:trHeight w:val="660"/>
        </w:trPr>
        <w:tc>
          <w:tcPr>
            <w:tcW w:w="640" w:type="dxa"/>
            <w:tcBorders>
              <w:top w:val="nil"/>
              <w:left w:val="nil"/>
              <w:bottom w:val="nil"/>
              <w:right w:val="nil"/>
            </w:tcBorders>
            <w:shd w:val="clear" w:color="000000" w:fill="FFFFFF"/>
            <w:vAlign w:val="center"/>
            <w:hideMark/>
          </w:tcPr>
          <w:p w14:paraId="4D625D53"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4</w:t>
            </w:r>
          </w:p>
        </w:tc>
        <w:tc>
          <w:tcPr>
            <w:tcW w:w="1985" w:type="dxa"/>
            <w:tcBorders>
              <w:top w:val="nil"/>
              <w:left w:val="nil"/>
              <w:bottom w:val="nil"/>
              <w:right w:val="nil"/>
            </w:tcBorders>
            <w:shd w:val="clear" w:color="000000" w:fill="FFFFFF"/>
            <w:vAlign w:val="center"/>
            <w:hideMark/>
          </w:tcPr>
          <w:p w14:paraId="51A32160"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Expenditure resulting from transfers from public to private schools, aggregated over 6 years</w:t>
            </w:r>
          </w:p>
        </w:tc>
        <w:tc>
          <w:tcPr>
            <w:tcW w:w="980" w:type="dxa"/>
            <w:tcBorders>
              <w:top w:val="nil"/>
              <w:left w:val="nil"/>
              <w:bottom w:val="nil"/>
              <w:right w:val="nil"/>
            </w:tcBorders>
            <w:shd w:val="clear" w:color="000000" w:fill="FFFFFF"/>
            <w:vAlign w:val="center"/>
            <w:hideMark/>
          </w:tcPr>
          <w:p w14:paraId="7A44531D"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-$ 175</w:t>
            </w:r>
          </w:p>
        </w:tc>
        <w:tc>
          <w:tcPr>
            <w:tcW w:w="1450" w:type="dxa"/>
            <w:tcBorders>
              <w:top w:val="nil"/>
              <w:left w:val="nil"/>
              <w:bottom w:val="nil"/>
              <w:right w:val="nil"/>
            </w:tcBorders>
            <w:shd w:val="clear" w:color="000000" w:fill="FFFFFF"/>
            <w:vAlign w:val="center"/>
            <w:hideMark/>
          </w:tcPr>
          <w:p w14:paraId="2A356750"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960" w:type="dxa"/>
            <w:tcBorders>
              <w:top w:val="nil"/>
              <w:left w:val="nil"/>
              <w:bottom w:val="nil"/>
              <w:right w:val="nil"/>
            </w:tcBorders>
            <w:shd w:val="clear" w:color="000000" w:fill="FFFFFF"/>
            <w:vAlign w:val="center"/>
            <w:hideMark/>
          </w:tcPr>
          <w:p w14:paraId="5DC93191"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-$ 175</w:t>
            </w:r>
          </w:p>
        </w:tc>
        <w:tc>
          <w:tcPr>
            <w:tcW w:w="1650" w:type="dxa"/>
            <w:tcBorders>
              <w:top w:val="nil"/>
              <w:left w:val="nil"/>
              <w:bottom w:val="nil"/>
              <w:right w:val="nil"/>
            </w:tcBorders>
            <w:shd w:val="clear" w:color="000000" w:fill="FFFFFF"/>
            <w:vAlign w:val="center"/>
            <w:hideMark/>
          </w:tcPr>
          <w:p w14:paraId="0A7F68C9"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940" w:type="dxa"/>
            <w:tcBorders>
              <w:top w:val="nil"/>
              <w:left w:val="nil"/>
              <w:bottom w:val="nil"/>
              <w:right w:val="nil"/>
            </w:tcBorders>
            <w:shd w:val="clear" w:color="000000" w:fill="FFFFFF"/>
            <w:vAlign w:val="center"/>
            <w:hideMark/>
          </w:tcPr>
          <w:p w14:paraId="54E3AA1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-$ 175</w:t>
            </w:r>
          </w:p>
        </w:tc>
        <w:tc>
          <w:tcPr>
            <w:tcW w:w="1580" w:type="dxa"/>
            <w:tcBorders>
              <w:top w:val="nil"/>
              <w:left w:val="nil"/>
              <w:bottom w:val="nil"/>
              <w:right w:val="nil"/>
            </w:tcBorders>
            <w:shd w:val="clear" w:color="000000" w:fill="FFFFFF"/>
            <w:vAlign w:val="center"/>
            <w:hideMark/>
          </w:tcPr>
          <w:p w14:paraId="3D00B0E9"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2790" w:type="dxa"/>
            <w:tcBorders>
              <w:top w:val="nil"/>
              <w:left w:val="nil"/>
              <w:bottom w:val="nil"/>
              <w:right w:val="nil"/>
            </w:tcBorders>
            <w:shd w:val="clear" w:color="000000" w:fill="FFFFFF"/>
            <w:vAlign w:val="center"/>
            <w:hideMark/>
          </w:tcPr>
          <w:p w14:paraId="5E8FA6D8"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(Row (2) – Row (1))*Scholarship Effect on Private School Attendance; computed annually and summed over the six years</w:t>
            </w:r>
          </w:p>
        </w:tc>
      </w:tr>
      <w:tr w:rsidR="00FC6056" w:rsidRPr="00166607" w14:paraId="3A100D88" w14:textId="77777777" w:rsidTr="00FC6056">
        <w:trPr>
          <w:trHeight w:val="280"/>
        </w:trPr>
        <w:tc>
          <w:tcPr>
            <w:tcW w:w="640" w:type="dxa"/>
            <w:tcBorders>
              <w:top w:val="nil"/>
              <w:left w:val="nil"/>
              <w:bottom w:val="nil"/>
              <w:right w:val="nil"/>
            </w:tcBorders>
            <w:shd w:val="clear" w:color="000000" w:fill="FFFFFF"/>
            <w:vAlign w:val="center"/>
            <w:hideMark/>
          </w:tcPr>
          <w:p w14:paraId="5B5D8622"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5</w:t>
            </w:r>
          </w:p>
        </w:tc>
        <w:tc>
          <w:tcPr>
            <w:tcW w:w="1985" w:type="dxa"/>
            <w:tcBorders>
              <w:top w:val="nil"/>
              <w:left w:val="nil"/>
              <w:bottom w:val="nil"/>
              <w:right w:val="nil"/>
            </w:tcBorders>
            <w:shd w:val="clear" w:color="000000" w:fill="FFFFFF"/>
            <w:vAlign w:val="center"/>
            <w:hideMark/>
          </w:tcPr>
          <w:p w14:paraId="2DEF9D1F"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Cost savings from reduced grade repetition</w:t>
            </w:r>
          </w:p>
        </w:tc>
        <w:tc>
          <w:tcPr>
            <w:tcW w:w="980" w:type="dxa"/>
            <w:tcBorders>
              <w:top w:val="nil"/>
              <w:left w:val="nil"/>
              <w:bottom w:val="nil"/>
              <w:right w:val="nil"/>
            </w:tcBorders>
            <w:shd w:val="clear" w:color="000000" w:fill="FFFFFF"/>
            <w:vAlign w:val="center"/>
            <w:hideMark/>
          </w:tcPr>
          <w:p w14:paraId="5C6B6EC6"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w:t>
            </w:r>
          </w:p>
        </w:tc>
        <w:tc>
          <w:tcPr>
            <w:tcW w:w="1450" w:type="dxa"/>
            <w:tcBorders>
              <w:top w:val="nil"/>
              <w:left w:val="nil"/>
              <w:bottom w:val="nil"/>
              <w:right w:val="nil"/>
            </w:tcBorders>
            <w:shd w:val="clear" w:color="000000" w:fill="FFFFFF"/>
            <w:vAlign w:val="center"/>
            <w:hideMark/>
          </w:tcPr>
          <w:p w14:paraId="20858AD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(-$ 5 ,  $ 4)</w:t>
            </w:r>
          </w:p>
        </w:tc>
        <w:tc>
          <w:tcPr>
            <w:tcW w:w="960" w:type="dxa"/>
            <w:tcBorders>
              <w:top w:val="nil"/>
              <w:left w:val="nil"/>
              <w:bottom w:val="nil"/>
              <w:right w:val="nil"/>
            </w:tcBorders>
            <w:shd w:val="clear" w:color="000000" w:fill="FFFFFF"/>
            <w:vAlign w:val="center"/>
            <w:hideMark/>
          </w:tcPr>
          <w:p w14:paraId="3E2BCC3F"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w:t>
            </w:r>
          </w:p>
        </w:tc>
        <w:tc>
          <w:tcPr>
            <w:tcW w:w="1650" w:type="dxa"/>
            <w:tcBorders>
              <w:top w:val="nil"/>
              <w:left w:val="nil"/>
              <w:bottom w:val="nil"/>
              <w:right w:val="nil"/>
            </w:tcBorders>
            <w:shd w:val="clear" w:color="000000" w:fill="FFFFFF"/>
            <w:vAlign w:val="center"/>
            <w:hideMark/>
          </w:tcPr>
          <w:p w14:paraId="31474F93"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(-$5 , -$3)</w:t>
            </w:r>
          </w:p>
        </w:tc>
        <w:tc>
          <w:tcPr>
            <w:tcW w:w="940" w:type="dxa"/>
            <w:tcBorders>
              <w:top w:val="nil"/>
              <w:left w:val="nil"/>
              <w:bottom w:val="nil"/>
              <w:right w:val="nil"/>
            </w:tcBorders>
            <w:shd w:val="clear" w:color="000000" w:fill="FFFFFF"/>
            <w:vAlign w:val="center"/>
            <w:hideMark/>
          </w:tcPr>
          <w:p w14:paraId="17C4873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w:t>
            </w:r>
          </w:p>
        </w:tc>
        <w:tc>
          <w:tcPr>
            <w:tcW w:w="1580" w:type="dxa"/>
            <w:tcBorders>
              <w:top w:val="nil"/>
              <w:left w:val="nil"/>
              <w:bottom w:val="nil"/>
              <w:right w:val="nil"/>
            </w:tcBorders>
            <w:shd w:val="clear" w:color="000000" w:fill="FFFFFF"/>
            <w:vAlign w:val="center"/>
            <w:hideMark/>
          </w:tcPr>
          <w:p w14:paraId="6983B6B2"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(-$5 , -$3)</w:t>
            </w:r>
          </w:p>
        </w:tc>
        <w:tc>
          <w:tcPr>
            <w:tcW w:w="2790" w:type="dxa"/>
            <w:tcBorders>
              <w:top w:val="nil"/>
              <w:left w:val="nil"/>
              <w:bottom w:val="nil"/>
              <w:right w:val="nil"/>
            </w:tcBorders>
            <w:shd w:val="clear" w:color="000000" w:fill="FFFFFF"/>
            <w:vAlign w:val="center"/>
            <w:hideMark/>
          </w:tcPr>
          <w:p w14:paraId="7D04BE93" w14:textId="701E4C73"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xml:space="preserve">See Appendix </w:t>
            </w:r>
            <w:r w:rsidR="0075437E" w:rsidRPr="00166607">
              <w:rPr>
                <w:rFonts w:ascii="Times New Roman" w:eastAsia="Times New Roman" w:hAnsi="Times New Roman"/>
                <w:color w:val="000000"/>
                <w:sz w:val="18"/>
                <w:szCs w:val="18"/>
              </w:rPr>
              <w:t>C</w:t>
            </w:r>
          </w:p>
        </w:tc>
      </w:tr>
      <w:tr w:rsidR="00FC6056" w:rsidRPr="00166607" w14:paraId="6BAF406E" w14:textId="77777777" w:rsidTr="00FC6056">
        <w:trPr>
          <w:trHeight w:val="280"/>
        </w:trPr>
        <w:tc>
          <w:tcPr>
            <w:tcW w:w="640" w:type="dxa"/>
            <w:tcBorders>
              <w:top w:val="nil"/>
              <w:left w:val="nil"/>
              <w:bottom w:val="nil"/>
              <w:right w:val="nil"/>
            </w:tcBorders>
            <w:shd w:val="clear" w:color="000000" w:fill="BFBFBF"/>
            <w:vAlign w:val="center"/>
            <w:hideMark/>
          </w:tcPr>
          <w:p w14:paraId="14E3E543"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6</w:t>
            </w:r>
          </w:p>
        </w:tc>
        <w:tc>
          <w:tcPr>
            <w:tcW w:w="1985" w:type="dxa"/>
            <w:tcBorders>
              <w:top w:val="nil"/>
              <w:left w:val="nil"/>
              <w:bottom w:val="nil"/>
              <w:right w:val="nil"/>
            </w:tcBorders>
            <w:shd w:val="clear" w:color="000000" w:fill="BFBFBF"/>
            <w:vAlign w:val="center"/>
            <w:hideMark/>
          </w:tcPr>
          <w:p w14:paraId="05DF006D"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Total secondary education costs to the government</w:t>
            </w:r>
          </w:p>
        </w:tc>
        <w:tc>
          <w:tcPr>
            <w:tcW w:w="980" w:type="dxa"/>
            <w:tcBorders>
              <w:top w:val="nil"/>
              <w:left w:val="nil"/>
              <w:bottom w:val="nil"/>
              <w:right w:val="nil"/>
            </w:tcBorders>
            <w:shd w:val="clear" w:color="000000" w:fill="BFBFBF"/>
            <w:vAlign w:val="center"/>
            <w:hideMark/>
          </w:tcPr>
          <w:p w14:paraId="57201B3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$ 293</w:t>
            </w:r>
          </w:p>
        </w:tc>
        <w:tc>
          <w:tcPr>
            <w:tcW w:w="1450" w:type="dxa"/>
            <w:tcBorders>
              <w:top w:val="nil"/>
              <w:left w:val="nil"/>
              <w:bottom w:val="nil"/>
              <w:right w:val="nil"/>
            </w:tcBorders>
            <w:shd w:val="clear" w:color="000000" w:fill="BFBFBF"/>
            <w:vAlign w:val="center"/>
            <w:hideMark/>
          </w:tcPr>
          <w:p w14:paraId="05C09048"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($ 293 , $ 294)</w:t>
            </w:r>
          </w:p>
        </w:tc>
        <w:tc>
          <w:tcPr>
            <w:tcW w:w="960" w:type="dxa"/>
            <w:tcBorders>
              <w:top w:val="nil"/>
              <w:left w:val="nil"/>
              <w:bottom w:val="nil"/>
              <w:right w:val="nil"/>
            </w:tcBorders>
            <w:shd w:val="clear" w:color="000000" w:fill="BFBFBF"/>
            <w:vAlign w:val="center"/>
            <w:hideMark/>
          </w:tcPr>
          <w:p w14:paraId="476BCD5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$ 293</w:t>
            </w:r>
          </w:p>
        </w:tc>
        <w:tc>
          <w:tcPr>
            <w:tcW w:w="1650" w:type="dxa"/>
            <w:tcBorders>
              <w:top w:val="nil"/>
              <w:left w:val="nil"/>
              <w:bottom w:val="nil"/>
              <w:right w:val="nil"/>
            </w:tcBorders>
            <w:shd w:val="clear" w:color="000000" w:fill="BFBFBF"/>
            <w:vAlign w:val="center"/>
            <w:hideMark/>
          </w:tcPr>
          <w:p w14:paraId="0DB1120B"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($ 292 , $ 294)</w:t>
            </w:r>
          </w:p>
        </w:tc>
        <w:tc>
          <w:tcPr>
            <w:tcW w:w="940" w:type="dxa"/>
            <w:tcBorders>
              <w:top w:val="nil"/>
              <w:left w:val="nil"/>
              <w:bottom w:val="nil"/>
              <w:right w:val="nil"/>
            </w:tcBorders>
            <w:shd w:val="clear" w:color="000000" w:fill="BFBFBF"/>
            <w:vAlign w:val="center"/>
            <w:hideMark/>
          </w:tcPr>
          <w:p w14:paraId="5D0DF381"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$ 295</w:t>
            </w:r>
          </w:p>
        </w:tc>
        <w:tc>
          <w:tcPr>
            <w:tcW w:w="1580" w:type="dxa"/>
            <w:tcBorders>
              <w:top w:val="nil"/>
              <w:left w:val="nil"/>
              <w:bottom w:val="nil"/>
              <w:right w:val="nil"/>
            </w:tcBorders>
            <w:shd w:val="clear" w:color="000000" w:fill="BFBFBF"/>
            <w:vAlign w:val="center"/>
            <w:hideMark/>
          </w:tcPr>
          <w:p w14:paraId="7B438EF3"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($ 294 , $ 296)</w:t>
            </w:r>
          </w:p>
        </w:tc>
        <w:tc>
          <w:tcPr>
            <w:tcW w:w="2790" w:type="dxa"/>
            <w:tcBorders>
              <w:top w:val="nil"/>
              <w:left w:val="nil"/>
              <w:bottom w:val="nil"/>
              <w:right w:val="nil"/>
            </w:tcBorders>
            <w:shd w:val="clear" w:color="000000" w:fill="BFBFBF"/>
            <w:vAlign w:val="center"/>
            <w:hideMark/>
          </w:tcPr>
          <w:p w14:paraId="69D0007A"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Row (3) + Row (4) + Row (5)</w:t>
            </w:r>
          </w:p>
        </w:tc>
      </w:tr>
      <w:tr w:rsidR="00FC6056" w:rsidRPr="00166607" w14:paraId="602BDAE8" w14:textId="77777777" w:rsidTr="00FC6056">
        <w:trPr>
          <w:trHeight w:val="280"/>
        </w:trPr>
        <w:tc>
          <w:tcPr>
            <w:tcW w:w="640" w:type="dxa"/>
            <w:tcBorders>
              <w:top w:val="nil"/>
              <w:left w:val="nil"/>
              <w:bottom w:val="nil"/>
              <w:right w:val="nil"/>
            </w:tcBorders>
            <w:shd w:val="clear" w:color="000000" w:fill="FFFFFF"/>
            <w:vAlign w:val="center"/>
            <w:hideMark/>
          </w:tcPr>
          <w:p w14:paraId="3D479C52"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1985" w:type="dxa"/>
            <w:tcBorders>
              <w:top w:val="nil"/>
              <w:left w:val="nil"/>
              <w:bottom w:val="nil"/>
              <w:right w:val="nil"/>
            </w:tcBorders>
            <w:shd w:val="clear" w:color="000000" w:fill="FFFFFF"/>
            <w:vAlign w:val="center"/>
            <w:hideMark/>
          </w:tcPr>
          <w:p w14:paraId="7F44C00A"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Tertiary Education Costs</w:t>
            </w:r>
          </w:p>
        </w:tc>
        <w:tc>
          <w:tcPr>
            <w:tcW w:w="980" w:type="dxa"/>
            <w:tcBorders>
              <w:top w:val="nil"/>
              <w:left w:val="nil"/>
              <w:bottom w:val="nil"/>
              <w:right w:val="nil"/>
            </w:tcBorders>
            <w:shd w:val="clear" w:color="000000" w:fill="FFFFFF"/>
            <w:vAlign w:val="center"/>
            <w:hideMark/>
          </w:tcPr>
          <w:p w14:paraId="0B884010"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1450" w:type="dxa"/>
            <w:tcBorders>
              <w:top w:val="nil"/>
              <w:left w:val="nil"/>
              <w:bottom w:val="nil"/>
              <w:right w:val="nil"/>
            </w:tcBorders>
            <w:shd w:val="clear" w:color="000000" w:fill="FFFFFF"/>
            <w:vAlign w:val="center"/>
            <w:hideMark/>
          </w:tcPr>
          <w:p w14:paraId="050E662E"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960" w:type="dxa"/>
            <w:tcBorders>
              <w:top w:val="nil"/>
              <w:left w:val="nil"/>
              <w:bottom w:val="nil"/>
              <w:right w:val="nil"/>
            </w:tcBorders>
            <w:shd w:val="clear" w:color="000000" w:fill="FFFFFF"/>
            <w:vAlign w:val="center"/>
            <w:hideMark/>
          </w:tcPr>
          <w:p w14:paraId="1472A750"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1650" w:type="dxa"/>
            <w:tcBorders>
              <w:top w:val="nil"/>
              <w:left w:val="nil"/>
              <w:bottom w:val="nil"/>
              <w:right w:val="nil"/>
            </w:tcBorders>
            <w:shd w:val="clear" w:color="000000" w:fill="FFFFFF"/>
            <w:vAlign w:val="center"/>
            <w:hideMark/>
          </w:tcPr>
          <w:p w14:paraId="0D896F2C"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940" w:type="dxa"/>
            <w:tcBorders>
              <w:top w:val="nil"/>
              <w:left w:val="nil"/>
              <w:bottom w:val="nil"/>
              <w:right w:val="nil"/>
            </w:tcBorders>
            <w:shd w:val="clear" w:color="000000" w:fill="FFFFFF"/>
            <w:vAlign w:val="center"/>
            <w:hideMark/>
          </w:tcPr>
          <w:p w14:paraId="6C7AACEB"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1580" w:type="dxa"/>
            <w:tcBorders>
              <w:top w:val="nil"/>
              <w:left w:val="nil"/>
              <w:bottom w:val="nil"/>
              <w:right w:val="nil"/>
            </w:tcBorders>
            <w:shd w:val="clear" w:color="000000" w:fill="FFFFFF"/>
            <w:vAlign w:val="center"/>
            <w:hideMark/>
          </w:tcPr>
          <w:p w14:paraId="3948AD94"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2790" w:type="dxa"/>
            <w:tcBorders>
              <w:top w:val="nil"/>
              <w:left w:val="nil"/>
              <w:bottom w:val="nil"/>
              <w:right w:val="nil"/>
            </w:tcBorders>
            <w:shd w:val="clear" w:color="000000" w:fill="FFFFFF"/>
            <w:vAlign w:val="center"/>
            <w:hideMark/>
          </w:tcPr>
          <w:p w14:paraId="3437EA7F"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r>
      <w:tr w:rsidR="00FC6056" w:rsidRPr="00166607" w14:paraId="033508B6" w14:textId="77777777" w:rsidTr="00FC6056">
        <w:trPr>
          <w:trHeight w:val="1320"/>
        </w:trPr>
        <w:tc>
          <w:tcPr>
            <w:tcW w:w="640" w:type="dxa"/>
            <w:tcBorders>
              <w:top w:val="nil"/>
              <w:left w:val="nil"/>
              <w:bottom w:val="nil"/>
              <w:right w:val="nil"/>
            </w:tcBorders>
            <w:shd w:val="clear" w:color="000000" w:fill="FFFFFF"/>
            <w:vAlign w:val="center"/>
            <w:hideMark/>
          </w:tcPr>
          <w:p w14:paraId="0D79EF2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7</w:t>
            </w:r>
          </w:p>
        </w:tc>
        <w:tc>
          <w:tcPr>
            <w:tcW w:w="1985" w:type="dxa"/>
            <w:tcBorders>
              <w:top w:val="nil"/>
              <w:left w:val="nil"/>
              <w:bottom w:val="nil"/>
              <w:right w:val="nil"/>
            </w:tcBorders>
            <w:shd w:val="clear" w:color="000000" w:fill="FFFFFF"/>
            <w:vAlign w:val="center"/>
            <w:hideMark/>
          </w:tcPr>
          <w:p w14:paraId="19D81165"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Additional public tertiary education costs</w:t>
            </w:r>
          </w:p>
        </w:tc>
        <w:tc>
          <w:tcPr>
            <w:tcW w:w="980" w:type="dxa"/>
            <w:tcBorders>
              <w:top w:val="nil"/>
              <w:left w:val="nil"/>
              <w:bottom w:val="nil"/>
              <w:right w:val="nil"/>
            </w:tcBorders>
            <w:shd w:val="clear" w:color="000000" w:fill="FFFFFF"/>
            <w:vAlign w:val="center"/>
            <w:hideMark/>
          </w:tcPr>
          <w:p w14:paraId="112016F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$ 11</w:t>
            </w:r>
          </w:p>
        </w:tc>
        <w:tc>
          <w:tcPr>
            <w:tcW w:w="1450" w:type="dxa"/>
            <w:tcBorders>
              <w:top w:val="nil"/>
              <w:left w:val="nil"/>
              <w:bottom w:val="nil"/>
              <w:right w:val="nil"/>
            </w:tcBorders>
            <w:shd w:val="clear" w:color="000000" w:fill="FFFFFF"/>
            <w:vAlign w:val="center"/>
            <w:hideMark/>
          </w:tcPr>
          <w:p w14:paraId="171D3827"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(-$2 , $ 24)</w:t>
            </w:r>
          </w:p>
        </w:tc>
        <w:tc>
          <w:tcPr>
            <w:tcW w:w="960" w:type="dxa"/>
            <w:tcBorders>
              <w:top w:val="nil"/>
              <w:left w:val="nil"/>
              <w:bottom w:val="nil"/>
              <w:right w:val="nil"/>
            </w:tcBorders>
            <w:shd w:val="clear" w:color="000000" w:fill="FFFFFF"/>
            <w:vAlign w:val="center"/>
            <w:hideMark/>
          </w:tcPr>
          <w:p w14:paraId="56FFFBC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-$ 6</w:t>
            </w:r>
          </w:p>
        </w:tc>
        <w:tc>
          <w:tcPr>
            <w:tcW w:w="1650" w:type="dxa"/>
            <w:tcBorders>
              <w:top w:val="nil"/>
              <w:left w:val="nil"/>
              <w:bottom w:val="nil"/>
              <w:right w:val="nil"/>
            </w:tcBorders>
            <w:shd w:val="clear" w:color="000000" w:fill="FFFFFF"/>
            <w:vAlign w:val="center"/>
            <w:hideMark/>
          </w:tcPr>
          <w:p w14:paraId="356A98F9"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(-$24 , $ 11)</w:t>
            </w:r>
          </w:p>
        </w:tc>
        <w:tc>
          <w:tcPr>
            <w:tcW w:w="940" w:type="dxa"/>
            <w:tcBorders>
              <w:top w:val="nil"/>
              <w:left w:val="nil"/>
              <w:bottom w:val="nil"/>
              <w:right w:val="nil"/>
            </w:tcBorders>
            <w:shd w:val="clear" w:color="000000" w:fill="FFFFFF"/>
            <w:vAlign w:val="center"/>
            <w:hideMark/>
          </w:tcPr>
          <w:p w14:paraId="557B4B38"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$ 37</w:t>
            </w:r>
          </w:p>
        </w:tc>
        <w:tc>
          <w:tcPr>
            <w:tcW w:w="1580" w:type="dxa"/>
            <w:tcBorders>
              <w:top w:val="nil"/>
              <w:left w:val="nil"/>
              <w:bottom w:val="nil"/>
              <w:right w:val="nil"/>
            </w:tcBorders>
            <w:shd w:val="clear" w:color="000000" w:fill="FFFFFF"/>
            <w:vAlign w:val="center"/>
            <w:hideMark/>
          </w:tcPr>
          <w:p w14:paraId="7601771C"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($ 12 , $ 68)</w:t>
            </w:r>
          </w:p>
        </w:tc>
        <w:tc>
          <w:tcPr>
            <w:tcW w:w="2790" w:type="dxa"/>
            <w:tcBorders>
              <w:top w:val="nil"/>
              <w:left w:val="nil"/>
              <w:bottom w:val="nil"/>
              <w:right w:val="nil"/>
            </w:tcBorders>
            <w:shd w:val="clear" w:color="000000" w:fill="FFFFFF"/>
            <w:vAlign w:val="center"/>
            <w:hideMark/>
          </w:tcPr>
          <w:p w14:paraId="31437039"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Annual per-pupil expenditure in public tertiary education * Scholarship impact on years of tertiary education (Panel B, Table 2, cols. 4 &amp; 6)* Fraction of lottery winners attending a public institution (Panel B, Table 2, col. 1 + col. 3)</w:t>
            </w:r>
          </w:p>
        </w:tc>
      </w:tr>
      <w:tr w:rsidR="00FC6056" w:rsidRPr="00166607" w14:paraId="2FC5E40D" w14:textId="77777777" w:rsidTr="00FC6056">
        <w:trPr>
          <w:trHeight w:val="880"/>
        </w:trPr>
        <w:tc>
          <w:tcPr>
            <w:tcW w:w="640" w:type="dxa"/>
            <w:tcBorders>
              <w:top w:val="nil"/>
              <w:left w:val="nil"/>
              <w:bottom w:val="nil"/>
              <w:right w:val="nil"/>
            </w:tcBorders>
            <w:shd w:val="clear" w:color="000000" w:fill="FFFFFF"/>
            <w:vAlign w:val="center"/>
            <w:hideMark/>
          </w:tcPr>
          <w:p w14:paraId="249BE4F7"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lastRenderedPageBreak/>
              <w:t>8</w:t>
            </w:r>
          </w:p>
        </w:tc>
        <w:tc>
          <w:tcPr>
            <w:tcW w:w="1985" w:type="dxa"/>
            <w:tcBorders>
              <w:top w:val="nil"/>
              <w:left w:val="nil"/>
              <w:bottom w:val="nil"/>
              <w:right w:val="nil"/>
            </w:tcBorders>
            <w:shd w:val="clear" w:color="000000" w:fill="FFFFFF"/>
            <w:vAlign w:val="center"/>
            <w:hideMark/>
          </w:tcPr>
          <w:p w14:paraId="0BABB014"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Additional tertiary education loan subsidies</w:t>
            </w:r>
          </w:p>
        </w:tc>
        <w:tc>
          <w:tcPr>
            <w:tcW w:w="980" w:type="dxa"/>
            <w:tcBorders>
              <w:top w:val="nil"/>
              <w:left w:val="nil"/>
              <w:bottom w:val="nil"/>
              <w:right w:val="nil"/>
            </w:tcBorders>
            <w:shd w:val="clear" w:color="000000" w:fill="FFFFFF"/>
            <w:vAlign w:val="center"/>
            <w:hideMark/>
          </w:tcPr>
          <w:p w14:paraId="548E994D"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w:t>
            </w:r>
          </w:p>
        </w:tc>
        <w:tc>
          <w:tcPr>
            <w:tcW w:w="1450" w:type="dxa"/>
            <w:tcBorders>
              <w:top w:val="nil"/>
              <w:left w:val="nil"/>
              <w:bottom w:val="nil"/>
              <w:right w:val="nil"/>
            </w:tcBorders>
            <w:shd w:val="clear" w:color="000000" w:fill="FFFFFF"/>
            <w:vAlign w:val="center"/>
            <w:hideMark/>
          </w:tcPr>
          <w:p w14:paraId="7D9BF4FD"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(-$6 , $ 14)</w:t>
            </w:r>
          </w:p>
        </w:tc>
        <w:tc>
          <w:tcPr>
            <w:tcW w:w="960" w:type="dxa"/>
            <w:tcBorders>
              <w:top w:val="nil"/>
              <w:left w:val="nil"/>
              <w:bottom w:val="nil"/>
              <w:right w:val="nil"/>
            </w:tcBorders>
            <w:shd w:val="clear" w:color="000000" w:fill="FFFFFF"/>
            <w:vAlign w:val="center"/>
            <w:hideMark/>
          </w:tcPr>
          <w:p w14:paraId="63127BD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-$ 6</w:t>
            </w:r>
          </w:p>
        </w:tc>
        <w:tc>
          <w:tcPr>
            <w:tcW w:w="1650" w:type="dxa"/>
            <w:tcBorders>
              <w:top w:val="nil"/>
              <w:left w:val="nil"/>
              <w:bottom w:val="nil"/>
              <w:right w:val="nil"/>
            </w:tcBorders>
            <w:shd w:val="clear" w:color="000000" w:fill="FFFFFF"/>
            <w:vAlign w:val="center"/>
            <w:hideMark/>
          </w:tcPr>
          <w:p w14:paraId="57255FD6"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(-$18 ,  $6)</w:t>
            </w:r>
          </w:p>
        </w:tc>
        <w:tc>
          <w:tcPr>
            <w:tcW w:w="940" w:type="dxa"/>
            <w:tcBorders>
              <w:top w:val="nil"/>
              <w:left w:val="nil"/>
              <w:bottom w:val="nil"/>
              <w:right w:val="nil"/>
            </w:tcBorders>
            <w:shd w:val="clear" w:color="000000" w:fill="FFFFFF"/>
            <w:vAlign w:val="center"/>
            <w:hideMark/>
          </w:tcPr>
          <w:p w14:paraId="4FDA7D31"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$ 18</w:t>
            </w:r>
          </w:p>
        </w:tc>
        <w:tc>
          <w:tcPr>
            <w:tcW w:w="1580" w:type="dxa"/>
            <w:tcBorders>
              <w:top w:val="nil"/>
              <w:left w:val="nil"/>
              <w:bottom w:val="nil"/>
              <w:right w:val="nil"/>
            </w:tcBorders>
            <w:shd w:val="clear" w:color="000000" w:fill="FFFFFF"/>
            <w:vAlign w:val="center"/>
            <w:hideMark/>
          </w:tcPr>
          <w:p w14:paraId="0C01A296"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 , $ 35)</w:t>
            </w:r>
          </w:p>
        </w:tc>
        <w:tc>
          <w:tcPr>
            <w:tcW w:w="2790" w:type="dxa"/>
            <w:tcBorders>
              <w:top w:val="nil"/>
              <w:left w:val="nil"/>
              <w:bottom w:val="nil"/>
              <w:right w:val="nil"/>
            </w:tcBorders>
            <w:shd w:val="clear" w:color="000000" w:fill="FFFFFF"/>
            <w:vAlign w:val="center"/>
            <w:hideMark/>
          </w:tcPr>
          <w:p w14:paraId="35C7098B"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Annual per-pupil tertiary education subsidy * Scholarship impact on number of years of subsidy receipt (Panel B of Table 2, cols. 4 &amp; 6)</w:t>
            </w:r>
          </w:p>
        </w:tc>
      </w:tr>
      <w:tr w:rsidR="00FC6056" w:rsidRPr="00166607" w14:paraId="16401E10" w14:textId="77777777" w:rsidTr="00FC6056">
        <w:trPr>
          <w:trHeight w:val="440"/>
        </w:trPr>
        <w:tc>
          <w:tcPr>
            <w:tcW w:w="640" w:type="dxa"/>
            <w:tcBorders>
              <w:top w:val="nil"/>
              <w:left w:val="nil"/>
              <w:bottom w:val="nil"/>
              <w:right w:val="nil"/>
            </w:tcBorders>
            <w:shd w:val="clear" w:color="000000" w:fill="BFBFBF"/>
            <w:vAlign w:val="center"/>
            <w:hideMark/>
          </w:tcPr>
          <w:p w14:paraId="55CA964C"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9</w:t>
            </w:r>
          </w:p>
        </w:tc>
        <w:tc>
          <w:tcPr>
            <w:tcW w:w="1985" w:type="dxa"/>
            <w:tcBorders>
              <w:top w:val="nil"/>
              <w:left w:val="nil"/>
              <w:bottom w:val="nil"/>
              <w:right w:val="nil"/>
            </w:tcBorders>
            <w:shd w:val="clear" w:color="000000" w:fill="BFBFBF"/>
            <w:vAlign w:val="center"/>
            <w:hideMark/>
          </w:tcPr>
          <w:p w14:paraId="57F4B7B3"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Additional tertiary education costs (public education +     loan subsidies)</w:t>
            </w:r>
          </w:p>
        </w:tc>
        <w:tc>
          <w:tcPr>
            <w:tcW w:w="980" w:type="dxa"/>
            <w:tcBorders>
              <w:top w:val="nil"/>
              <w:left w:val="nil"/>
              <w:bottom w:val="nil"/>
              <w:right w:val="nil"/>
            </w:tcBorders>
            <w:shd w:val="clear" w:color="000000" w:fill="BFBFBF"/>
            <w:vAlign w:val="center"/>
            <w:hideMark/>
          </w:tcPr>
          <w:p w14:paraId="623842EA"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$ 15</w:t>
            </w:r>
          </w:p>
        </w:tc>
        <w:tc>
          <w:tcPr>
            <w:tcW w:w="1450" w:type="dxa"/>
            <w:tcBorders>
              <w:top w:val="nil"/>
              <w:left w:val="nil"/>
              <w:bottom w:val="nil"/>
              <w:right w:val="nil"/>
            </w:tcBorders>
            <w:shd w:val="clear" w:color="000000" w:fill="BFBFBF"/>
            <w:vAlign w:val="center"/>
            <w:hideMark/>
          </w:tcPr>
          <w:p w14:paraId="236BF2A3"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($ 5 , $ 34)</w:t>
            </w:r>
          </w:p>
        </w:tc>
        <w:tc>
          <w:tcPr>
            <w:tcW w:w="960" w:type="dxa"/>
            <w:tcBorders>
              <w:top w:val="nil"/>
              <w:left w:val="nil"/>
              <w:bottom w:val="nil"/>
              <w:right w:val="nil"/>
            </w:tcBorders>
            <w:shd w:val="clear" w:color="000000" w:fill="BFBFBF"/>
            <w:vAlign w:val="center"/>
            <w:hideMark/>
          </w:tcPr>
          <w:p w14:paraId="7F4812B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-$ 12</w:t>
            </w:r>
          </w:p>
        </w:tc>
        <w:tc>
          <w:tcPr>
            <w:tcW w:w="1650" w:type="dxa"/>
            <w:tcBorders>
              <w:top w:val="nil"/>
              <w:left w:val="nil"/>
              <w:bottom w:val="nil"/>
              <w:right w:val="nil"/>
            </w:tcBorders>
            <w:shd w:val="clear" w:color="000000" w:fill="BFBFBF"/>
            <w:vAlign w:val="center"/>
            <w:hideMark/>
          </w:tcPr>
          <w:p w14:paraId="0B028C23"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(-$35 , $ 12)</w:t>
            </w:r>
          </w:p>
        </w:tc>
        <w:tc>
          <w:tcPr>
            <w:tcW w:w="940" w:type="dxa"/>
            <w:tcBorders>
              <w:top w:val="nil"/>
              <w:left w:val="nil"/>
              <w:bottom w:val="nil"/>
              <w:right w:val="nil"/>
            </w:tcBorders>
            <w:shd w:val="clear" w:color="000000" w:fill="BFBFBF"/>
            <w:vAlign w:val="center"/>
            <w:hideMark/>
          </w:tcPr>
          <w:p w14:paraId="7BC6E138"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$ 55</w:t>
            </w:r>
          </w:p>
        </w:tc>
        <w:tc>
          <w:tcPr>
            <w:tcW w:w="1580" w:type="dxa"/>
            <w:tcBorders>
              <w:top w:val="nil"/>
              <w:left w:val="nil"/>
              <w:bottom w:val="nil"/>
              <w:right w:val="nil"/>
            </w:tcBorders>
            <w:shd w:val="clear" w:color="000000" w:fill="BFBFBF"/>
            <w:vAlign w:val="center"/>
            <w:hideMark/>
          </w:tcPr>
          <w:p w14:paraId="17BB1EA0"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($ 21 , $ 92)</w:t>
            </w:r>
          </w:p>
        </w:tc>
        <w:tc>
          <w:tcPr>
            <w:tcW w:w="2790" w:type="dxa"/>
            <w:tcBorders>
              <w:top w:val="nil"/>
              <w:left w:val="nil"/>
              <w:bottom w:val="nil"/>
              <w:right w:val="nil"/>
            </w:tcBorders>
            <w:shd w:val="clear" w:color="000000" w:fill="BFBFBF"/>
            <w:vAlign w:val="center"/>
            <w:hideMark/>
          </w:tcPr>
          <w:p w14:paraId="0092AE94"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Row (7) + Row (8)</w:t>
            </w:r>
          </w:p>
        </w:tc>
      </w:tr>
      <w:tr w:rsidR="00FC6056" w:rsidRPr="00166607" w14:paraId="3A4B7ADF" w14:textId="77777777" w:rsidTr="00FC6056">
        <w:trPr>
          <w:trHeight w:val="280"/>
        </w:trPr>
        <w:tc>
          <w:tcPr>
            <w:tcW w:w="640" w:type="dxa"/>
            <w:tcBorders>
              <w:top w:val="nil"/>
              <w:left w:val="nil"/>
              <w:bottom w:val="nil"/>
              <w:right w:val="nil"/>
            </w:tcBorders>
            <w:shd w:val="clear" w:color="000000" w:fill="FFFFFF"/>
            <w:vAlign w:val="center"/>
            <w:hideMark/>
          </w:tcPr>
          <w:p w14:paraId="34CE0B6E"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1985" w:type="dxa"/>
            <w:tcBorders>
              <w:top w:val="nil"/>
              <w:left w:val="nil"/>
              <w:bottom w:val="nil"/>
              <w:right w:val="nil"/>
            </w:tcBorders>
            <w:shd w:val="clear" w:color="000000" w:fill="FFFFFF"/>
            <w:vAlign w:val="center"/>
            <w:hideMark/>
          </w:tcPr>
          <w:p w14:paraId="5F99421B"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Welfare Receipt Costs</w:t>
            </w:r>
          </w:p>
        </w:tc>
        <w:tc>
          <w:tcPr>
            <w:tcW w:w="980" w:type="dxa"/>
            <w:tcBorders>
              <w:top w:val="nil"/>
              <w:left w:val="nil"/>
              <w:bottom w:val="nil"/>
              <w:right w:val="nil"/>
            </w:tcBorders>
            <w:shd w:val="clear" w:color="000000" w:fill="FFFFFF"/>
            <w:vAlign w:val="center"/>
            <w:hideMark/>
          </w:tcPr>
          <w:p w14:paraId="1589DE6A"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1450" w:type="dxa"/>
            <w:tcBorders>
              <w:top w:val="nil"/>
              <w:left w:val="nil"/>
              <w:bottom w:val="nil"/>
              <w:right w:val="nil"/>
            </w:tcBorders>
            <w:shd w:val="clear" w:color="000000" w:fill="FFFFFF"/>
            <w:vAlign w:val="center"/>
            <w:hideMark/>
          </w:tcPr>
          <w:p w14:paraId="6526472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960" w:type="dxa"/>
            <w:tcBorders>
              <w:top w:val="nil"/>
              <w:left w:val="nil"/>
              <w:bottom w:val="nil"/>
              <w:right w:val="nil"/>
            </w:tcBorders>
            <w:shd w:val="clear" w:color="000000" w:fill="FFFFFF"/>
            <w:vAlign w:val="center"/>
            <w:hideMark/>
          </w:tcPr>
          <w:p w14:paraId="088450F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1650" w:type="dxa"/>
            <w:tcBorders>
              <w:top w:val="nil"/>
              <w:left w:val="nil"/>
              <w:bottom w:val="nil"/>
              <w:right w:val="nil"/>
            </w:tcBorders>
            <w:shd w:val="clear" w:color="000000" w:fill="FFFFFF"/>
            <w:vAlign w:val="center"/>
            <w:hideMark/>
          </w:tcPr>
          <w:p w14:paraId="57225371"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940" w:type="dxa"/>
            <w:tcBorders>
              <w:top w:val="nil"/>
              <w:left w:val="nil"/>
              <w:bottom w:val="nil"/>
              <w:right w:val="nil"/>
            </w:tcBorders>
            <w:shd w:val="clear" w:color="000000" w:fill="FFFFFF"/>
            <w:vAlign w:val="center"/>
            <w:hideMark/>
          </w:tcPr>
          <w:p w14:paraId="5AE7F5BC"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1580" w:type="dxa"/>
            <w:tcBorders>
              <w:top w:val="nil"/>
              <w:left w:val="nil"/>
              <w:bottom w:val="nil"/>
              <w:right w:val="nil"/>
            </w:tcBorders>
            <w:shd w:val="clear" w:color="000000" w:fill="FFFFFF"/>
            <w:vAlign w:val="center"/>
            <w:hideMark/>
          </w:tcPr>
          <w:p w14:paraId="0FCB056A"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2790" w:type="dxa"/>
            <w:tcBorders>
              <w:top w:val="nil"/>
              <w:left w:val="nil"/>
              <w:bottom w:val="nil"/>
              <w:right w:val="nil"/>
            </w:tcBorders>
            <w:shd w:val="clear" w:color="000000" w:fill="FFFFFF"/>
            <w:vAlign w:val="center"/>
            <w:hideMark/>
          </w:tcPr>
          <w:p w14:paraId="7A9B7E5C"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r>
      <w:tr w:rsidR="00FC6056" w:rsidRPr="00166607" w14:paraId="193DB7A3" w14:textId="77777777" w:rsidTr="00FC6056">
        <w:trPr>
          <w:trHeight w:val="660"/>
        </w:trPr>
        <w:tc>
          <w:tcPr>
            <w:tcW w:w="640" w:type="dxa"/>
            <w:tcBorders>
              <w:top w:val="nil"/>
              <w:left w:val="nil"/>
              <w:bottom w:val="nil"/>
              <w:right w:val="nil"/>
            </w:tcBorders>
            <w:shd w:val="clear" w:color="000000" w:fill="BFBFBF"/>
            <w:vAlign w:val="center"/>
            <w:hideMark/>
          </w:tcPr>
          <w:p w14:paraId="7CB582C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10</w:t>
            </w:r>
          </w:p>
        </w:tc>
        <w:tc>
          <w:tcPr>
            <w:tcW w:w="1985" w:type="dxa"/>
            <w:tcBorders>
              <w:top w:val="nil"/>
              <w:left w:val="nil"/>
              <w:bottom w:val="nil"/>
              <w:right w:val="nil"/>
            </w:tcBorders>
            <w:shd w:val="clear" w:color="000000" w:fill="BFBFBF"/>
            <w:vAlign w:val="center"/>
            <w:hideMark/>
          </w:tcPr>
          <w:p w14:paraId="5A669D86"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Additional CCT receipt costs</w:t>
            </w:r>
          </w:p>
        </w:tc>
        <w:tc>
          <w:tcPr>
            <w:tcW w:w="980" w:type="dxa"/>
            <w:tcBorders>
              <w:top w:val="nil"/>
              <w:left w:val="nil"/>
              <w:bottom w:val="nil"/>
              <w:right w:val="nil"/>
            </w:tcBorders>
            <w:shd w:val="clear" w:color="000000" w:fill="BFBFBF"/>
            <w:vAlign w:val="center"/>
            <w:hideMark/>
          </w:tcPr>
          <w:p w14:paraId="2DB6157E"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$ 0</w:t>
            </w:r>
          </w:p>
        </w:tc>
        <w:tc>
          <w:tcPr>
            <w:tcW w:w="1450" w:type="dxa"/>
            <w:tcBorders>
              <w:top w:val="nil"/>
              <w:left w:val="nil"/>
              <w:bottom w:val="nil"/>
              <w:right w:val="nil"/>
            </w:tcBorders>
            <w:shd w:val="clear" w:color="000000" w:fill="BFBFBF"/>
            <w:vAlign w:val="center"/>
            <w:hideMark/>
          </w:tcPr>
          <w:p w14:paraId="3D634742"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(-$4 , $ 3)</w:t>
            </w:r>
          </w:p>
        </w:tc>
        <w:tc>
          <w:tcPr>
            <w:tcW w:w="960" w:type="dxa"/>
            <w:tcBorders>
              <w:top w:val="nil"/>
              <w:left w:val="nil"/>
              <w:bottom w:val="nil"/>
              <w:right w:val="nil"/>
            </w:tcBorders>
            <w:shd w:val="clear" w:color="000000" w:fill="BFBFBF"/>
            <w:vAlign w:val="center"/>
            <w:hideMark/>
          </w:tcPr>
          <w:p w14:paraId="24B18991"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$ 0</w:t>
            </w:r>
          </w:p>
        </w:tc>
        <w:tc>
          <w:tcPr>
            <w:tcW w:w="1650" w:type="dxa"/>
            <w:tcBorders>
              <w:top w:val="nil"/>
              <w:left w:val="nil"/>
              <w:bottom w:val="nil"/>
              <w:right w:val="nil"/>
            </w:tcBorders>
            <w:shd w:val="clear" w:color="000000" w:fill="BFBFBF"/>
            <w:vAlign w:val="center"/>
            <w:hideMark/>
          </w:tcPr>
          <w:p w14:paraId="49F74A4E"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(-$4 , $ 4)</w:t>
            </w:r>
          </w:p>
        </w:tc>
        <w:tc>
          <w:tcPr>
            <w:tcW w:w="940" w:type="dxa"/>
            <w:tcBorders>
              <w:top w:val="nil"/>
              <w:left w:val="nil"/>
              <w:bottom w:val="nil"/>
              <w:right w:val="nil"/>
            </w:tcBorders>
            <w:shd w:val="clear" w:color="000000" w:fill="BFBFBF"/>
            <w:vAlign w:val="center"/>
            <w:hideMark/>
          </w:tcPr>
          <w:p w14:paraId="2EEA68E1"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w:t>
            </w:r>
          </w:p>
        </w:tc>
        <w:tc>
          <w:tcPr>
            <w:tcW w:w="1580" w:type="dxa"/>
            <w:tcBorders>
              <w:top w:val="nil"/>
              <w:left w:val="nil"/>
              <w:bottom w:val="nil"/>
              <w:right w:val="nil"/>
            </w:tcBorders>
            <w:shd w:val="clear" w:color="000000" w:fill="BFBFBF"/>
            <w:vAlign w:val="center"/>
            <w:hideMark/>
          </w:tcPr>
          <w:p w14:paraId="71C651B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(-$7 , $ 2)</w:t>
            </w:r>
          </w:p>
        </w:tc>
        <w:tc>
          <w:tcPr>
            <w:tcW w:w="2790" w:type="dxa"/>
            <w:tcBorders>
              <w:top w:val="nil"/>
              <w:left w:val="nil"/>
              <w:bottom w:val="nil"/>
              <w:right w:val="nil"/>
            </w:tcBorders>
            <w:shd w:val="clear" w:color="000000" w:fill="BFBFBF"/>
            <w:vAlign w:val="center"/>
            <w:hideMark/>
          </w:tcPr>
          <w:p w14:paraId="60398204"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Annual CCT subsidy amount (see notes below) * Scholarship impact on CCT receipt (Table 6, cols. 4 &amp; 6)</w:t>
            </w:r>
          </w:p>
        </w:tc>
      </w:tr>
      <w:tr w:rsidR="00FC6056" w:rsidRPr="00166607" w14:paraId="37540EBD" w14:textId="77777777" w:rsidTr="00FC6056">
        <w:trPr>
          <w:trHeight w:val="280"/>
        </w:trPr>
        <w:tc>
          <w:tcPr>
            <w:tcW w:w="640" w:type="dxa"/>
            <w:tcBorders>
              <w:top w:val="nil"/>
              <w:left w:val="nil"/>
              <w:bottom w:val="nil"/>
              <w:right w:val="nil"/>
            </w:tcBorders>
            <w:shd w:val="clear" w:color="000000" w:fill="FFFFFF"/>
            <w:vAlign w:val="center"/>
            <w:hideMark/>
          </w:tcPr>
          <w:p w14:paraId="6FBA9612"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1985" w:type="dxa"/>
            <w:tcBorders>
              <w:top w:val="nil"/>
              <w:left w:val="nil"/>
              <w:bottom w:val="nil"/>
              <w:right w:val="nil"/>
            </w:tcBorders>
            <w:shd w:val="clear" w:color="000000" w:fill="FFFFFF"/>
            <w:vAlign w:val="center"/>
            <w:hideMark/>
          </w:tcPr>
          <w:p w14:paraId="641C10AC"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Foregone Revenue</w:t>
            </w:r>
          </w:p>
        </w:tc>
        <w:tc>
          <w:tcPr>
            <w:tcW w:w="980" w:type="dxa"/>
            <w:tcBorders>
              <w:top w:val="nil"/>
              <w:left w:val="nil"/>
              <w:bottom w:val="nil"/>
              <w:right w:val="nil"/>
            </w:tcBorders>
            <w:shd w:val="clear" w:color="000000" w:fill="FFFFFF"/>
            <w:vAlign w:val="center"/>
            <w:hideMark/>
          </w:tcPr>
          <w:p w14:paraId="23B87220"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1450" w:type="dxa"/>
            <w:tcBorders>
              <w:top w:val="nil"/>
              <w:left w:val="nil"/>
              <w:bottom w:val="nil"/>
              <w:right w:val="nil"/>
            </w:tcBorders>
            <w:shd w:val="clear" w:color="000000" w:fill="FFFFFF"/>
            <w:vAlign w:val="center"/>
            <w:hideMark/>
          </w:tcPr>
          <w:p w14:paraId="75FEEEB8"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960" w:type="dxa"/>
            <w:tcBorders>
              <w:top w:val="nil"/>
              <w:left w:val="nil"/>
              <w:bottom w:val="nil"/>
              <w:right w:val="nil"/>
            </w:tcBorders>
            <w:shd w:val="clear" w:color="000000" w:fill="FFFFFF"/>
            <w:vAlign w:val="center"/>
            <w:hideMark/>
          </w:tcPr>
          <w:p w14:paraId="5018F26B"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1650" w:type="dxa"/>
            <w:tcBorders>
              <w:top w:val="nil"/>
              <w:left w:val="nil"/>
              <w:bottom w:val="nil"/>
              <w:right w:val="nil"/>
            </w:tcBorders>
            <w:shd w:val="clear" w:color="000000" w:fill="FFFFFF"/>
            <w:vAlign w:val="center"/>
            <w:hideMark/>
          </w:tcPr>
          <w:p w14:paraId="6818CA29"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940" w:type="dxa"/>
            <w:tcBorders>
              <w:top w:val="nil"/>
              <w:left w:val="nil"/>
              <w:bottom w:val="nil"/>
              <w:right w:val="nil"/>
            </w:tcBorders>
            <w:shd w:val="clear" w:color="000000" w:fill="FFFFFF"/>
            <w:vAlign w:val="center"/>
            <w:hideMark/>
          </w:tcPr>
          <w:p w14:paraId="1A107830"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1580" w:type="dxa"/>
            <w:tcBorders>
              <w:top w:val="nil"/>
              <w:left w:val="nil"/>
              <w:bottom w:val="nil"/>
              <w:right w:val="nil"/>
            </w:tcBorders>
            <w:shd w:val="clear" w:color="000000" w:fill="FFFFFF"/>
            <w:vAlign w:val="center"/>
            <w:hideMark/>
          </w:tcPr>
          <w:p w14:paraId="04DF957E" w14:textId="77777777" w:rsidR="00FC6056" w:rsidRPr="00166607" w:rsidRDefault="00FC6056" w:rsidP="00FC6056">
            <w:pPr>
              <w:jc w:val="cente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 </w:t>
            </w:r>
          </w:p>
        </w:tc>
        <w:tc>
          <w:tcPr>
            <w:tcW w:w="2790" w:type="dxa"/>
            <w:tcBorders>
              <w:top w:val="nil"/>
              <w:left w:val="nil"/>
              <w:bottom w:val="nil"/>
              <w:right w:val="nil"/>
            </w:tcBorders>
            <w:shd w:val="clear" w:color="000000" w:fill="FFFFFF"/>
            <w:vAlign w:val="center"/>
            <w:hideMark/>
          </w:tcPr>
          <w:p w14:paraId="1076C444"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r>
      <w:tr w:rsidR="00FC6056" w:rsidRPr="00166607" w14:paraId="531F10EE" w14:textId="77777777" w:rsidTr="00FC6056">
        <w:trPr>
          <w:trHeight w:val="660"/>
        </w:trPr>
        <w:tc>
          <w:tcPr>
            <w:tcW w:w="640" w:type="dxa"/>
            <w:tcBorders>
              <w:top w:val="nil"/>
              <w:left w:val="nil"/>
              <w:bottom w:val="nil"/>
              <w:right w:val="nil"/>
            </w:tcBorders>
            <w:shd w:val="clear" w:color="000000" w:fill="FFFFFF"/>
            <w:vAlign w:val="center"/>
            <w:hideMark/>
          </w:tcPr>
          <w:p w14:paraId="2EC63EAE"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11</w:t>
            </w:r>
          </w:p>
        </w:tc>
        <w:tc>
          <w:tcPr>
            <w:tcW w:w="1985" w:type="dxa"/>
            <w:tcBorders>
              <w:top w:val="nil"/>
              <w:left w:val="nil"/>
              <w:bottom w:val="nil"/>
              <w:right w:val="nil"/>
            </w:tcBorders>
            <w:shd w:val="clear" w:color="000000" w:fill="FFFFFF"/>
            <w:vAlign w:val="center"/>
            <w:hideMark/>
          </w:tcPr>
          <w:p w14:paraId="065F60C5"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Foregone tax revenue from VAT tax</w:t>
            </w:r>
          </w:p>
        </w:tc>
        <w:tc>
          <w:tcPr>
            <w:tcW w:w="980" w:type="dxa"/>
            <w:tcBorders>
              <w:top w:val="nil"/>
              <w:left w:val="nil"/>
              <w:bottom w:val="nil"/>
              <w:right w:val="nil"/>
            </w:tcBorders>
            <w:shd w:val="clear" w:color="000000" w:fill="FFFFFF"/>
            <w:vAlign w:val="center"/>
            <w:hideMark/>
          </w:tcPr>
          <w:p w14:paraId="14102AF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$ 28</w:t>
            </w:r>
          </w:p>
        </w:tc>
        <w:tc>
          <w:tcPr>
            <w:tcW w:w="1450" w:type="dxa"/>
            <w:tcBorders>
              <w:top w:val="nil"/>
              <w:left w:val="nil"/>
              <w:bottom w:val="nil"/>
              <w:right w:val="nil"/>
            </w:tcBorders>
            <w:shd w:val="clear" w:color="000000" w:fill="FFFFFF"/>
            <w:vAlign w:val="center"/>
            <w:hideMark/>
          </w:tcPr>
          <w:p w14:paraId="4B4C8DC2"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($ 27 , $ 29)</w:t>
            </w:r>
          </w:p>
        </w:tc>
        <w:tc>
          <w:tcPr>
            <w:tcW w:w="960" w:type="dxa"/>
            <w:tcBorders>
              <w:top w:val="nil"/>
              <w:left w:val="nil"/>
              <w:bottom w:val="nil"/>
              <w:right w:val="nil"/>
            </w:tcBorders>
            <w:shd w:val="clear" w:color="000000" w:fill="FFFFFF"/>
            <w:vAlign w:val="center"/>
            <w:hideMark/>
          </w:tcPr>
          <w:p w14:paraId="52E73161"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$ 28</w:t>
            </w:r>
          </w:p>
        </w:tc>
        <w:tc>
          <w:tcPr>
            <w:tcW w:w="1650" w:type="dxa"/>
            <w:tcBorders>
              <w:top w:val="nil"/>
              <w:left w:val="nil"/>
              <w:bottom w:val="nil"/>
              <w:right w:val="nil"/>
            </w:tcBorders>
            <w:shd w:val="clear" w:color="000000" w:fill="FFFFFF"/>
            <w:vAlign w:val="center"/>
            <w:hideMark/>
          </w:tcPr>
          <w:p w14:paraId="0A5E3148"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($ 26 , $ 30)</w:t>
            </w:r>
          </w:p>
        </w:tc>
        <w:tc>
          <w:tcPr>
            <w:tcW w:w="940" w:type="dxa"/>
            <w:tcBorders>
              <w:top w:val="nil"/>
              <w:left w:val="nil"/>
              <w:bottom w:val="nil"/>
              <w:right w:val="nil"/>
            </w:tcBorders>
            <w:shd w:val="clear" w:color="000000" w:fill="FFFFFF"/>
            <w:vAlign w:val="center"/>
            <w:hideMark/>
          </w:tcPr>
          <w:p w14:paraId="5A953EDE"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$ 29</w:t>
            </w:r>
          </w:p>
        </w:tc>
        <w:tc>
          <w:tcPr>
            <w:tcW w:w="1580" w:type="dxa"/>
            <w:tcBorders>
              <w:top w:val="nil"/>
              <w:left w:val="nil"/>
              <w:bottom w:val="nil"/>
              <w:right w:val="nil"/>
            </w:tcBorders>
            <w:shd w:val="clear" w:color="000000" w:fill="FFFFFF"/>
            <w:vAlign w:val="center"/>
            <w:hideMark/>
          </w:tcPr>
          <w:p w14:paraId="2A99AED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($ 27 , $ 31)</w:t>
            </w:r>
          </w:p>
        </w:tc>
        <w:tc>
          <w:tcPr>
            <w:tcW w:w="2790" w:type="dxa"/>
            <w:tcBorders>
              <w:top w:val="nil"/>
              <w:left w:val="nil"/>
              <w:bottom w:val="nil"/>
              <w:right w:val="nil"/>
            </w:tcBorders>
            <w:shd w:val="clear" w:color="000000" w:fill="FFFFFF"/>
            <w:vAlign w:val="center"/>
            <w:hideMark/>
          </w:tcPr>
          <w:p w14:paraId="64D4CF3C"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Formal annual earnings of losers* Scholarship impact on years of education *VAT tax of 13.3%</w:t>
            </w:r>
          </w:p>
        </w:tc>
      </w:tr>
      <w:tr w:rsidR="00FC6056" w:rsidRPr="00166607" w14:paraId="2164E56A" w14:textId="77777777" w:rsidTr="00FC6056">
        <w:trPr>
          <w:trHeight w:val="660"/>
        </w:trPr>
        <w:tc>
          <w:tcPr>
            <w:tcW w:w="640" w:type="dxa"/>
            <w:tcBorders>
              <w:top w:val="nil"/>
              <w:left w:val="nil"/>
              <w:bottom w:val="nil"/>
              <w:right w:val="nil"/>
            </w:tcBorders>
            <w:shd w:val="clear" w:color="000000" w:fill="FFFFFF"/>
            <w:vAlign w:val="center"/>
            <w:hideMark/>
          </w:tcPr>
          <w:p w14:paraId="69D9560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12</w:t>
            </w:r>
          </w:p>
        </w:tc>
        <w:tc>
          <w:tcPr>
            <w:tcW w:w="1985" w:type="dxa"/>
            <w:tcBorders>
              <w:top w:val="nil"/>
              <w:left w:val="nil"/>
              <w:bottom w:val="nil"/>
              <w:right w:val="nil"/>
            </w:tcBorders>
            <w:shd w:val="clear" w:color="000000" w:fill="FFFFFF"/>
            <w:vAlign w:val="center"/>
            <w:hideMark/>
          </w:tcPr>
          <w:p w14:paraId="51C5FCAB"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Foregone net government transfers through payroll taxes</w:t>
            </w:r>
          </w:p>
        </w:tc>
        <w:tc>
          <w:tcPr>
            <w:tcW w:w="980" w:type="dxa"/>
            <w:tcBorders>
              <w:top w:val="nil"/>
              <w:left w:val="nil"/>
              <w:bottom w:val="nil"/>
              <w:right w:val="nil"/>
            </w:tcBorders>
            <w:shd w:val="clear" w:color="000000" w:fill="FFFFFF"/>
            <w:vAlign w:val="center"/>
            <w:hideMark/>
          </w:tcPr>
          <w:p w14:paraId="337B19D1"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$ 24</w:t>
            </w:r>
          </w:p>
        </w:tc>
        <w:tc>
          <w:tcPr>
            <w:tcW w:w="1450" w:type="dxa"/>
            <w:tcBorders>
              <w:top w:val="nil"/>
              <w:left w:val="nil"/>
              <w:bottom w:val="nil"/>
              <w:right w:val="nil"/>
            </w:tcBorders>
            <w:shd w:val="clear" w:color="000000" w:fill="FFFFFF"/>
            <w:vAlign w:val="center"/>
            <w:hideMark/>
          </w:tcPr>
          <w:p w14:paraId="149A3DC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($ 22 , $ 25)</w:t>
            </w:r>
          </w:p>
        </w:tc>
        <w:tc>
          <w:tcPr>
            <w:tcW w:w="960" w:type="dxa"/>
            <w:tcBorders>
              <w:top w:val="nil"/>
              <w:left w:val="nil"/>
              <w:bottom w:val="nil"/>
              <w:right w:val="nil"/>
            </w:tcBorders>
            <w:shd w:val="clear" w:color="000000" w:fill="FFFFFF"/>
            <w:vAlign w:val="center"/>
            <w:hideMark/>
          </w:tcPr>
          <w:p w14:paraId="7C40760B"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$ 24</w:t>
            </w:r>
          </w:p>
        </w:tc>
        <w:tc>
          <w:tcPr>
            <w:tcW w:w="1650" w:type="dxa"/>
            <w:tcBorders>
              <w:top w:val="nil"/>
              <w:left w:val="nil"/>
              <w:bottom w:val="nil"/>
              <w:right w:val="nil"/>
            </w:tcBorders>
            <w:shd w:val="clear" w:color="000000" w:fill="FFFFFF"/>
            <w:vAlign w:val="center"/>
            <w:hideMark/>
          </w:tcPr>
          <w:p w14:paraId="4FFD8F23"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($ 22 , $ 25)</w:t>
            </w:r>
          </w:p>
        </w:tc>
        <w:tc>
          <w:tcPr>
            <w:tcW w:w="940" w:type="dxa"/>
            <w:tcBorders>
              <w:top w:val="nil"/>
              <w:left w:val="nil"/>
              <w:bottom w:val="nil"/>
              <w:right w:val="nil"/>
            </w:tcBorders>
            <w:shd w:val="clear" w:color="000000" w:fill="FFFFFF"/>
            <w:vAlign w:val="center"/>
            <w:hideMark/>
          </w:tcPr>
          <w:p w14:paraId="4D69176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$ 25</w:t>
            </w:r>
          </w:p>
        </w:tc>
        <w:tc>
          <w:tcPr>
            <w:tcW w:w="1580" w:type="dxa"/>
            <w:tcBorders>
              <w:top w:val="nil"/>
              <w:left w:val="nil"/>
              <w:bottom w:val="nil"/>
              <w:right w:val="nil"/>
            </w:tcBorders>
            <w:shd w:val="clear" w:color="000000" w:fill="FFFFFF"/>
            <w:vAlign w:val="center"/>
            <w:hideMark/>
          </w:tcPr>
          <w:p w14:paraId="53B343D3"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($ 23 , $ 27)</w:t>
            </w:r>
          </w:p>
        </w:tc>
        <w:tc>
          <w:tcPr>
            <w:tcW w:w="2790" w:type="dxa"/>
            <w:tcBorders>
              <w:top w:val="nil"/>
              <w:left w:val="nil"/>
              <w:bottom w:val="nil"/>
              <w:right w:val="nil"/>
            </w:tcBorders>
            <w:shd w:val="clear" w:color="000000" w:fill="FFFFFF"/>
            <w:vAlign w:val="center"/>
            <w:hideMark/>
          </w:tcPr>
          <w:p w14:paraId="1F3DD018"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Annual payroll taxes of losers* Scholarship impact on years of education *0.4</w:t>
            </w:r>
          </w:p>
        </w:tc>
      </w:tr>
      <w:tr w:rsidR="00FC6056" w:rsidRPr="00166607" w14:paraId="274DFCAC" w14:textId="77777777" w:rsidTr="00FC6056">
        <w:trPr>
          <w:trHeight w:val="280"/>
        </w:trPr>
        <w:tc>
          <w:tcPr>
            <w:tcW w:w="640" w:type="dxa"/>
            <w:tcBorders>
              <w:top w:val="nil"/>
              <w:left w:val="nil"/>
              <w:bottom w:val="nil"/>
              <w:right w:val="nil"/>
            </w:tcBorders>
            <w:shd w:val="clear" w:color="000000" w:fill="BFBFBF"/>
            <w:vAlign w:val="center"/>
            <w:hideMark/>
          </w:tcPr>
          <w:p w14:paraId="36C1CBEE"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13</w:t>
            </w:r>
          </w:p>
        </w:tc>
        <w:tc>
          <w:tcPr>
            <w:tcW w:w="1985" w:type="dxa"/>
            <w:tcBorders>
              <w:top w:val="nil"/>
              <w:left w:val="nil"/>
              <w:bottom w:val="nil"/>
              <w:right w:val="nil"/>
            </w:tcBorders>
            <w:shd w:val="clear" w:color="000000" w:fill="BFBFBF"/>
            <w:vAlign w:val="center"/>
            <w:hideMark/>
          </w:tcPr>
          <w:p w14:paraId="43B93AAF"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Total foregone revenue</w:t>
            </w:r>
          </w:p>
        </w:tc>
        <w:tc>
          <w:tcPr>
            <w:tcW w:w="980" w:type="dxa"/>
            <w:tcBorders>
              <w:top w:val="nil"/>
              <w:left w:val="nil"/>
              <w:bottom w:val="nil"/>
              <w:right w:val="nil"/>
            </w:tcBorders>
            <w:shd w:val="clear" w:color="000000" w:fill="BFBFBF"/>
            <w:vAlign w:val="center"/>
            <w:hideMark/>
          </w:tcPr>
          <w:p w14:paraId="340D218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$ 52</w:t>
            </w:r>
          </w:p>
        </w:tc>
        <w:tc>
          <w:tcPr>
            <w:tcW w:w="1450" w:type="dxa"/>
            <w:tcBorders>
              <w:top w:val="nil"/>
              <w:left w:val="nil"/>
              <w:bottom w:val="nil"/>
              <w:right w:val="nil"/>
            </w:tcBorders>
            <w:shd w:val="clear" w:color="000000" w:fill="BFBFBF"/>
            <w:vAlign w:val="center"/>
            <w:hideMark/>
          </w:tcPr>
          <w:p w14:paraId="76CBABE7"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($ 49 - $ 54)</w:t>
            </w:r>
          </w:p>
        </w:tc>
        <w:tc>
          <w:tcPr>
            <w:tcW w:w="960" w:type="dxa"/>
            <w:tcBorders>
              <w:top w:val="nil"/>
              <w:left w:val="nil"/>
              <w:bottom w:val="nil"/>
              <w:right w:val="nil"/>
            </w:tcBorders>
            <w:shd w:val="clear" w:color="000000" w:fill="BFBFBF"/>
            <w:vAlign w:val="center"/>
            <w:hideMark/>
          </w:tcPr>
          <w:p w14:paraId="7E8EACC8"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$ 51</w:t>
            </w:r>
          </w:p>
        </w:tc>
        <w:tc>
          <w:tcPr>
            <w:tcW w:w="1650" w:type="dxa"/>
            <w:tcBorders>
              <w:top w:val="nil"/>
              <w:left w:val="nil"/>
              <w:bottom w:val="nil"/>
              <w:right w:val="nil"/>
            </w:tcBorders>
            <w:shd w:val="clear" w:color="000000" w:fill="BFBFBF"/>
            <w:vAlign w:val="center"/>
            <w:hideMark/>
          </w:tcPr>
          <w:p w14:paraId="42877C3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($ 48 - $ 55)</w:t>
            </w:r>
          </w:p>
        </w:tc>
        <w:tc>
          <w:tcPr>
            <w:tcW w:w="940" w:type="dxa"/>
            <w:tcBorders>
              <w:top w:val="nil"/>
              <w:left w:val="nil"/>
              <w:bottom w:val="nil"/>
              <w:right w:val="nil"/>
            </w:tcBorders>
            <w:shd w:val="clear" w:color="000000" w:fill="BFBFBF"/>
            <w:vAlign w:val="center"/>
            <w:hideMark/>
          </w:tcPr>
          <w:p w14:paraId="62B4A0FE"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$ 54</w:t>
            </w:r>
          </w:p>
        </w:tc>
        <w:tc>
          <w:tcPr>
            <w:tcW w:w="1580" w:type="dxa"/>
            <w:tcBorders>
              <w:top w:val="nil"/>
              <w:left w:val="nil"/>
              <w:bottom w:val="nil"/>
              <w:right w:val="nil"/>
            </w:tcBorders>
            <w:shd w:val="clear" w:color="000000" w:fill="BFBFBF"/>
            <w:vAlign w:val="center"/>
            <w:hideMark/>
          </w:tcPr>
          <w:p w14:paraId="469122C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($ 49 - $ 58)</w:t>
            </w:r>
          </w:p>
        </w:tc>
        <w:tc>
          <w:tcPr>
            <w:tcW w:w="2790" w:type="dxa"/>
            <w:tcBorders>
              <w:top w:val="nil"/>
              <w:left w:val="nil"/>
              <w:bottom w:val="nil"/>
              <w:right w:val="nil"/>
            </w:tcBorders>
            <w:shd w:val="clear" w:color="000000" w:fill="BFBFBF"/>
            <w:vAlign w:val="center"/>
            <w:hideMark/>
          </w:tcPr>
          <w:p w14:paraId="48EF81A9"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Row (11) + Row (12)</w:t>
            </w:r>
          </w:p>
        </w:tc>
      </w:tr>
      <w:tr w:rsidR="00FC6056" w:rsidRPr="00166607" w14:paraId="671BE084" w14:textId="77777777" w:rsidTr="00FC6056">
        <w:trPr>
          <w:trHeight w:val="440"/>
        </w:trPr>
        <w:tc>
          <w:tcPr>
            <w:tcW w:w="640" w:type="dxa"/>
            <w:tcBorders>
              <w:top w:val="nil"/>
              <w:left w:val="nil"/>
              <w:bottom w:val="nil"/>
              <w:right w:val="nil"/>
            </w:tcBorders>
            <w:shd w:val="clear" w:color="000000" w:fill="FFFFFF"/>
            <w:vAlign w:val="center"/>
            <w:hideMark/>
          </w:tcPr>
          <w:p w14:paraId="75E328E0"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14</w:t>
            </w:r>
          </w:p>
        </w:tc>
        <w:tc>
          <w:tcPr>
            <w:tcW w:w="1985" w:type="dxa"/>
            <w:tcBorders>
              <w:top w:val="nil"/>
              <w:left w:val="nil"/>
              <w:bottom w:val="nil"/>
              <w:right w:val="nil"/>
            </w:tcBorders>
            <w:shd w:val="clear" w:color="000000" w:fill="FFFFFF"/>
            <w:vAlign w:val="center"/>
            <w:hideMark/>
          </w:tcPr>
          <w:p w14:paraId="26A403C6" w14:textId="0891E639" w:rsidR="00FC6056" w:rsidRPr="00166607" w:rsidRDefault="00FC6056" w:rsidP="002820B8">
            <w:pP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Expected scholarship costs to government</w:t>
            </w:r>
          </w:p>
        </w:tc>
        <w:tc>
          <w:tcPr>
            <w:tcW w:w="980" w:type="dxa"/>
            <w:tcBorders>
              <w:top w:val="nil"/>
              <w:left w:val="nil"/>
              <w:bottom w:val="nil"/>
              <w:right w:val="nil"/>
            </w:tcBorders>
            <w:shd w:val="clear" w:color="000000" w:fill="FFFFFF"/>
            <w:vAlign w:val="center"/>
            <w:hideMark/>
          </w:tcPr>
          <w:p w14:paraId="7D319A11"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$ 360</w:t>
            </w:r>
          </w:p>
        </w:tc>
        <w:tc>
          <w:tcPr>
            <w:tcW w:w="1450" w:type="dxa"/>
            <w:tcBorders>
              <w:top w:val="nil"/>
              <w:left w:val="nil"/>
              <w:bottom w:val="nil"/>
              <w:right w:val="nil"/>
            </w:tcBorders>
            <w:shd w:val="clear" w:color="000000" w:fill="FFFFFF"/>
            <w:vAlign w:val="center"/>
            <w:hideMark/>
          </w:tcPr>
          <w:p w14:paraId="72F087E4"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($ 340 , $ 378)</w:t>
            </w:r>
          </w:p>
        </w:tc>
        <w:tc>
          <w:tcPr>
            <w:tcW w:w="960" w:type="dxa"/>
            <w:tcBorders>
              <w:top w:val="nil"/>
              <w:left w:val="nil"/>
              <w:bottom w:val="nil"/>
              <w:right w:val="nil"/>
            </w:tcBorders>
            <w:shd w:val="clear" w:color="000000" w:fill="FFFFFF"/>
            <w:vAlign w:val="center"/>
            <w:hideMark/>
          </w:tcPr>
          <w:p w14:paraId="109A30A4"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$ 333</w:t>
            </w:r>
          </w:p>
        </w:tc>
        <w:tc>
          <w:tcPr>
            <w:tcW w:w="1650" w:type="dxa"/>
            <w:tcBorders>
              <w:top w:val="nil"/>
              <w:left w:val="nil"/>
              <w:bottom w:val="nil"/>
              <w:right w:val="nil"/>
            </w:tcBorders>
            <w:shd w:val="clear" w:color="000000" w:fill="FFFFFF"/>
            <w:vAlign w:val="center"/>
            <w:hideMark/>
          </w:tcPr>
          <w:p w14:paraId="0648ABF8"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($ 312 , $ 356)</w:t>
            </w:r>
          </w:p>
        </w:tc>
        <w:tc>
          <w:tcPr>
            <w:tcW w:w="940" w:type="dxa"/>
            <w:tcBorders>
              <w:top w:val="nil"/>
              <w:left w:val="nil"/>
              <w:bottom w:val="nil"/>
              <w:right w:val="nil"/>
            </w:tcBorders>
            <w:shd w:val="clear" w:color="000000" w:fill="FFFFFF"/>
            <w:vAlign w:val="center"/>
            <w:hideMark/>
          </w:tcPr>
          <w:p w14:paraId="2CF9F8E6"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$ 401</w:t>
            </w:r>
          </w:p>
        </w:tc>
        <w:tc>
          <w:tcPr>
            <w:tcW w:w="1580" w:type="dxa"/>
            <w:tcBorders>
              <w:top w:val="nil"/>
              <w:left w:val="nil"/>
              <w:bottom w:val="nil"/>
              <w:right w:val="nil"/>
            </w:tcBorders>
            <w:shd w:val="clear" w:color="000000" w:fill="FFFFFF"/>
            <w:vAlign w:val="center"/>
            <w:hideMark/>
          </w:tcPr>
          <w:p w14:paraId="0CCE650D"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($ 367 , $ 436)</w:t>
            </w:r>
          </w:p>
        </w:tc>
        <w:tc>
          <w:tcPr>
            <w:tcW w:w="2790" w:type="dxa"/>
            <w:tcBorders>
              <w:top w:val="nil"/>
              <w:left w:val="nil"/>
              <w:bottom w:val="nil"/>
              <w:right w:val="nil"/>
            </w:tcBorders>
            <w:shd w:val="clear" w:color="000000" w:fill="FFFFFF"/>
            <w:vAlign w:val="center"/>
            <w:hideMark/>
          </w:tcPr>
          <w:p w14:paraId="650760DD"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Row (6) + Row (9) + Row (10) + Row (13)</w:t>
            </w:r>
          </w:p>
        </w:tc>
      </w:tr>
      <w:tr w:rsidR="00FC6056" w:rsidRPr="00166607" w14:paraId="6D838959" w14:textId="77777777" w:rsidTr="00FC6056">
        <w:trPr>
          <w:trHeight w:val="460"/>
        </w:trPr>
        <w:tc>
          <w:tcPr>
            <w:tcW w:w="640" w:type="dxa"/>
            <w:tcBorders>
              <w:top w:val="nil"/>
              <w:left w:val="nil"/>
              <w:bottom w:val="nil"/>
              <w:right w:val="nil"/>
            </w:tcBorders>
            <w:shd w:val="clear" w:color="000000" w:fill="FFFFFF"/>
            <w:vAlign w:val="center"/>
            <w:hideMark/>
          </w:tcPr>
          <w:p w14:paraId="338106D0"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15</w:t>
            </w:r>
          </w:p>
        </w:tc>
        <w:tc>
          <w:tcPr>
            <w:tcW w:w="1985" w:type="dxa"/>
            <w:tcBorders>
              <w:top w:val="nil"/>
              <w:left w:val="nil"/>
              <w:bottom w:val="nil"/>
              <w:right w:val="nil"/>
            </w:tcBorders>
            <w:shd w:val="clear" w:color="000000" w:fill="FFFFFF"/>
            <w:vAlign w:val="center"/>
            <w:hideMark/>
          </w:tcPr>
          <w:p w14:paraId="77EF31C0" w14:textId="0A7EE8E7" w:rsidR="00FC6056" w:rsidRPr="00166607" w:rsidRDefault="00FC6056" w:rsidP="002820B8">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Expected scholarship costs to government, 6% discount rate</w:t>
            </w:r>
          </w:p>
        </w:tc>
        <w:tc>
          <w:tcPr>
            <w:tcW w:w="980" w:type="dxa"/>
            <w:tcBorders>
              <w:top w:val="nil"/>
              <w:left w:val="nil"/>
              <w:bottom w:val="nil"/>
              <w:right w:val="nil"/>
            </w:tcBorders>
            <w:shd w:val="clear" w:color="000000" w:fill="FFFFFF"/>
            <w:vAlign w:val="center"/>
            <w:hideMark/>
          </w:tcPr>
          <w:p w14:paraId="2E548AF0"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$ 319</w:t>
            </w:r>
          </w:p>
        </w:tc>
        <w:tc>
          <w:tcPr>
            <w:tcW w:w="1450" w:type="dxa"/>
            <w:tcBorders>
              <w:top w:val="nil"/>
              <w:left w:val="nil"/>
              <w:bottom w:val="nil"/>
              <w:right w:val="nil"/>
            </w:tcBorders>
            <w:shd w:val="clear" w:color="000000" w:fill="FFFFFF"/>
            <w:vAlign w:val="center"/>
            <w:hideMark/>
          </w:tcPr>
          <w:p w14:paraId="7C62DA26"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($ 305 , $ 332)</w:t>
            </w:r>
          </w:p>
        </w:tc>
        <w:tc>
          <w:tcPr>
            <w:tcW w:w="960" w:type="dxa"/>
            <w:tcBorders>
              <w:top w:val="nil"/>
              <w:left w:val="nil"/>
              <w:bottom w:val="nil"/>
              <w:right w:val="nil"/>
            </w:tcBorders>
            <w:shd w:val="clear" w:color="000000" w:fill="FFFFFF"/>
            <w:vAlign w:val="center"/>
            <w:hideMark/>
          </w:tcPr>
          <w:p w14:paraId="7757D026"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$ 300</w:t>
            </w:r>
          </w:p>
        </w:tc>
        <w:tc>
          <w:tcPr>
            <w:tcW w:w="1650" w:type="dxa"/>
            <w:tcBorders>
              <w:top w:val="nil"/>
              <w:left w:val="nil"/>
              <w:bottom w:val="nil"/>
              <w:right w:val="nil"/>
            </w:tcBorders>
            <w:shd w:val="clear" w:color="000000" w:fill="FFFFFF"/>
            <w:vAlign w:val="center"/>
            <w:hideMark/>
          </w:tcPr>
          <w:p w14:paraId="7ED934D1"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($ 286 , $ 316)</w:t>
            </w:r>
          </w:p>
        </w:tc>
        <w:tc>
          <w:tcPr>
            <w:tcW w:w="940" w:type="dxa"/>
            <w:tcBorders>
              <w:top w:val="nil"/>
              <w:left w:val="nil"/>
              <w:bottom w:val="nil"/>
              <w:right w:val="nil"/>
            </w:tcBorders>
            <w:shd w:val="clear" w:color="000000" w:fill="FFFFFF"/>
            <w:vAlign w:val="center"/>
            <w:hideMark/>
          </w:tcPr>
          <w:p w14:paraId="6DCC2F3B"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$ 348</w:t>
            </w:r>
          </w:p>
        </w:tc>
        <w:tc>
          <w:tcPr>
            <w:tcW w:w="1580" w:type="dxa"/>
            <w:tcBorders>
              <w:top w:val="nil"/>
              <w:left w:val="nil"/>
              <w:bottom w:val="nil"/>
              <w:right w:val="nil"/>
            </w:tcBorders>
            <w:shd w:val="clear" w:color="000000" w:fill="FFFFFF"/>
            <w:vAlign w:val="center"/>
            <w:hideMark/>
          </w:tcPr>
          <w:p w14:paraId="4D3CEDA2"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($ 324 , $ 374)</w:t>
            </w:r>
          </w:p>
        </w:tc>
        <w:tc>
          <w:tcPr>
            <w:tcW w:w="2790" w:type="dxa"/>
            <w:tcBorders>
              <w:top w:val="nil"/>
              <w:left w:val="nil"/>
              <w:bottom w:val="nil"/>
              <w:right w:val="nil"/>
            </w:tcBorders>
            <w:shd w:val="clear" w:color="000000" w:fill="FFFFFF"/>
            <w:vAlign w:val="center"/>
            <w:hideMark/>
          </w:tcPr>
          <w:p w14:paraId="35753BCA"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Same calculations as above using 6% discount rate</w:t>
            </w:r>
          </w:p>
        </w:tc>
      </w:tr>
      <w:tr w:rsidR="00FC6056" w:rsidRPr="00166607" w14:paraId="0A05B65B" w14:textId="77777777" w:rsidTr="00FC6056">
        <w:trPr>
          <w:trHeight w:val="300"/>
        </w:trPr>
        <w:tc>
          <w:tcPr>
            <w:tcW w:w="640" w:type="dxa"/>
            <w:tcBorders>
              <w:top w:val="single" w:sz="8" w:space="0" w:color="auto"/>
              <w:left w:val="nil"/>
              <w:bottom w:val="single" w:sz="8" w:space="0" w:color="auto"/>
              <w:right w:val="nil"/>
            </w:tcBorders>
            <w:shd w:val="clear" w:color="000000" w:fill="FFFFFF"/>
            <w:vAlign w:val="center"/>
            <w:hideMark/>
          </w:tcPr>
          <w:p w14:paraId="6A391AC8"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c>
          <w:tcPr>
            <w:tcW w:w="1985" w:type="dxa"/>
            <w:tcBorders>
              <w:top w:val="single" w:sz="8" w:space="0" w:color="auto"/>
              <w:left w:val="nil"/>
              <w:bottom w:val="single" w:sz="8" w:space="0" w:color="auto"/>
              <w:right w:val="nil"/>
            </w:tcBorders>
            <w:shd w:val="clear" w:color="000000" w:fill="FFFFFF"/>
            <w:vAlign w:val="center"/>
            <w:hideMark/>
          </w:tcPr>
          <w:p w14:paraId="2BC569D0"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B. Government Revenue</w:t>
            </w:r>
          </w:p>
        </w:tc>
        <w:tc>
          <w:tcPr>
            <w:tcW w:w="980" w:type="dxa"/>
            <w:tcBorders>
              <w:top w:val="single" w:sz="8" w:space="0" w:color="auto"/>
              <w:left w:val="nil"/>
              <w:bottom w:val="single" w:sz="8" w:space="0" w:color="auto"/>
              <w:right w:val="nil"/>
            </w:tcBorders>
            <w:shd w:val="clear" w:color="000000" w:fill="FFFFFF"/>
            <w:vAlign w:val="center"/>
            <w:hideMark/>
          </w:tcPr>
          <w:p w14:paraId="4F790D67"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1450" w:type="dxa"/>
            <w:tcBorders>
              <w:top w:val="single" w:sz="8" w:space="0" w:color="auto"/>
              <w:left w:val="nil"/>
              <w:bottom w:val="single" w:sz="8" w:space="0" w:color="auto"/>
              <w:right w:val="nil"/>
            </w:tcBorders>
            <w:shd w:val="clear" w:color="000000" w:fill="FFFFFF"/>
            <w:vAlign w:val="center"/>
            <w:hideMark/>
          </w:tcPr>
          <w:p w14:paraId="72041523"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960" w:type="dxa"/>
            <w:tcBorders>
              <w:top w:val="single" w:sz="8" w:space="0" w:color="auto"/>
              <w:left w:val="nil"/>
              <w:bottom w:val="single" w:sz="8" w:space="0" w:color="auto"/>
              <w:right w:val="nil"/>
            </w:tcBorders>
            <w:shd w:val="clear" w:color="000000" w:fill="FFFFFF"/>
            <w:vAlign w:val="center"/>
            <w:hideMark/>
          </w:tcPr>
          <w:p w14:paraId="21ABCF0F"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1650" w:type="dxa"/>
            <w:tcBorders>
              <w:top w:val="single" w:sz="8" w:space="0" w:color="auto"/>
              <w:left w:val="nil"/>
              <w:bottom w:val="single" w:sz="8" w:space="0" w:color="auto"/>
              <w:right w:val="nil"/>
            </w:tcBorders>
            <w:shd w:val="clear" w:color="000000" w:fill="FFFFFF"/>
            <w:vAlign w:val="center"/>
            <w:hideMark/>
          </w:tcPr>
          <w:p w14:paraId="5733494A"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940" w:type="dxa"/>
            <w:tcBorders>
              <w:top w:val="single" w:sz="8" w:space="0" w:color="auto"/>
              <w:left w:val="nil"/>
              <w:bottom w:val="single" w:sz="8" w:space="0" w:color="auto"/>
              <w:right w:val="nil"/>
            </w:tcBorders>
            <w:shd w:val="clear" w:color="000000" w:fill="FFFFFF"/>
            <w:vAlign w:val="center"/>
            <w:hideMark/>
          </w:tcPr>
          <w:p w14:paraId="658F89BA"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1580" w:type="dxa"/>
            <w:tcBorders>
              <w:top w:val="single" w:sz="8" w:space="0" w:color="auto"/>
              <w:left w:val="nil"/>
              <w:bottom w:val="single" w:sz="8" w:space="0" w:color="auto"/>
              <w:right w:val="nil"/>
            </w:tcBorders>
            <w:shd w:val="clear" w:color="000000" w:fill="FFFFFF"/>
            <w:vAlign w:val="center"/>
            <w:hideMark/>
          </w:tcPr>
          <w:p w14:paraId="4EA38959"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2790" w:type="dxa"/>
            <w:tcBorders>
              <w:top w:val="single" w:sz="8" w:space="0" w:color="auto"/>
              <w:left w:val="nil"/>
              <w:bottom w:val="single" w:sz="8" w:space="0" w:color="auto"/>
              <w:right w:val="nil"/>
            </w:tcBorders>
            <w:shd w:val="clear" w:color="000000" w:fill="FFFFFF"/>
            <w:vAlign w:val="center"/>
            <w:hideMark/>
          </w:tcPr>
          <w:p w14:paraId="72D900EF" w14:textId="77777777" w:rsidR="00FC6056" w:rsidRPr="00166607" w:rsidRDefault="00FC6056" w:rsidP="00FC6056">
            <w:pPr>
              <w:rPr>
                <w:rFonts w:ascii="Times New Roman" w:eastAsia="Times New Roman" w:hAnsi="Times New Roman"/>
                <w:b/>
                <w:bCs/>
                <w:i/>
                <w:iCs/>
                <w:color w:val="000000"/>
                <w:sz w:val="18"/>
                <w:szCs w:val="18"/>
              </w:rPr>
            </w:pPr>
            <w:r w:rsidRPr="00166607">
              <w:rPr>
                <w:rFonts w:ascii="Times New Roman" w:eastAsia="Times New Roman" w:hAnsi="Times New Roman"/>
                <w:b/>
                <w:bCs/>
                <w:i/>
                <w:iCs/>
                <w:color w:val="000000"/>
                <w:sz w:val="18"/>
                <w:szCs w:val="18"/>
              </w:rPr>
              <w:t> </w:t>
            </w:r>
          </w:p>
        </w:tc>
      </w:tr>
      <w:tr w:rsidR="00FC6056" w:rsidRPr="00166607" w14:paraId="3C0BB1FF" w14:textId="77777777" w:rsidTr="00FC6056">
        <w:trPr>
          <w:trHeight w:val="660"/>
        </w:trPr>
        <w:tc>
          <w:tcPr>
            <w:tcW w:w="640" w:type="dxa"/>
            <w:tcBorders>
              <w:top w:val="nil"/>
              <w:left w:val="nil"/>
              <w:bottom w:val="nil"/>
              <w:right w:val="nil"/>
            </w:tcBorders>
            <w:shd w:val="clear" w:color="000000" w:fill="FFFFFF"/>
            <w:vAlign w:val="center"/>
            <w:hideMark/>
          </w:tcPr>
          <w:p w14:paraId="1831795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16</w:t>
            </w:r>
          </w:p>
        </w:tc>
        <w:tc>
          <w:tcPr>
            <w:tcW w:w="1985" w:type="dxa"/>
            <w:tcBorders>
              <w:top w:val="nil"/>
              <w:left w:val="nil"/>
              <w:bottom w:val="nil"/>
              <w:right w:val="nil"/>
            </w:tcBorders>
            <w:shd w:val="clear" w:color="000000" w:fill="FFFFFF"/>
            <w:vAlign w:val="center"/>
            <w:hideMark/>
          </w:tcPr>
          <w:p w14:paraId="3D08752A"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Additional VAT tax revenue</w:t>
            </w:r>
          </w:p>
        </w:tc>
        <w:tc>
          <w:tcPr>
            <w:tcW w:w="980" w:type="dxa"/>
            <w:tcBorders>
              <w:top w:val="nil"/>
              <w:left w:val="nil"/>
              <w:bottom w:val="nil"/>
              <w:right w:val="nil"/>
            </w:tcBorders>
            <w:shd w:val="clear" w:color="000000" w:fill="FFFFFF"/>
            <w:vAlign w:val="center"/>
            <w:hideMark/>
          </w:tcPr>
          <w:p w14:paraId="0883AA72"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$ 1,098</w:t>
            </w:r>
          </w:p>
        </w:tc>
        <w:tc>
          <w:tcPr>
            <w:tcW w:w="1450" w:type="dxa"/>
            <w:tcBorders>
              <w:top w:val="nil"/>
              <w:left w:val="nil"/>
              <w:bottom w:val="nil"/>
              <w:right w:val="nil"/>
            </w:tcBorders>
            <w:shd w:val="clear" w:color="000000" w:fill="FFFFFF"/>
            <w:vAlign w:val="center"/>
            <w:hideMark/>
          </w:tcPr>
          <w:p w14:paraId="3E2E9741"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($ 136 , $ 2,125)</w:t>
            </w:r>
          </w:p>
        </w:tc>
        <w:tc>
          <w:tcPr>
            <w:tcW w:w="960" w:type="dxa"/>
            <w:tcBorders>
              <w:top w:val="nil"/>
              <w:left w:val="nil"/>
              <w:bottom w:val="nil"/>
              <w:right w:val="nil"/>
            </w:tcBorders>
            <w:shd w:val="clear" w:color="000000" w:fill="FFFFFF"/>
            <w:vAlign w:val="center"/>
            <w:hideMark/>
          </w:tcPr>
          <w:p w14:paraId="1C6D692A"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$ 151</w:t>
            </w:r>
          </w:p>
        </w:tc>
        <w:tc>
          <w:tcPr>
            <w:tcW w:w="1650" w:type="dxa"/>
            <w:tcBorders>
              <w:top w:val="nil"/>
              <w:left w:val="nil"/>
              <w:bottom w:val="nil"/>
              <w:right w:val="nil"/>
            </w:tcBorders>
            <w:shd w:val="clear" w:color="000000" w:fill="FFFFFF"/>
            <w:vAlign w:val="center"/>
            <w:hideMark/>
          </w:tcPr>
          <w:p w14:paraId="2C682DDA"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xml:space="preserve"> (-$1,065 , $ 1,438) </w:t>
            </w:r>
          </w:p>
        </w:tc>
        <w:tc>
          <w:tcPr>
            <w:tcW w:w="940" w:type="dxa"/>
            <w:tcBorders>
              <w:top w:val="nil"/>
              <w:left w:val="nil"/>
              <w:bottom w:val="nil"/>
              <w:right w:val="nil"/>
            </w:tcBorders>
            <w:shd w:val="clear" w:color="000000" w:fill="FFFFFF"/>
            <w:vAlign w:val="center"/>
            <w:hideMark/>
          </w:tcPr>
          <w:p w14:paraId="33B3C383"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$ 2,417</w:t>
            </w:r>
          </w:p>
        </w:tc>
        <w:tc>
          <w:tcPr>
            <w:tcW w:w="1580" w:type="dxa"/>
            <w:tcBorders>
              <w:top w:val="nil"/>
              <w:left w:val="nil"/>
              <w:bottom w:val="nil"/>
              <w:right w:val="nil"/>
            </w:tcBorders>
            <w:shd w:val="clear" w:color="000000" w:fill="FFFFFF"/>
            <w:vAlign w:val="center"/>
            <w:hideMark/>
          </w:tcPr>
          <w:p w14:paraId="12603EBA"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($ 766 , $ 4,176)</w:t>
            </w:r>
          </w:p>
        </w:tc>
        <w:tc>
          <w:tcPr>
            <w:tcW w:w="2790" w:type="dxa"/>
            <w:tcBorders>
              <w:top w:val="nil"/>
              <w:left w:val="nil"/>
              <w:bottom w:val="nil"/>
              <w:right w:val="nil"/>
            </w:tcBorders>
            <w:shd w:val="clear" w:color="000000" w:fill="FFFFFF"/>
            <w:vAlign w:val="center"/>
            <w:hideMark/>
          </w:tcPr>
          <w:p w14:paraId="115319A6"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Additional earnings of scholarship winners (see notes below) * VAT tax of 13.3%</w:t>
            </w:r>
          </w:p>
        </w:tc>
      </w:tr>
      <w:tr w:rsidR="00FC6056" w:rsidRPr="00166607" w14:paraId="130D20A0" w14:textId="77777777" w:rsidTr="00FC6056">
        <w:trPr>
          <w:trHeight w:val="440"/>
        </w:trPr>
        <w:tc>
          <w:tcPr>
            <w:tcW w:w="640" w:type="dxa"/>
            <w:tcBorders>
              <w:top w:val="nil"/>
              <w:left w:val="nil"/>
              <w:bottom w:val="nil"/>
              <w:right w:val="nil"/>
            </w:tcBorders>
            <w:shd w:val="clear" w:color="000000" w:fill="FFFFFF"/>
            <w:vAlign w:val="center"/>
            <w:hideMark/>
          </w:tcPr>
          <w:p w14:paraId="27B8626C"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17</w:t>
            </w:r>
          </w:p>
        </w:tc>
        <w:tc>
          <w:tcPr>
            <w:tcW w:w="1985" w:type="dxa"/>
            <w:tcBorders>
              <w:top w:val="nil"/>
              <w:left w:val="nil"/>
              <w:bottom w:val="nil"/>
              <w:right w:val="nil"/>
            </w:tcBorders>
            <w:shd w:val="clear" w:color="000000" w:fill="FFFFFF"/>
            <w:vAlign w:val="center"/>
            <w:hideMark/>
          </w:tcPr>
          <w:p w14:paraId="67A49A74"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Additional government transfers through payroll taxes</w:t>
            </w:r>
          </w:p>
        </w:tc>
        <w:tc>
          <w:tcPr>
            <w:tcW w:w="980" w:type="dxa"/>
            <w:tcBorders>
              <w:top w:val="nil"/>
              <w:left w:val="nil"/>
              <w:bottom w:val="nil"/>
              <w:right w:val="nil"/>
            </w:tcBorders>
            <w:shd w:val="clear" w:color="000000" w:fill="FFFFFF"/>
            <w:vAlign w:val="center"/>
            <w:hideMark/>
          </w:tcPr>
          <w:p w14:paraId="30C65073"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$ 929</w:t>
            </w:r>
          </w:p>
        </w:tc>
        <w:tc>
          <w:tcPr>
            <w:tcW w:w="1450" w:type="dxa"/>
            <w:tcBorders>
              <w:top w:val="nil"/>
              <w:left w:val="nil"/>
              <w:bottom w:val="nil"/>
              <w:right w:val="nil"/>
            </w:tcBorders>
            <w:shd w:val="clear" w:color="000000" w:fill="FFFFFF"/>
            <w:vAlign w:val="center"/>
            <w:hideMark/>
          </w:tcPr>
          <w:p w14:paraId="43090C5E"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($ 94 , $ 1,813)</w:t>
            </w:r>
          </w:p>
        </w:tc>
        <w:tc>
          <w:tcPr>
            <w:tcW w:w="960" w:type="dxa"/>
            <w:tcBorders>
              <w:top w:val="nil"/>
              <w:left w:val="nil"/>
              <w:bottom w:val="nil"/>
              <w:right w:val="nil"/>
            </w:tcBorders>
            <w:shd w:val="clear" w:color="000000" w:fill="FFFFFF"/>
            <w:vAlign w:val="center"/>
            <w:hideMark/>
          </w:tcPr>
          <w:p w14:paraId="4D2C3BA7"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$ 45</w:t>
            </w:r>
          </w:p>
        </w:tc>
        <w:tc>
          <w:tcPr>
            <w:tcW w:w="1650" w:type="dxa"/>
            <w:tcBorders>
              <w:top w:val="nil"/>
              <w:left w:val="nil"/>
              <w:bottom w:val="nil"/>
              <w:right w:val="nil"/>
            </w:tcBorders>
            <w:shd w:val="clear" w:color="000000" w:fill="FFFFFF"/>
            <w:vAlign w:val="center"/>
            <w:hideMark/>
          </w:tcPr>
          <w:p w14:paraId="34F956C7"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xml:space="preserve"> (-$1,037 , $ 1,156) </w:t>
            </w:r>
          </w:p>
        </w:tc>
        <w:tc>
          <w:tcPr>
            <w:tcW w:w="940" w:type="dxa"/>
            <w:tcBorders>
              <w:top w:val="nil"/>
              <w:left w:val="nil"/>
              <w:bottom w:val="nil"/>
              <w:right w:val="nil"/>
            </w:tcBorders>
            <w:shd w:val="clear" w:color="000000" w:fill="FFFFFF"/>
            <w:vAlign w:val="center"/>
            <w:hideMark/>
          </w:tcPr>
          <w:p w14:paraId="5C82D35A"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$ 2,135</w:t>
            </w:r>
          </w:p>
        </w:tc>
        <w:tc>
          <w:tcPr>
            <w:tcW w:w="1580" w:type="dxa"/>
            <w:tcBorders>
              <w:top w:val="nil"/>
              <w:left w:val="nil"/>
              <w:bottom w:val="nil"/>
              <w:right w:val="nil"/>
            </w:tcBorders>
            <w:shd w:val="clear" w:color="000000" w:fill="FFFFFF"/>
            <w:vAlign w:val="center"/>
            <w:hideMark/>
          </w:tcPr>
          <w:p w14:paraId="21F31357"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($ 672 , $ 3,657)</w:t>
            </w:r>
          </w:p>
        </w:tc>
        <w:tc>
          <w:tcPr>
            <w:tcW w:w="2790" w:type="dxa"/>
            <w:tcBorders>
              <w:top w:val="nil"/>
              <w:left w:val="nil"/>
              <w:bottom w:val="nil"/>
              <w:right w:val="nil"/>
            </w:tcBorders>
            <w:shd w:val="clear" w:color="000000" w:fill="FFFFFF"/>
            <w:vAlign w:val="center"/>
            <w:hideMark/>
          </w:tcPr>
          <w:p w14:paraId="0539BCD0"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Additional payroll taxes of scholarship winners (see notes below) * 0.4</w:t>
            </w:r>
          </w:p>
        </w:tc>
      </w:tr>
      <w:tr w:rsidR="00FC6056" w:rsidRPr="00166607" w14:paraId="29273616" w14:textId="77777777" w:rsidTr="00FC6056">
        <w:trPr>
          <w:trHeight w:val="440"/>
        </w:trPr>
        <w:tc>
          <w:tcPr>
            <w:tcW w:w="640" w:type="dxa"/>
            <w:tcBorders>
              <w:top w:val="nil"/>
              <w:left w:val="nil"/>
              <w:bottom w:val="nil"/>
              <w:right w:val="nil"/>
            </w:tcBorders>
            <w:shd w:val="clear" w:color="000000" w:fill="FFFFFF"/>
            <w:vAlign w:val="center"/>
            <w:hideMark/>
          </w:tcPr>
          <w:p w14:paraId="79A96247"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18</w:t>
            </w:r>
          </w:p>
        </w:tc>
        <w:tc>
          <w:tcPr>
            <w:tcW w:w="1985" w:type="dxa"/>
            <w:tcBorders>
              <w:top w:val="nil"/>
              <w:left w:val="nil"/>
              <w:bottom w:val="nil"/>
              <w:right w:val="nil"/>
            </w:tcBorders>
            <w:shd w:val="clear" w:color="000000" w:fill="FFFFFF"/>
            <w:vAlign w:val="center"/>
            <w:hideMark/>
          </w:tcPr>
          <w:p w14:paraId="722C3AEC" w14:textId="77777777" w:rsidR="00FC6056" w:rsidRPr="00166607" w:rsidRDefault="00FC6056" w:rsidP="00FC6056">
            <w:pP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Additional government revenue</w:t>
            </w:r>
          </w:p>
        </w:tc>
        <w:tc>
          <w:tcPr>
            <w:tcW w:w="980" w:type="dxa"/>
            <w:tcBorders>
              <w:top w:val="nil"/>
              <w:left w:val="nil"/>
              <w:bottom w:val="nil"/>
              <w:right w:val="nil"/>
            </w:tcBorders>
            <w:shd w:val="clear" w:color="000000" w:fill="FFFFFF"/>
            <w:vAlign w:val="center"/>
            <w:hideMark/>
          </w:tcPr>
          <w:p w14:paraId="25DD56C3"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$ 2,027</w:t>
            </w:r>
          </w:p>
        </w:tc>
        <w:tc>
          <w:tcPr>
            <w:tcW w:w="1450" w:type="dxa"/>
            <w:tcBorders>
              <w:top w:val="nil"/>
              <w:left w:val="nil"/>
              <w:bottom w:val="nil"/>
              <w:right w:val="nil"/>
            </w:tcBorders>
            <w:shd w:val="clear" w:color="000000" w:fill="FFFFFF"/>
            <w:vAlign w:val="center"/>
            <w:hideMark/>
          </w:tcPr>
          <w:p w14:paraId="37564763"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($ 226 , $ 3,952)</w:t>
            </w:r>
          </w:p>
        </w:tc>
        <w:tc>
          <w:tcPr>
            <w:tcW w:w="960" w:type="dxa"/>
            <w:tcBorders>
              <w:top w:val="nil"/>
              <w:left w:val="nil"/>
              <w:bottom w:val="nil"/>
              <w:right w:val="nil"/>
            </w:tcBorders>
            <w:shd w:val="clear" w:color="000000" w:fill="FFFFFF"/>
            <w:vAlign w:val="center"/>
            <w:hideMark/>
          </w:tcPr>
          <w:p w14:paraId="03FD84EC"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$ 196</w:t>
            </w:r>
          </w:p>
        </w:tc>
        <w:tc>
          <w:tcPr>
            <w:tcW w:w="1650" w:type="dxa"/>
            <w:tcBorders>
              <w:top w:val="nil"/>
              <w:left w:val="nil"/>
              <w:bottom w:val="nil"/>
              <w:right w:val="nil"/>
            </w:tcBorders>
            <w:shd w:val="clear" w:color="000000" w:fill="FFFFFF"/>
            <w:vAlign w:val="center"/>
            <w:hideMark/>
          </w:tcPr>
          <w:p w14:paraId="2FE1110D"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xml:space="preserve"> (-$2,040 , $ 2,583) </w:t>
            </w:r>
          </w:p>
        </w:tc>
        <w:tc>
          <w:tcPr>
            <w:tcW w:w="940" w:type="dxa"/>
            <w:tcBorders>
              <w:top w:val="nil"/>
              <w:left w:val="nil"/>
              <w:bottom w:val="nil"/>
              <w:right w:val="nil"/>
            </w:tcBorders>
            <w:shd w:val="clear" w:color="000000" w:fill="FFFFFF"/>
            <w:vAlign w:val="center"/>
            <w:hideMark/>
          </w:tcPr>
          <w:p w14:paraId="6857E5DA"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$ 4,551</w:t>
            </w:r>
          </w:p>
        </w:tc>
        <w:tc>
          <w:tcPr>
            <w:tcW w:w="1580" w:type="dxa"/>
            <w:tcBorders>
              <w:top w:val="nil"/>
              <w:left w:val="nil"/>
              <w:bottom w:val="nil"/>
              <w:right w:val="nil"/>
            </w:tcBorders>
            <w:shd w:val="clear" w:color="000000" w:fill="FFFFFF"/>
            <w:vAlign w:val="center"/>
            <w:hideMark/>
          </w:tcPr>
          <w:p w14:paraId="0F19DD00"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($ 1,451 , $ 7,811)</w:t>
            </w:r>
          </w:p>
        </w:tc>
        <w:tc>
          <w:tcPr>
            <w:tcW w:w="2790" w:type="dxa"/>
            <w:tcBorders>
              <w:top w:val="nil"/>
              <w:left w:val="nil"/>
              <w:bottom w:val="nil"/>
              <w:right w:val="nil"/>
            </w:tcBorders>
            <w:shd w:val="clear" w:color="000000" w:fill="FFFFFF"/>
            <w:vAlign w:val="center"/>
            <w:hideMark/>
          </w:tcPr>
          <w:p w14:paraId="6E4005B0"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Row (16) + Row (17)</w:t>
            </w:r>
          </w:p>
        </w:tc>
      </w:tr>
      <w:tr w:rsidR="00FC6056" w:rsidRPr="00166607" w14:paraId="19DA1D3A" w14:textId="77777777" w:rsidTr="00FC6056">
        <w:trPr>
          <w:trHeight w:val="440"/>
        </w:trPr>
        <w:tc>
          <w:tcPr>
            <w:tcW w:w="640" w:type="dxa"/>
            <w:tcBorders>
              <w:top w:val="nil"/>
              <w:left w:val="nil"/>
              <w:bottom w:val="nil"/>
              <w:right w:val="nil"/>
            </w:tcBorders>
            <w:shd w:val="clear" w:color="000000" w:fill="FFFFFF"/>
            <w:vAlign w:val="center"/>
            <w:hideMark/>
          </w:tcPr>
          <w:p w14:paraId="6052BB4A"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19</w:t>
            </w:r>
          </w:p>
        </w:tc>
        <w:tc>
          <w:tcPr>
            <w:tcW w:w="1985" w:type="dxa"/>
            <w:tcBorders>
              <w:top w:val="nil"/>
              <w:left w:val="nil"/>
              <w:bottom w:val="nil"/>
              <w:right w:val="nil"/>
            </w:tcBorders>
            <w:shd w:val="clear" w:color="000000" w:fill="FFFFFF"/>
            <w:vAlign w:val="center"/>
            <w:hideMark/>
          </w:tcPr>
          <w:p w14:paraId="60E7E2CB"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Additional government revenue, 6% discount rate</w:t>
            </w:r>
          </w:p>
        </w:tc>
        <w:tc>
          <w:tcPr>
            <w:tcW w:w="980" w:type="dxa"/>
            <w:tcBorders>
              <w:top w:val="nil"/>
              <w:left w:val="nil"/>
              <w:bottom w:val="nil"/>
              <w:right w:val="nil"/>
            </w:tcBorders>
            <w:shd w:val="clear" w:color="000000" w:fill="FFFFFF"/>
            <w:vAlign w:val="center"/>
            <w:hideMark/>
          </w:tcPr>
          <w:p w14:paraId="3AF46894"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$ 1,543</w:t>
            </w:r>
          </w:p>
        </w:tc>
        <w:tc>
          <w:tcPr>
            <w:tcW w:w="1450" w:type="dxa"/>
            <w:tcBorders>
              <w:top w:val="nil"/>
              <w:left w:val="nil"/>
              <w:bottom w:val="nil"/>
              <w:right w:val="nil"/>
            </w:tcBorders>
            <w:shd w:val="clear" w:color="000000" w:fill="FFFFFF"/>
            <w:vAlign w:val="center"/>
            <w:hideMark/>
          </w:tcPr>
          <w:p w14:paraId="4D5CBFA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($ 172 , $ 3,009)</w:t>
            </w:r>
          </w:p>
        </w:tc>
        <w:tc>
          <w:tcPr>
            <w:tcW w:w="960" w:type="dxa"/>
            <w:tcBorders>
              <w:top w:val="nil"/>
              <w:left w:val="nil"/>
              <w:bottom w:val="nil"/>
              <w:right w:val="nil"/>
            </w:tcBorders>
            <w:shd w:val="clear" w:color="000000" w:fill="FFFFFF"/>
            <w:vAlign w:val="center"/>
            <w:hideMark/>
          </w:tcPr>
          <w:p w14:paraId="7A30FA86"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$ 150</w:t>
            </w:r>
          </w:p>
        </w:tc>
        <w:tc>
          <w:tcPr>
            <w:tcW w:w="1650" w:type="dxa"/>
            <w:tcBorders>
              <w:top w:val="nil"/>
              <w:left w:val="nil"/>
              <w:bottom w:val="nil"/>
              <w:right w:val="nil"/>
            </w:tcBorders>
            <w:shd w:val="clear" w:color="000000" w:fill="FFFFFF"/>
            <w:vAlign w:val="center"/>
            <w:hideMark/>
          </w:tcPr>
          <w:p w14:paraId="4407E1DD"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xml:space="preserve"> (-$1,553 , $ 1,967) </w:t>
            </w:r>
          </w:p>
        </w:tc>
        <w:tc>
          <w:tcPr>
            <w:tcW w:w="940" w:type="dxa"/>
            <w:tcBorders>
              <w:top w:val="nil"/>
              <w:left w:val="nil"/>
              <w:bottom w:val="nil"/>
              <w:right w:val="nil"/>
            </w:tcBorders>
            <w:shd w:val="clear" w:color="000000" w:fill="FFFFFF"/>
            <w:vAlign w:val="center"/>
            <w:hideMark/>
          </w:tcPr>
          <w:p w14:paraId="7D70A66F"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$ 3,465</w:t>
            </w:r>
          </w:p>
        </w:tc>
        <w:tc>
          <w:tcPr>
            <w:tcW w:w="1580" w:type="dxa"/>
            <w:tcBorders>
              <w:top w:val="nil"/>
              <w:left w:val="nil"/>
              <w:bottom w:val="nil"/>
              <w:right w:val="nil"/>
            </w:tcBorders>
            <w:shd w:val="clear" w:color="000000" w:fill="FFFFFF"/>
            <w:vAlign w:val="center"/>
            <w:hideMark/>
          </w:tcPr>
          <w:p w14:paraId="65ADF7A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($ 1,105 , $ 5,947)</w:t>
            </w:r>
          </w:p>
        </w:tc>
        <w:tc>
          <w:tcPr>
            <w:tcW w:w="2790" w:type="dxa"/>
            <w:tcBorders>
              <w:top w:val="nil"/>
              <w:left w:val="nil"/>
              <w:bottom w:val="nil"/>
              <w:right w:val="nil"/>
            </w:tcBorders>
            <w:shd w:val="clear" w:color="000000" w:fill="FFFFFF"/>
            <w:vAlign w:val="center"/>
            <w:hideMark/>
          </w:tcPr>
          <w:p w14:paraId="5E025094"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Same calculations as above using 6% discount rate</w:t>
            </w:r>
          </w:p>
        </w:tc>
      </w:tr>
      <w:tr w:rsidR="00FC6056" w:rsidRPr="00166607" w14:paraId="48922DDF" w14:textId="77777777" w:rsidTr="00FC6056">
        <w:trPr>
          <w:trHeight w:val="440"/>
        </w:trPr>
        <w:tc>
          <w:tcPr>
            <w:tcW w:w="640" w:type="dxa"/>
            <w:tcBorders>
              <w:top w:val="nil"/>
              <w:left w:val="nil"/>
              <w:bottom w:val="nil"/>
              <w:right w:val="nil"/>
            </w:tcBorders>
            <w:shd w:val="clear" w:color="000000" w:fill="FFFFFF"/>
            <w:vAlign w:val="center"/>
            <w:hideMark/>
          </w:tcPr>
          <w:p w14:paraId="5F9FFD48"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20</w:t>
            </w:r>
          </w:p>
        </w:tc>
        <w:tc>
          <w:tcPr>
            <w:tcW w:w="1985" w:type="dxa"/>
            <w:tcBorders>
              <w:top w:val="nil"/>
              <w:left w:val="nil"/>
              <w:bottom w:val="nil"/>
              <w:right w:val="nil"/>
            </w:tcBorders>
            <w:shd w:val="clear" w:color="000000" w:fill="FFFFFF"/>
            <w:vAlign w:val="center"/>
            <w:hideMark/>
          </w:tcPr>
          <w:p w14:paraId="17C48A60"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Additional government revenue, no VAT revenue</w:t>
            </w:r>
          </w:p>
        </w:tc>
        <w:tc>
          <w:tcPr>
            <w:tcW w:w="980" w:type="dxa"/>
            <w:tcBorders>
              <w:top w:val="nil"/>
              <w:left w:val="nil"/>
              <w:bottom w:val="nil"/>
              <w:right w:val="nil"/>
            </w:tcBorders>
            <w:shd w:val="clear" w:color="000000" w:fill="FFFFFF"/>
            <w:vAlign w:val="center"/>
            <w:hideMark/>
          </w:tcPr>
          <w:p w14:paraId="69FD48D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$ 929</w:t>
            </w:r>
          </w:p>
        </w:tc>
        <w:tc>
          <w:tcPr>
            <w:tcW w:w="1450" w:type="dxa"/>
            <w:tcBorders>
              <w:top w:val="nil"/>
              <w:left w:val="nil"/>
              <w:bottom w:val="nil"/>
              <w:right w:val="nil"/>
            </w:tcBorders>
            <w:shd w:val="clear" w:color="000000" w:fill="FFFFFF"/>
            <w:vAlign w:val="center"/>
            <w:hideMark/>
          </w:tcPr>
          <w:p w14:paraId="34E009EB"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($ 94 , $ 1,813)</w:t>
            </w:r>
          </w:p>
        </w:tc>
        <w:tc>
          <w:tcPr>
            <w:tcW w:w="960" w:type="dxa"/>
            <w:tcBorders>
              <w:top w:val="nil"/>
              <w:left w:val="nil"/>
              <w:bottom w:val="nil"/>
              <w:right w:val="nil"/>
            </w:tcBorders>
            <w:shd w:val="clear" w:color="000000" w:fill="FFFFFF"/>
            <w:vAlign w:val="center"/>
            <w:hideMark/>
          </w:tcPr>
          <w:p w14:paraId="11E93D7D"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$ 45</w:t>
            </w:r>
          </w:p>
        </w:tc>
        <w:tc>
          <w:tcPr>
            <w:tcW w:w="1650" w:type="dxa"/>
            <w:tcBorders>
              <w:top w:val="nil"/>
              <w:left w:val="nil"/>
              <w:bottom w:val="nil"/>
              <w:right w:val="nil"/>
            </w:tcBorders>
            <w:shd w:val="clear" w:color="000000" w:fill="FFFFFF"/>
            <w:vAlign w:val="center"/>
            <w:hideMark/>
          </w:tcPr>
          <w:p w14:paraId="3BE891F8"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xml:space="preserve"> (-$1,037 , $ 1,156) </w:t>
            </w:r>
          </w:p>
        </w:tc>
        <w:tc>
          <w:tcPr>
            <w:tcW w:w="940" w:type="dxa"/>
            <w:tcBorders>
              <w:top w:val="nil"/>
              <w:left w:val="nil"/>
              <w:bottom w:val="nil"/>
              <w:right w:val="nil"/>
            </w:tcBorders>
            <w:shd w:val="clear" w:color="000000" w:fill="FFFFFF"/>
            <w:vAlign w:val="center"/>
            <w:hideMark/>
          </w:tcPr>
          <w:p w14:paraId="64349B5A"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$ 2,135</w:t>
            </w:r>
          </w:p>
        </w:tc>
        <w:tc>
          <w:tcPr>
            <w:tcW w:w="1580" w:type="dxa"/>
            <w:tcBorders>
              <w:top w:val="nil"/>
              <w:left w:val="nil"/>
              <w:bottom w:val="nil"/>
              <w:right w:val="nil"/>
            </w:tcBorders>
            <w:shd w:val="clear" w:color="000000" w:fill="FFFFFF"/>
            <w:vAlign w:val="center"/>
            <w:hideMark/>
          </w:tcPr>
          <w:p w14:paraId="5138B7BE"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($ 672 , $ 3,657)</w:t>
            </w:r>
          </w:p>
        </w:tc>
        <w:tc>
          <w:tcPr>
            <w:tcW w:w="2790" w:type="dxa"/>
            <w:tcBorders>
              <w:top w:val="nil"/>
              <w:left w:val="nil"/>
              <w:bottom w:val="nil"/>
              <w:right w:val="nil"/>
            </w:tcBorders>
            <w:shd w:val="clear" w:color="000000" w:fill="FFFFFF"/>
            <w:vAlign w:val="center"/>
            <w:hideMark/>
          </w:tcPr>
          <w:p w14:paraId="07EDCB05"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Assume VAT revenue is zero</w:t>
            </w:r>
          </w:p>
        </w:tc>
      </w:tr>
      <w:tr w:rsidR="00FC6056" w:rsidRPr="00166607" w14:paraId="5DA239A4" w14:textId="77777777" w:rsidTr="00FC6056">
        <w:trPr>
          <w:trHeight w:val="460"/>
        </w:trPr>
        <w:tc>
          <w:tcPr>
            <w:tcW w:w="640" w:type="dxa"/>
            <w:tcBorders>
              <w:top w:val="nil"/>
              <w:left w:val="nil"/>
              <w:bottom w:val="nil"/>
              <w:right w:val="nil"/>
            </w:tcBorders>
            <w:shd w:val="clear" w:color="000000" w:fill="FFFFFF"/>
            <w:vAlign w:val="center"/>
            <w:hideMark/>
          </w:tcPr>
          <w:p w14:paraId="2AF6A08D"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lastRenderedPageBreak/>
              <w:t>21</w:t>
            </w:r>
          </w:p>
        </w:tc>
        <w:tc>
          <w:tcPr>
            <w:tcW w:w="1985" w:type="dxa"/>
            <w:tcBorders>
              <w:top w:val="nil"/>
              <w:left w:val="nil"/>
              <w:bottom w:val="nil"/>
              <w:right w:val="nil"/>
            </w:tcBorders>
            <w:shd w:val="clear" w:color="000000" w:fill="FFFFFF"/>
            <w:vAlign w:val="center"/>
            <w:hideMark/>
          </w:tcPr>
          <w:p w14:paraId="527A0136" w14:textId="77777777" w:rsidR="00FC6056" w:rsidRPr="00166607" w:rsidRDefault="00FC6056" w:rsidP="00FC6056">
            <w:pP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Expected net fiscal cost to taxpayers</w:t>
            </w:r>
          </w:p>
        </w:tc>
        <w:tc>
          <w:tcPr>
            <w:tcW w:w="980" w:type="dxa"/>
            <w:tcBorders>
              <w:top w:val="nil"/>
              <w:left w:val="nil"/>
              <w:bottom w:val="nil"/>
              <w:right w:val="nil"/>
            </w:tcBorders>
            <w:shd w:val="clear" w:color="000000" w:fill="FFFFFF"/>
            <w:vAlign w:val="center"/>
            <w:hideMark/>
          </w:tcPr>
          <w:p w14:paraId="2D8D531A"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-$ 1,667</w:t>
            </w:r>
          </w:p>
        </w:tc>
        <w:tc>
          <w:tcPr>
            <w:tcW w:w="1450" w:type="dxa"/>
            <w:tcBorders>
              <w:top w:val="nil"/>
              <w:left w:val="nil"/>
              <w:bottom w:val="nil"/>
              <w:right w:val="nil"/>
            </w:tcBorders>
            <w:shd w:val="clear" w:color="000000" w:fill="FFFFFF"/>
            <w:vAlign w:val="center"/>
            <w:hideMark/>
          </w:tcPr>
          <w:p w14:paraId="21B9E829"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(-$3,596 , $ 130)</w:t>
            </w:r>
          </w:p>
        </w:tc>
        <w:tc>
          <w:tcPr>
            <w:tcW w:w="960" w:type="dxa"/>
            <w:tcBorders>
              <w:top w:val="nil"/>
              <w:left w:val="nil"/>
              <w:bottom w:val="nil"/>
              <w:right w:val="nil"/>
            </w:tcBorders>
            <w:shd w:val="clear" w:color="000000" w:fill="FFFFFF"/>
            <w:vAlign w:val="center"/>
            <w:hideMark/>
          </w:tcPr>
          <w:p w14:paraId="740C2CF5"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$ 136</w:t>
            </w:r>
          </w:p>
        </w:tc>
        <w:tc>
          <w:tcPr>
            <w:tcW w:w="1650" w:type="dxa"/>
            <w:tcBorders>
              <w:top w:val="nil"/>
              <w:left w:val="nil"/>
              <w:bottom w:val="nil"/>
              <w:right w:val="nil"/>
            </w:tcBorders>
            <w:shd w:val="clear" w:color="000000" w:fill="FFFFFF"/>
            <w:vAlign w:val="center"/>
            <w:hideMark/>
          </w:tcPr>
          <w:p w14:paraId="12259876"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xml:space="preserve"> (-$2,236 , $ 2,372) </w:t>
            </w:r>
          </w:p>
        </w:tc>
        <w:tc>
          <w:tcPr>
            <w:tcW w:w="940" w:type="dxa"/>
            <w:tcBorders>
              <w:top w:val="nil"/>
              <w:left w:val="nil"/>
              <w:bottom w:val="nil"/>
              <w:right w:val="nil"/>
            </w:tcBorders>
            <w:shd w:val="clear" w:color="000000" w:fill="FFFFFF"/>
            <w:vAlign w:val="center"/>
            <w:hideMark/>
          </w:tcPr>
          <w:p w14:paraId="4756983F"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-$ 4,151</w:t>
            </w:r>
          </w:p>
        </w:tc>
        <w:tc>
          <w:tcPr>
            <w:tcW w:w="1580" w:type="dxa"/>
            <w:tcBorders>
              <w:top w:val="nil"/>
              <w:left w:val="nil"/>
              <w:bottom w:val="nil"/>
              <w:right w:val="nil"/>
            </w:tcBorders>
            <w:shd w:val="clear" w:color="000000" w:fill="FFFFFF"/>
            <w:vAlign w:val="center"/>
            <w:hideMark/>
          </w:tcPr>
          <w:p w14:paraId="601B7743" w14:textId="77777777" w:rsidR="00FC6056" w:rsidRPr="00166607" w:rsidRDefault="00FC6056" w:rsidP="00FC6056">
            <w:pPr>
              <w:jc w:val="cente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(-$7,409 , -$1,053)</w:t>
            </w:r>
          </w:p>
        </w:tc>
        <w:tc>
          <w:tcPr>
            <w:tcW w:w="2790" w:type="dxa"/>
            <w:tcBorders>
              <w:top w:val="nil"/>
              <w:left w:val="nil"/>
              <w:bottom w:val="nil"/>
              <w:right w:val="nil"/>
            </w:tcBorders>
            <w:shd w:val="clear" w:color="000000" w:fill="FFFFFF"/>
            <w:vAlign w:val="center"/>
            <w:hideMark/>
          </w:tcPr>
          <w:p w14:paraId="18BB1F08"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Row (14) - Row (18)</w:t>
            </w:r>
          </w:p>
        </w:tc>
      </w:tr>
      <w:tr w:rsidR="00FC6056" w:rsidRPr="00166607" w14:paraId="6F5267AA" w14:textId="77777777" w:rsidTr="00FC6056">
        <w:trPr>
          <w:trHeight w:val="300"/>
        </w:trPr>
        <w:tc>
          <w:tcPr>
            <w:tcW w:w="640" w:type="dxa"/>
            <w:tcBorders>
              <w:top w:val="single" w:sz="8" w:space="0" w:color="auto"/>
              <w:left w:val="nil"/>
              <w:bottom w:val="single" w:sz="8" w:space="0" w:color="auto"/>
              <w:right w:val="nil"/>
            </w:tcBorders>
            <w:shd w:val="clear" w:color="000000" w:fill="FFFFFF"/>
            <w:vAlign w:val="center"/>
            <w:hideMark/>
          </w:tcPr>
          <w:p w14:paraId="338A2A36"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1985" w:type="dxa"/>
            <w:tcBorders>
              <w:top w:val="single" w:sz="8" w:space="0" w:color="auto"/>
              <w:left w:val="nil"/>
              <w:bottom w:val="single" w:sz="8" w:space="0" w:color="auto"/>
              <w:right w:val="nil"/>
            </w:tcBorders>
            <w:shd w:val="clear" w:color="000000" w:fill="FFFFFF"/>
            <w:vAlign w:val="center"/>
            <w:hideMark/>
          </w:tcPr>
          <w:p w14:paraId="56822718" w14:textId="77777777" w:rsidR="00FC6056" w:rsidRPr="00166607" w:rsidRDefault="00FC6056" w:rsidP="00FC6056">
            <w:pPr>
              <w:rPr>
                <w:rFonts w:ascii="Times New Roman" w:eastAsia="Times New Roman" w:hAnsi="Times New Roman"/>
                <w:i/>
                <w:iCs/>
                <w:color w:val="000000"/>
                <w:sz w:val="18"/>
                <w:szCs w:val="18"/>
              </w:rPr>
            </w:pPr>
            <w:r w:rsidRPr="00166607">
              <w:rPr>
                <w:rFonts w:ascii="Times New Roman" w:eastAsia="Times New Roman" w:hAnsi="Times New Roman"/>
                <w:i/>
                <w:iCs/>
                <w:color w:val="000000"/>
                <w:sz w:val="18"/>
                <w:szCs w:val="18"/>
              </w:rPr>
              <w:t>C. Gains to Recipients and Society</w:t>
            </w:r>
          </w:p>
        </w:tc>
        <w:tc>
          <w:tcPr>
            <w:tcW w:w="980" w:type="dxa"/>
            <w:tcBorders>
              <w:top w:val="single" w:sz="8" w:space="0" w:color="auto"/>
              <w:left w:val="nil"/>
              <w:bottom w:val="single" w:sz="8" w:space="0" w:color="auto"/>
              <w:right w:val="nil"/>
            </w:tcBorders>
            <w:shd w:val="clear" w:color="000000" w:fill="FFFFFF"/>
            <w:vAlign w:val="center"/>
            <w:hideMark/>
          </w:tcPr>
          <w:p w14:paraId="5A229683" w14:textId="77777777" w:rsidR="00FC6056" w:rsidRPr="00166607" w:rsidRDefault="00FC6056" w:rsidP="00FC6056">
            <w:pP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1450" w:type="dxa"/>
            <w:tcBorders>
              <w:top w:val="single" w:sz="8" w:space="0" w:color="auto"/>
              <w:left w:val="nil"/>
              <w:bottom w:val="single" w:sz="8" w:space="0" w:color="auto"/>
              <w:right w:val="nil"/>
            </w:tcBorders>
            <w:shd w:val="clear" w:color="000000" w:fill="FFFFFF"/>
            <w:vAlign w:val="center"/>
            <w:hideMark/>
          </w:tcPr>
          <w:p w14:paraId="7BF514C6"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960" w:type="dxa"/>
            <w:tcBorders>
              <w:top w:val="single" w:sz="8" w:space="0" w:color="auto"/>
              <w:left w:val="nil"/>
              <w:bottom w:val="single" w:sz="8" w:space="0" w:color="auto"/>
              <w:right w:val="nil"/>
            </w:tcBorders>
            <w:shd w:val="clear" w:color="000000" w:fill="FFFFFF"/>
            <w:vAlign w:val="center"/>
            <w:hideMark/>
          </w:tcPr>
          <w:p w14:paraId="042AF36F"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1650" w:type="dxa"/>
            <w:tcBorders>
              <w:top w:val="single" w:sz="8" w:space="0" w:color="auto"/>
              <w:left w:val="nil"/>
              <w:bottom w:val="single" w:sz="8" w:space="0" w:color="auto"/>
              <w:right w:val="nil"/>
            </w:tcBorders>
            <w:shd w:val="clear" w:color="000000" w:fill="FFFFFF"/>
            <w:vAlign w:val="center"/>
            <w:hideMark/>
          </w:tcPr>
          <w:p w14:paraId="7EC99468"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940" w:type="dxa"/>
            <w:tcBorders>
              <w:top w:val="single" w:sz="8" w:space="0" w:color="auto"/>
              <w:left w:val="nil"/>
              <w:bottom w:val="single" w:sz="8" w:space="0" w:color="auto"/>
              <w:right w:val="nil"/>
            </w:tcBorders>
            <w:shd w:val="clear" w:color="000000" w:fill="FFFFFF"/>
            <w:vAlign w:val="center"/>
            <w:hideMark/>
          </w:tcPr>
          <w:p w14:paraId="164F44A2"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1580" w:type="dxa"/>
            <w:tcBorders>
              <w:top w:val="single" w:sz="8" w:space="0" w:color="auto"/>
              <w:left w:val="nil"/>
              <w:bottom w:val="single" w:sz="8" w:space="0" w:color="auto"/>
              <w:right w:val="nil"/>
            </w:tcBorders>
            <w:shd w:val="clear" w:color="000000" w:fill="FFFFFF"/>
            <w:vAlign w:val="center"/>
            <w:hideMark/>
          </w:tcPr>
          <w:p w14:paraId="7A08AF39"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2790" w:type="dxa"/>
            <w:tcBorders>
              <w:top w:val="single" w:sz="8" w:space="0" w:color="auto"/>
              <w:left w:val="nil"/>
              <w:bottom w:val="single" w:sz="8" w:space="0" w:color="auto"/>
              <w:right w:val="nil"/>
            </w:tcBorders>
            <w:shd w:val="clear" w:color="000000" w:fill="FFFFFF"/>
            <w:vAlign w:val="center"/>
            <w:hideMark/>
          </w:tcPr>
          <w:p w14:paraId="3A371CA3"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 </w:t>
            </w:r>
          </w:p>
        </w:tc>
      </w:tr>
      <w:tr w:rsidR="00FC6056" w:rsidRPr="00166607" w14:paraId="3BE4650A" w14:textId="77777777" w:rsidTr="00FC6056">
        <w:trPr>
          <w:trHeight w:val="880"/>
        </w:trPr>
        <w:tc>
          <w:tcPr>
            <w:tcW w:w="640" w:type="dxa"/>
            <w:tcBorders>
              <w:top w:val="nil"/>
              <w:left w:val="nil"/>
              <w:bottom w:val="nil"/>
              <w:right w:val="nil"/>
            </w:tcBorders>
            <w:shd w:val="clear" w:color="000000" w:fill="FFFFFF"/>
            <w:vAlign w:val="center"/>
            <w:hideMark/>
          </w:tcPr>
          <w:p w14:paraId="475FC56A"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22</w:t>
            </w:r>
          </w:p>
        </w:tc>
        <w:tc>
          <w:tcPr>
            <w:tcW w:w="1985" w:type="dxa"/>
            <w:tcBorders>
              <w:top w:val="nil"/>
              <w:left w:val="nil"/>
              <w:bottom w:val="nil"/>
              <w:right w:val="nil"/>
            </w:tcBorders>
            <w:shd w:val="clear" w:color="000000" w:fill="FFFFFF"/>
            <w:vAlign w:val="center"/>
            <w:hideMark/>
          </w:tcPr>
          <w:p w14:paraId="402559A3" w14:textId="77777777" w:rsidR="00FC6056" w:rsidRPr="00166607" w:rsidRDefault="00FC6056" w:rsidP="00FC6056">
            <w:pP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Net gains to scholarship recipients</w:t>
            </w:r>
          </w:p>
        </w:tc>
        <w:tc>
          <w:tcPr>
            <w:tcW w:w="980" w:type="dxa"/>
            <w:tcBorders>
              <w:top w:val="nil"/>
              <w:left w:val="nil"/>
              <w:bottom w:val="nil"/>
              <w:right w:val="nil"/>
            </w:tcBorders>
            <w:shd w:val="clear" w:color="000000" w:fill="FFFFFF"/>
            <w:vAlign w:val="center"/>
            <w:hideMark/>
          </w:tcPr>
          <w:p w14:paraId="73EC8BCB"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$ 249</w:t>
            </w:r>
          </w:p>
        </w:tc>
        <w:tc>
          <w:tcPr>
            <w:tcW w:w="1450" w:type="dxa"/>
            <w:tcBorders>
              <w:top w:val="nil"/>
              <w:left w:val="nil"/>
              <w:bottom w:val="nil"/>
              <w:right w:val="nil"/>
            </w:tcBorders>
            <w:shd w:val="clear" w:color="000000" w:fill="FFFFFF"/>
            <w:vAlign w:val="center"/>
            <w:hideMark/>
          </w:tcPr>
          <w:p w14:paraId="54BBD2D2"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960" w:type="dxa"/>
            <w:tcBorders>
              <w:top w:val="nil"/>
              <w:left w:val="nil"/>
              <w:bottom w:val="nil"/>
              <w:right w:val="nil"/>
            </w:tcBorders>
            <w:shd w:val="clear" w:color="000000" w:fill="FFFFFF"/>
            <w:vAlign w:val="center"/>
            <w:hideMark/>
          </w:tcPr>
          <w:p w14:paraId="4493A7AB"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$ 249</w:t>
            </w:r>
          </w:p>
        </w:tc>
        <w:tc>
          <w:tcPr>
            <w:tcW w:w="1650" w:type="dxa"/>
            <w:tcBorders>
              <w:top w:val="nil"/>
              <w:left w:val="nil"/>
              <w:bottom w:val="nil"/>
              <w:right w:val="nil"/>
            </w:tcBorders>
            <w:shd w:val="clear" w:color="000000" w:fill="FFFFFF"/>
            <w:vAlign w:val="center"/>
            <w:hideMark/>
          </w:tcPr>
          <w:p w14:paraId="6F941BBE"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940" w:type="dxa"/>
            <w:tcBorders>
              <w:top w:val="nil"/>
              <w:left w:val="nil"/>
              <w:bottom w:val="nil"/>
              <w:right w:val="nil"/>
            </w:tcBorders>
            <w:shd w:val="clear" w:color="000000" w:fill="FFFFFF"/>
            <w:vAlign w:val="center"/>
            <w:hideMark/>
          </w:tcPr>
          <w:p w14:paraId="1FF932F3"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$ 250</w:t>
            </w:r>
          </w:p>
        </w:tc>
        <w:tc>
          <w:tcPr>
            <w:tcW w:w="1580" w:type="dxa"/>
            <w:tcBorders>
              <w:top w:val="nil"/>
              <w:left w:val="nil"/>
              <w:bottom w:val="nil"/>
              <w:right w:val="nil"/>
            </w:tcBorders>
            <w:shd w:val="clear" w:color="000000" w:fill="FFFFFF"/>
            <w:vAlign w:val="center"/>
            <w:hideMark/>
          </w:tcPr>
          <w:p w14:paraId="36244F8C"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w:t>
            </w:r>
          </w:p>
        </w:tc>
        <w:tc>
          <w:tcPr>
            <w:tcW w:w="2790" w:type="dxa"/>
            <w:tcBorders>
              <w:top w:val="nil"/>
              <w:left w:val="nil"/>
              <w:bottom w:val="nil"/>
              <w:right w:val="nil"/>
            </w:tcBorders>
            <w:shd w:val="clear" w:color="000000" w:fill="FFFFFF"/>
            <w:vAlign w:val="center"/>
            <w:hideMark/>
          </w:tcPr>
          <w:p w14:paraId="2A0C7B56"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Fraction of infra-marginal recipients*impact on scholarship amount*sum of year-by-year utilization rate. See notes below</w:t>
            </w:r>
          </w:p>
        </w:tc>
      </w:tr>
      <w:tr w:rsidR="00FC6056" w:rsidRPr="00166607" w14:paraId="0A88DFE1" w14:textId="77777777" w:rsidTr="00FC6056">
        <w:trPr>
          <w:trHeight w:val="460"/>
        </w:trPr>
        <w:tc>
          <w:tcPr>
            <w:tcW w:w="640" w:type="dxa"/>
            <w:tcBorders>
              <w:top w:val="nil"/>
              <w:left w:val="nil"/>
              <w:bottom w:val="double" w:sz="6" w:space="0" w:color="auto"/>
              <w:right w:val="nil"/>
            </w:tcBorders>
            <w:shd w:val="clear" w:color="000000" w:fill="FFFFFF"/>
            <w:vAlign w:val="center"/>
            <w:hideMark/>
          </w:tcPr>
          <w:p w14:paraId="4404FF75"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23</w:t>
            </w:r>
          </w:p>
        </w:tc>
        <w:tc>
          <w:tcPr>
            <w:tcW w:w="1985" w:type="dxa"/>
            <w:tcBorders>
              <w:top w:val="nil"/>
              <w:left w:val="nil"/>
              <w:bottom w:val="double" w:sz="6" w:space="0" w:color="auto"/>
              <w:right w:val="nil"/>
            </w:tcBorders>
            <w:shd w:val="clear" w:color="000000" w:fill="FFFFFF"/>
            <w:vAlign w:val="center"/>
            <w:hideMark/>
          </w:tcPr>
          <w:p w14:paraId="0EC908A5" w14:textId="77777777" w:rsidR="00FC6056" w:rsidRPr="00166607" w:rsidRDefault="00FC6056" w:rsidP="00FC6056">
            <w:pP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Net Benefits to society</w:t>
            </w:r>
          </w:p>
        </w:tc>
        <w:tc>
          <w:tcPr>
            <w:tcW w:w="980" w:type="dxa"/>
            <w:tcBorders>
              <w:top w:val="nil"/>
              <w:left w:val="nil"/>
              <w:bottom w:val="double" w:sz="6" w:space="0" w:color="auto"/>
              <w:right w:val="nil"/>
            </w:tcBorders>
            <w:shd w:val="clear" w:color="000000" w:fill="FFFFFF"/>
            <w:vAlign w:val="center"/>
            <w:hideMark/>
          </w:tcPr>
          <w:p w14:paraId="515D4CF3"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$ 1,916</w:t>
            </w:r>
          </w:p>
        </w:tc>
        <w:tc>
          <w:tcPr>
            <w:tcW w:w="1450" w:type="dxa"/>
            <w:tcBorders>
              <w:top w:val="nil"/>
              <w:left w:val="nil"/>
              <w:bottom w:val="double" w:sz="6" w:space="0" w:color="auto"/>
              <w:right w:val="nil"/>
            </w:tcBorders>
            <w:shd w:val="clear" w:color="000000" w:fill="FFFFFF"/>
            <w:vAlign w:val="center"/>
            <w:hideMark/>
          </w:tcPr>
          <w:p w14:paraId="035DEA29"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($ 119 , $ 3,845)</w:t>
            </w:r>
          </w:p>
        </w:tc>
        <w:tc>
          <w:tcPr>
            <w:tcW w:w="960" w:type="dxa"/>
            <w:tcBorders>
              <w:top w:val="nil"/>
              <w:left w:val="nil"/>
              <w:bottom w:val="double" w:sz="6" w:space="0" w:color="auto"/>
              <w:right w:val="nil"/>
            </w:tcBorders>
            <w:shd w:val="clear" w:color="000000" w:fill="FFFFFF"/>
            <w:vAlign w:val="center"/>
            <w:hideMark/>
          </w:tcPr>
          <w:p w14:paraId="44ECDF3E"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$ 112</w:t>
            </w:r>
          </w:p>
        </w:tc>
        <w:tc>
          <w:tcPr>
            <w:tcW w:w="1650" w:type="dxa"/>
            <w:tcBorders>
              <w:top w:val="nil"/>
              <w:left w:val="nil"/>
              <w:bottom w:val="double" w:sz="6" w:space="0" w:color="auto"/>
              <w:right w:val="nil"/>
            </w:tcBorders>
            <w:shd w:val="clear" w:color="000000" w:fill="FFFFFF"/>
            <w:vAlign w:val="center"/>
            <w:hideMark/>
          </w:tcPr>
          <w:p w14:paraId="4E3D17C7"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(-$2,124 , $ 2,484)</w:t>
            </w:r>
          </w:p>
        </w:tc>
        <w:tc>
          <w:tcPr>
            <w:tcW w:w="940" w:type="dxa"/>
            <w:tcBorders>
              <w:top w:val="nil"/>
              <w:left w:val="nil"/>
              <w:bottom w:val="double" w:sz="6" w:space="0" w:color="auto"/>
              <w:right w:val="nil"/>
            </w:tcBorders>
            <w:shd w:val="clear" w:color="000000" w:fill="FFFFFF"/>
            <w:vAlign w:val="center"/>
            <w:hideMark/>
          </w:tcPr>
          <w:p w14:paraId="18C6075C"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$ 4,400</w:t>
            </w:r>
          </w:p>
        </w:tc>
        <w:tc>
          <w:tcPr>
            <w:tcW w:w="1580" w:type="dxa"/>
            <w:tcBorders>
              <w:top w:val="nil"/>
              <w:left w:val="nil"/>
              <w:bottom w:val="double" w:sz="6" w:space="0" w:color="auto"/>
              <w:right w:val="nil"/>
            </w:tcBorders>
            <w:shd w:val="clear" w:color="000000" w:fill="FFFFFF"/>
            <w:vAlign w:val="center"/>
            <w:hideMark/>
          </w:tcPr>
          <w:p w14:paraId="001514A4" w14:textId="77777777" w:rsidR="00FC6056" w:rsidRPr="00166607" w:rsidRDefault="00FC6056" w:rsidP="00FC6056">
            <w:pPr>
              <w:jc w:val="center"/>
              <w:rPr>
                <w:rFonts w:ascii="Times New Roman" w:eastAsia="Times New Roman" w:hAnsi="Times New Roman"/>
                <w:b/>
                <w:bCs/>
                <w:color w:val="000000"/>
                <w:sz w:val="18"/>
                <w:szCs w:val="18"/>
              </w:rPr>
            </w:pPr>
            <w:r w:rsidRPr="00166607">
              <w:rPr>
                <w:rFonts w:ascii="Times New Roman" w:eastAsia="Times New Roman" w:hAnsi="Times New Roman"/>
                <w:b/>
                <w:bCs/>
                <w:color w:val="000000"/>
                <w:sz w:val="18"/>
                <w:szCs w:val="18"/>
              </w:rPr>
              <w:t>($ 1,303 , $ 7,659)</w:t>
            </w:r>
          </w:p>
        </w:tc>
        <w:tc>
          <w:tcPr>
            <w:tcW w:w="2790" w:type="dxa"/>
            <w:tcBorders>
              <w:top w:val="nil"/>
              <w:left w:val="nil"/>
              <w:bottom w:val="double" w:sz="6" w:space="0" w:color="auto"/>
              <w:right w:val="nil"/>
            </w:tcBorders>
            <w:shd w:val="clear" w:color="000000" w:fill="FFFFFF"/>
            <w:vAlign w:val="center"/>
            <w:hideMark/>
          </w:tcPr>
          <w:p w14:paraId="43C57E3E" w14:textId="77777777" w:rsidR="00FC6056" w:rsidRPr="00166607" w:rsidRDefault="00FC6056" w:rsidP="00FC6056">
            <w:pPr>
              <w:rPr>
                <w:rFonts w:ascii="Times New Roman" w:eastAsia="Times New Roman" w:hAnsi="Times New Roman"/>
                <w:color w:val="000000"/>
                <w:sz w:val="18"/>
                <w:szCs w:val="18"/>
              </w:rPr>
            </w:pPr>
            <w:r w:rsidRPr="00166607">
              <w:rPr>
                <w:rFonts w:ascii="Times New Roman" w:eastAsia="Times New Roman" w:hAnsi="Times New Roman"/>
                <w:color w:val="000000"/>
                <w:sz w:val="18"/>
                <w:szCs w:val="18"/>
              </w:rPr>
              <w:t>Row (22) - Row (21)</w:t>
            </w:r>
          </w:p>
        </w:tc>
      </w:tr>
    </w:tbl>
    <w:p w14:paraId="4BA17AE7" w14:textId="5567C206" w:rsidR="00CA07F6" w:rsidRPr="00166607" w:rsidRDefault="000B1B5E" w:rsidP="000B1B5E">
      <w:pPr>
        <w:rPr>
          <w:rFonts w:ascii="Times New Roman" w:eastAsia="Times New Roman" w:hAnsi="Times New Roman"/>
          <w:color w:val="000000"/>
          <w:sz w:val="20"/>
          <w:szCs w:val="20"/>
        </w:rPr>
      </w:pPr>
      <w:r w:rsidRPr="00166607">
        <w:rPr>
          <w:rFonts w:ascii="Times New Roman" w:hAnsi="Times New Roman"/>
          <w:i/>
          <w:sz w:val="20"/>
          <w:szCs w:val="20"/>
        </w:rPr>
        <w:t>Notes:</w:t>
      </w:r>
      <w:r w:rsidRPr="00166607">
        <w:rPr>
          <w:rFonts w:ascii="Times New Roman" w:eastAsia="Times New Roman" w:hAnsi="Times New Roman"/>
          <w:color w:val="000000"/>
          <w:sz w:val="20"/>
          <w:szCs w:val="20"/>
        </w:rPr>
        <w:t xml:space="preserve"> </w:t>
      </w:r>
      <w:r w:rsidR="00C6584B" w:rsidRPr="00166607">
        <w:rPr>
          <w:rFonts w:ascii="Times New Roman" w:eastAsia="Times New Roman" w:hAnsi="Times New Roman"/>
          <w:color w:val="000000"/>
          <w:sz w:val="20"/>
          <w:szCs w:val="20"/>
        </w:rPr>
        <w:t xml:space="preserve">We express all figures in 2013 dollars per scholarship winner.  </w:t>
      </w:r>
      <w:r w:rsidRPr="00166607">
        <w:rPr>
          <w:rFonts w:ascii="Times New Roman" w:eastAsia="Times New Roman" w:hAnsi="Times New Roman"/>
          <w:color w:val="000000"/>
          <w:sz w:val="20"/>
          <w:szCs w:val="20"/>
        </w:rPr>
        <w:t xml:space="preserve">For </w:t>
      </w:r>
      <w:r w:rsidR="008177BF" w:rsidRPr="00166607">
        <w:rPr>
          <w:rFonts w:ascii="Times New Roman" w:eastAsia="Times New Roman" w:hAnsi="Times New Roman"/>
          <w:color w:val="000000"/>
          <w:sz w:val="20"/>
          <w:szCs w:val="20"/>
        </w:rPr>
        <w:t>annual per-pupil costs of public school and scholarship impact on scholarship value three years after the lottery</w:t>
      </w:r>
      <w:r w:rsidRPr="00166607">
        <w:rPr>
          <w:rFonts w:ascii="Times New Roman" w:eastAsia="Times New Roman" w:hAnsi="Times New Roman"/>
          <w:color w:val="000000"/>
          <w:sz w:val="20"/>
          <w:szCs w:val="20"/>
        </w:rPr>
        <w:t>: Angrist et al. (2002) report the cost of public schooling in 1998 to be $350</w:t>
      </w:r>
      <w:r w:rsidR="00272764" w:rsidRPr="00166607">
        <w:rPr>
          <w:rFonts w:ascii="Times New Roman" w:eastAsia="Times New Roman" w:hAnsi="Times New Roman"/>
          <w:color w:val="000000"/>
          <w:sz w:val="20"/>
          <w:szCs w:val="20"/>
        </w:rPr>
        <w:t xml:space="preserve"> and the scholarship cost to be $190</w:t>
      </w:r>
      <w:r w:rsidRPr="00166607">
        <w:rPr>
          <w:rFonts w:ascii="Times New Roman" w:eastAsia="Times New Roman" w:hAnsi="Times New Roman"/>
          <w:color w:val="000000"/>
          <w:sz w:val="20"/>
          <w:szCs w:val="20"/>
        </w:rPr>
        <w:t>. We follow order of operations described in text to obtain values in analysis year.</w:t>
      </w:r>
      <w:r w:rsidR="008177BF" w:rsidRPr="00166607">
        <w:rPr>
          <w:rFonts w:ascii="Times New Roman" w:eastAsia="Times New Roman" w:hAnsi="Times New Roman"/>
          <w:color w:val="000000"/>
          <w:sz w:val="20"/>
          <w:szCs w:val="20"/>
        </w:rPr>
        <w:t xml:space="preserve"> </w:t>
      </w:r>
      <w:r w:rsidR="008177BF" w:rsidRPr="00166607">
        <w:rPr>
          <w:rFonts w:ascii="Times New Roman" w:eastAsia="Times New Roman" w:hAnsi="Times New Roman"/>
          <w:color w:val="000000"/>
          <w:sz w:val="20"/>
          <w:szCs w:val="20"/>
          <w:u w:val="single"/>
        </w:rPr>
        <w:t xml:space="preserve">For </w:t>
      </w:r>
      <w:r w:rsidR="00272764" w:rsidRPr="00166607">
        <w:rPr>
          <w:rFonts w:ascii="Times New Roman" w:eastAsia="Times New Roman" w:hAnsi="Times New Roman"/>
          <w:color w:val="000000"/>
          <w:sz w:val="20"/>
          <w:szCs w:val="20"/>
          <w:u w:val="single"/>
        </w:rPr>
        <w:t>Expenditure from scholarship costs for students who would have enrolled in private school, aggregated over 6 years</w:t>
      </w:r>
      <w:r w:rsidR="008177BF" w:rsidRPr="00166607">
        <w:rPr>
          <w:rFonts w:ascii="Times New Roman" w:eastAsia="Times New Roman" w:hAnsi="Times New Roman"/>
          <w:color w:val="000000"/>
          <w:sz w:val="20"/>
          <w:szCs w:val="20"/>
          <w:u w:val="single"/>
        </w:rPr>
        <w:t>:</w:t>
      </w:r>
      <w:r w:rsidR="008177BF" w:rsidRPr="00166607">
        <w:rPr>
          <w:rFonts w:ascii="Times New Roman" w:eastAsia="Times New Roman" w:hAnsi="Times New Roman"/>
          <w:color w:val="000000"/>
          <w:sz w:val="20"/>
          <w:szCs w:val="20"/>
        </w:rPr>
        <w:t xml:space="preserve"> </w:t>
      </w:r>
      <w:r w:rsidR="00272764" w:rsidRPr="00166607">
        <w:rPr>
          <w:rFonts w:ascii="Times New Roman" w:eastAsia="Times New Roman" w:hAnsi="Times New Roman"/>
          <w:color w:val="000000"/>
          <w:sz w:val="20"/>
          <w:szCs w:val="20"/>
        </w:rPr>
        <w:t>The fraction of females that attend private school is 0.897 (6</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0.699 (7</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and 0.535 (8</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For males it is 0.857 (6</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0.646 (7</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and 0.543 (8</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We do not observe private school attendance for grades 9</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xml:space="preserve"> or 10</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We observe private school graduation, which is 0.322 for males and 0.314 for males.  We interpolate linearly between the 8</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xml:space="preserve"> grade rate and the graduation rate to obtain the private school attendance rates for grades 9</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xml:space="preserve"> and 10</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which we estimate to be 0.464 (9</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and 0.393 (10</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for females and 0.469 (9</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and 0.396 (10</w:t>
      </w:r>
      <w:r w:rsidR="00272764" w:rsidRPr="00166607">
        <w:rPr>
          <w:rFonts w:ascii="Times New Roman" w:eastAsia="Times New Roman" w:hAnsi="Times New Roman"/>
          <w:color w:val="000000"/>
          <w:sz w:val="20"/>
          <w:szCs w:val="20"/>
          <w:vertAlign w:val="superscript"/>
        </w:rPr>
        <w:t>th</w:t>
      </w:r>
      <w:r w:rsidR="00272764" w:rsidRPr="00166607">
        <w:rPr>
          <w:rFonts w:ascii="Times New Roman" w:eastAsia="Times New Roman" w:hAnsi="Times New Roman"/>
          <w:color w:val="000000"/>
          <w:sz w:val="20"/>
          <w:szCs w:val="20"/>
        </w:rPr>
        <w:t xml:space="preserve">) for males. </w:t>
      </w:r>
      <w:r w:rsidR="007C6D4A" w:rsidRPr="00166607">
        <w:rPr>
          <w:rFonts w:ascii="Times New Roman" w:eastAsia="Times New Roman" w:hAnsi="Times New Roman"/>
          <w:color w:val="000000"/>
          <w:sz w:val="20"/>
          <w:szCs w:val="20"/>
        </w:rPr>
        <w:t>We observe the fraction of winners in private school using the scholarship for grades 6</w:t>
      </w:r>
      <w:r w:rsidR="007C6D4A" w:rsidRPr="00166607">
        <w:rPr>
          <w:rFonts w:ascii="Times New Roman" w:eastAsia="Times New Roman" w:hAnsi="Times New Roman"/>
          <w:color w:val="000000"/>
          <w:sz w:val="20"/>
          <w:szCs w:val="20"/>
          <w:vertAlign w:val="superscript"/>
        </w:rPr>
        <w:t>th</w:t>
      </w:r>
      <w:r w:rsidR="007C6D4A" w:rsidRPr="00166607">
        <w:rPr>
          <w:rFonts w:ascii="Times New Roman" w:eastAsia="Times New Roman" w:hAnsi="Times New Roman"/>
          <w:color w:val="000000"/>
          <w:sz w:val="20"/>
          <w:szCs w:val="20"/>
        </w:rPr>
        <w:t xml:space="preserve"> and 8</w:t>
      </w:r>
      <w:r w:rsidR="007C6D4A" w:rsidRPr="00166607">
        <w:rPr>
          <w:rFonts w:ascii="Times New Roman" w:eastAsia="Times New Roman" w:hAnsi="Times New Roman"/>
          <w:color w:val="000000"/>
          <w:sz w:val="20"/>
          <w:szCs w:val="20"/>
          <w:vertAlign w:val="superscript"/>
        </w:rPr>
        <w:t>th</w:t>
      </w:r>
      <w:r w:rsidR="007C6D4A" w:rsidRPr="00166607">
        <w:rPr>
          <w:rFonts w:ascii="Times New Roman" w:eastAsia="Times New Roman" w:hAnsi="Times New Roman"/>
          <w:color w:val="000000"/>
          <w:sz w:val="20"/>
          <w:szCs w:val="20"/>
        </w:rPr>
        <w:t xml:space="preserve"> only. The 7</w:t>
      </w:r>
      <w:r w:rsidR="007C6D4A" w:rsidRPr="00166607">
        <w:rPr>
          <w:rFonts w:ascii="Times New Roman" w:eastAsia="Times New Roman" w:hAnsi="Times New Roman"/>
          <w:color w:val="000000"/>
          <w:sz w:val="20"/>
          <w:szCs w:val="20"/>
          <w:vertAlign w:val="superscript"/>
        </w:rPr>
        <w:t>th</w:t>
      </w:r>
      <w:r w:rsidR="007C6D4A" w:rsidRPr="00166607">
        <w:rPr>
          <w:rFonts w:ascii="Times New Roman" w:eastAsia="Times New Roman" w:hAnsi="Times New Roman"/>
          <w:color w:val="000000"/>
          <w:sz w:val="20"/>
          <w:szCs w:val="20"/>
        </w:rPr>
        <w:t xml:space="preserve"> grade fraction is the linear combination of the 6</w:t>
      </w:r>
      <w:r w:rsidR="007C6D4A" w:rsidRPr="00166607">
        <w:rPr>
          <w:rFonts w:ascii="Times New Roman" w:eastAsia="Times New Roman" w:hAnsi="Times New Roman"/>
          <w:color w:val="000000"/>
          <w:sz w:val="20"/>
          <w:szCs w:val="20"/>
          <w:vertAlign w:val="superscript"/>
        </w:rPr>
        <w:t>th</w:t>
      </w:r>
      <w:r w:rsidR="007C6D4A" w:rsidRPr="00166607">
        <w:rPr>
          <w:rFonts w:ascii="Times New Roman" w:eastAsia="Times New Roman" w:hAnsi="Times New Roman"/>
          <w:color w:val="000000"/>
          <w:sz w:val="20"/>
          <w:szCs w:val="20"/>
        </w:rPr>
        <w:t xml:space="preserve"> and 8</w:t>
      </w:r>
      <w:r w:rsidR="007C6D4A" w:rsidRPr="00166607">
        <w:rPr>
          <w:rFonts w:ascii="Times New Roman" w:eastAsia="Times New Roman" w:hAnsi="Times New Roman"/>
          <w:color w:val="000000"/>
          <w:sz w:val="20"/>
          <w:szCs w:val="20"/>
          <w:vertAlign w:val="superscript"/>
        </w:rPr>
        <w:t>th</w:t>
      </w:r>
      <w:r w:rsidR="007C6D4A" w:rsidRPr="00166607">
        <w:rPr>
          <w:rFonts w:ascii="Times New Roman" w:eastAsia="Times New Roman" w:hAnsi="Times New Roman"/>
          <w:color w:val="000000"/>
          <w:sz w:val="20"/>
          <w:szCs w:val="20"/>
        </w:rPr>
        <w:t xml:space="preserve"> grade rates.  For females the fraction of winners in private school using the scholarship is 0.953 (6</w:t>
      </w:r>
      <w:r w:rsidR="007C6D4A" w:rsidRPr="00166607">
        <w:rPr>
          <w:rFonts w:ascii="Times New Roman" w:eastAsia="Times New Roman" w:hAnsi="Times New Roman"/>
          <w:color w:val="000000"/>
          <w:sz w:val="20"/>
          <w:szCs w:val="20"/>
          <w:vertAlign w:val="superscript"/>
        </w:rPr>
        <w:t>th</w:t>
      </w:r>
      <w:r w:rsidR="007C6D4A" w:rsidRPr="00166607">
        <w:rPr>
          <w:rFonts w:ascii="Times New Roman" w:eastAsia="Times New Roman" w:hAnsi="Times New Roman"/>
          <w:color w:val="000000"/>
          <w:sz w:val="20"/>
          <w:szCs w:val="20"/>
        </w:rPr>
        <w:t>), 0.736 (7</w:t>
      </w:r>
      <w:r w:rsidR="007C6D4A" w:rsidRPr="00166607">
        <w:rPr>
          <w:rFonts w:ascii="Times New Roman" w:eastAsia="Times New Roman" w:hAnsi="Times New Roman"/>
          <w:color w:val="000000"/>
          <w:sz w:val="20"/>
          <w:szCs w:val="20"/>
          <w:vertAlign w:val="superscript"/>
        </w:rPr>
        <w:t>th</w:t>
      </w:r>
      <w:r w:rsidR="007C6D4A" w:rsidRPr="00166607">
        <w:rPr>
          <w:rFonts w:ascii="Times New Roman" w:eastAsia="Times New Roman" w:hAnsi="Times New Roman"/>
          <w:color w:val="000000"/>
          <w:sz w:val="20"/>
          <w:szCs w:val="20"/>
        </w:rPr>
        <w:t>) and 0.519 (8</w:t>
      </w:r>
      <w:r w:rsidR="007C6D4A" w:rsidRPr="00166607">
        <w:rPr>
          <w:rFonts w:ascii="Times New Roman" w:eastAsia="Times New Roman" w:hAnsi="Times New Roman"/>
          <w:color w:val="000000"/>
          <w:sz w:val="20"/>
          <w:szCs w:val="20"/>
          <w:vertAlign w:val="superscript"/>
        </w:rPr>
        <w:t>th</w:t>
      </w:r>
      <w:r w:rsidR="007C6D4A" w:rsidRPr="00166607">
        <w:rPr>
          <w:rFonts w:ascii="Times New Roman" w:eastAsia="Times New Roman" w:hAnsi="Times New Roman"/>
          <w:color w:val="000000"/>
          <w:sz w:val="20"/>
          <w:szCs w:val="20"/>
        </w:rPr>
        <w:t>).  For males it is 0.933 (6</w:t>
      </w:r>
      <w:r w:rsidR="007C6D4A" w:rsidRPr="00166607">
        <w:rPr>
          <w:rFonts w:ascii="Times New Roman" w:eastAsia="Times New Roman" w:hAnsi="Times New Roman"/>
          <w:color w:val="000000"/>
          <w:sz w:val="20"/>
          <w:szCs w:val="20"/>
          <w:vertAlign w:val="superscript"/>
        </w:rPr>
        <w:t>th</w:t>
      </w:r>
      <w:r w:rsidR="007C6D4A" w:rsidRPr="00166607">
        <w:rPr>
          <w:rFonts w:ascii="Times New Roman" w:eastAsia="Times New Roman" w:hAnsi="Times New Roman"/>
          <w:color w:val="000000"/>
          <w:sz w:val="20"/>
          <w:szCs w:val="20"/>
        </w:rPr>
        <w:t>), 0.698 (7</w:t>
      </w:r>
      <w:r w:rsidR="007C6D4A" w:rsidRPr="00166607">
        <w:rPr>
          <w:rFonts w:ascii="Times New Roman" w:eastAsia="Times New Roman" w:hAnsi="Times New Roman"/>
          <w:color w:val="000000"/>
          <w:sz w:val="20"/>
          <w:szCs w:val="20"/>
          <w:vertAlign w:val="superscript"/>
        </w:rPr>
        <w:t>th</w:t>
      </w:r>
      <w:r w:rsidR="007C6D4A" w:rsidRPr="00166607">
        <w:rPr>
          <w:rFonts w:ascii="Times New Roman" w:eastAsia="Times New Roman" w:hAnsi="Times New Roman"/>
          <w:color w:val="000000"/>
          <w:sz w:val="20"/>
          <w:szCs w:val="20"/>
        </w:rPr>
        <w:t>) and 0.463 (8</w:t>
      </w:r>
      <w:r w:rsidR="007C6D4A" w:rsidRPr="00166607">
        <w:rPr>
          <w:rFonts w:ascii="Times New Roman" w:eastAsia="Times New Roman" w:hAnsi="Times New Roman"/>
          <w:color w:val="000000"/>
          <w:sz w:val="20"/>
          <w:szCs w:val="20"/>
          <w:vertAlign w:val="superscript"/>
        </w:rPr>
        <w:t>th</w:t>
      </w:r>
      <w:r w:rsidR="007C6D4A" w:rsidRPr="00166607">
        <w:rPr>
          <w:rFonts w:ascii="Times New Roman" w:eastAsia="Times New Roman" w:hAnsi="Times New Roman"/>
          <w:color w:val="000000"/>
          <w:sz w:val="20"/>
          <w:szCs w:val="20"/>
        </w:rPr>
        <w:t xml:space="preserve">).  </w:t>
      </w:r>
      <w:r w:rsidR="007C6D4A" w:rsidRPr="00166607">
        <w:rPr>
          <w:rFonts w:ascii="Times New Roman" w:hAnsi="Times New Roman"/>
          <w:sz w:val="20"/>
          <w:szCs w:val="20"/>
        </w:rPr>
        <w:t>After 8</w:t>
      </w:r>
      <w:r w:rsidR="007C6D4A" w:rsidRPr="00166607">
        <w:rPr>
          <w:rFonts w:ascii="Times New Roman" w:hAnsi="Times New Roman"/>
          <w:sz w:val="20"/>
          <w:szCs w:val="20"/>
          <w:vertAlign w:val="superscript"/>
        </w:rPr>
        <w:t>th</w:t>
      </w:r>
      <w:r w:rsidR="007C6D4A" w:rsidRPr="00166607">
        <w:rPr>
          <w:rFonts w:ascii="Times New Roman" w:hAnsi="Times New Roman"/>
          <w:sz w:val="20"/>
          <w:szCs w:val="20"/>
        </w:rPr>
        <w:t xml:space="preserve"> grade, we have no data on scholarship usage.  We know that 32 percent of the overall lottery loser sample finished 11</w:t>
      </w:r>
      <w:r w:rsidR="007C6D4A" w:rsidRPr="00166607">
        <w:rPr>
          <w:rFonts w:ascii="Times New Roman" w:hAnsi="Times New Roman"/>
          <w:sz w:val="20"/>
          <w:szCs w:val="20"/>
          <w:vertAlign w:val="superscript"/>
        </w:rPr>
        <w:t>th</w:t>
      </w:r>
      <w:r w:rsidR="007C6D4A" w:rsidRPr="00166607">
        <w:rPr>
          <w:rFonts w:ascii="Times New Roman" w:hAnsi="Times New Roman"/>
          <w:sz w:val="20"/>
          <w:szCs w:val="20"/>
        </w:rPr>
        <w:t xml:space="preserve"> grade in private school.  We assume a constant deterioration from 8</w:t>
      </w:r>
      <w:r w:rsidR="007C6D4A" w:rsidRPr="00166607">
        <w:rPr>
          <w:rFonts w:ascii="Times New Roman" w:hAnsi="Times New Roman"/>
          <w:sz w:val="20"/>
          <w:szCs w:val="20"/>
          <w:vertAlign w:val="superscript"/>
        </w:rPr>
        <w:t>th</w:t>
      </w:r>
      <w:r w:rsidR="007C6D4A" w:rsidRPr="00166607">
        <w:rPr>
          <w:rFonts w:ascii="Times New Roman" w:hAnsi="Times New Roman"/>
          <w:sz w:val="20"/>
          <w:szCs w:val="20"/>
        </w:rPr>
        <w:t xml:space="preserve"> grade to 11</w:t>
      </w:r>
      <w:r w:rsidR="007C6D4A" w:rsidRPr="00166607">
        <w:rPr>
          <w:rFonts w:ascii="Times New Roman" w:hAnsi="Times New Roman"/>
          <w:sz w:val="20"/>
          <w:szCs w:val="20"/>
          <w:vertAlign w:val="superscript"/>
        </w:rPr>
        <w:t>th</w:t>
      </w:r>
      <w:r w:rsidR="007C6D4A" w:rsidRPr="00166607">
        <w:rPr>
          <w:rFonts w:ascii="Times New Roman" w:hAnsi="Times New Roman"/>
          <w:sz w:val="20"/>
          <w:szCs w:val="20"/>
        </w:rPr>
        <w:t xml:space="preserve"> grade in the fraction of losers attending private school.  This implies a 40 percent reduction in the fraction attending private school, and we assume that deterioration in scholarship usage among winners follows a similar 40 percent decline from the 8</w:t>
      </w:r>
      <w:r w:rsidR="007C6D4A" w:rsidRPr="00166607">
        <w:rPr>
          <w:rFonts w:ascii="Times New Roman" w:hAnsi="Times New Roman"/>
          <w:sz w:val="20"/>
          <w:szCs w:val="20"/>
          <w:vertAlign w:val="superscript"/>
        </w:rPr>
        <w:t>th</w:t>
      </w:r>
      <w:r w:rsidR="007C6D4A" w:rsidRPr="00166607">
        <w:rPr>
          <w:rFonts w:ascii="Times New Roman" w:hAnsi="Times New Roman"/>
          <w:sz w:val="20"/>
          <w:szCs w:val="20"/>
        </w:rPr>
        <w:t xml:space="preserve"> grade level.  Under these assumptions, scholarship usage rates for females are 0.415 (9</w:t>
      </w:r>
      <w:r w:rsidR="007C6D4A" w:rsidRPr="00166607">
        <w:rPr>
          <w:rFonts w:ascii="Times New Roman" w:hAnsi="Times New Roman"/>
          <w:sz w:val="20"/>
          <w:szCs w:val="20"/>
          <w:vertAlign w:val="superscript"/>
        </w:rPr>
        <w:t>th</w:t>
      </w:r>
      <w:r w:rsidR="007C6D4A" w:rsidRPr="00166607">
        <w:rPr>
          <w:rFonts w:ascii="Times New Roman" w:hAnsi="Times New Roman"/>
          <w:sz w:val="20"/>
          <w:szCs w:val="20"/>
        </w:rPr>
        <w:t>), 0.310 (10</w:t>
      </w:r>
      <w:r w:rsidR="007C6D4A" w:rsidRPr="00166607">
        <w:rPr>
          <w:rFonts w:ascii="Times New Roman" w:hAnsi="Times New Roman"/>
          <w:sz w:val="20"/>
          <w:szCs w:val="20"/>
          <w:vertAlign w:val="superscript"/>
        </w:rPr>
        <w:t>th</w:t>
      </w:r>
      <w:r w:rsidR="007C6D4A" w:rsidRPr="00166607">
        <w:rPr>
          <w:rFonts w:ascii="Times New Roman" w:hAnsi="Times New Roman"/>
          <w:sz w:val="20"/>
          <w:szCs w:val="20"/>
        </w:rPr>
        <w:t>) and 0.206 (11</w:t>
      </w:r>
      <w:r w:rsidR="007C6D4A" w:rsidRPr="00166607">
        <w:rPr>
          <w:rFonts w:ascii="Times New Roman" w:hAnsi="Times New Roman"/>
          <w:sz w:val="20"/>
          <w:szCs w:val="20"/>
          <w:vertAlign w:val="superscript"/>
        </w:rPr>
        <w:t>th</w:t>
      </w:r>
      <w:r w:rsidR="007C6D4A" w:rsidRPr="00166607">
        <w:rPr>
          <w:rFonts w:ascii="Times New Roman" w:hAnsi="Times New Roman"/>
          <w:sz w:val="20"/>
          <w:szCs w:val="20"/>
        </w:rPr>
        <w:t>).  For males the scholarship usage rates are 0.374 (9</w:t>
      </w:r>
      <w:r w:rsidR="007C6D4A" w:rsidRPr="00166607">
        <w:rPr>
          <w:rFonts w:ascii="Times New Roman" w:hAnsi="Times New Roman"/>
          <w:sz w:val="20"/>
          <w:szCs w:val="20"/>
          <w:vertAlign w:val="superscript"/>
        </w:rPr>
        <w:t>th</w:t>
      </w:r>
      <w:r w:rsidR="007C6D4A" w:rsidRPr="00166607">
        <w:rPr>
          <w:rFonts w:ascii="Times New Roman" w:hAnsi="Times New Roman"/>
          <w:sz w:val="20"/>
          <w:szCs w:val="20"/>
        </w:rPr>
        <w:t>), 0.284 (10</w:t>
      </w:r>
      <w:r w:rsidR="007C6D4A" w:rsidRPr="00166607">
        <w:rPr>
          <w:rFonts w:ascii="Times New Roman" w:hAnsi="Times New Roman"/>
          <w:sz w:val="20"/>
          <w:szCs w:val="20"/>
          <w:vertAlign w:val="superscript"/>
        </w:rPr>
        <w:t>th</w:t>
      </w:r>
      <w:r w:rsidR="007C6D4A" w:rsidRPr="00166607">
        <w:rPr>
          <w:rFonts w:ascii="Times New Roman" w:hAnsi="Times New Roman"/>
          <w:sz w:val="20"/>
          <w:szCs w:val="20"/>
        </w:rPr>
        <w:t>) and 0.195 (11</w:t>
      </w:r>
      <w:r w:rsidR="007C6D4A" w:rsidRPr="00166607">
        <w:rPr>
          <w:rFonts w:ascii="Times New Roman" w:hAnsi="Times New Roman"/>
          <w:sz w:val="20"/>
          <w:szCs w:val="20"/>
          <w:vertAlign w:val="superscript"/>
        </w:rPr>
        <w:t>th</w:t>
      </w:r>
      <w:r w:rsidR="007C6D4A" w:rsidRPr="00166607">
        <w:rPr>
          <w:rFonts w:ascii="Times New Roman" w:hAnsi="Times New Roman"/>
          <w:sz w:val="20"/>
          <w:szCs w:val="20"/>
        </w:rPr>
        <w:t>).</w:t>
      </w:r>
      <w:r w:rsidR="007C6D4A" w:rsidRPr="00166607">
        <w:rPr>
          <w:rFonts w:ascii="Times New Roman" w:hAnsi="Times New Roman"/>
        </w:rPr>
        <w:t xml:space="preserve"> </w:t>
      </w:r>
      <w:r w:rsidRPr="00166607">
        <w:rPr>
          <w:rFonts w:ascii="Times New Roman" w:eastAsia="Times New Roman" w:hAnsi="Times New Roman"/>
          <w:color w:val="000000"/>
          <w:sz w:val="20"/>
          <w:szCs w:val="20"/>
          <w:u w:val="single"/>
        </w:rPr>
        <w:t>For cost-savings from reduced grade repetition:</w:t>
      </w:r>
      <w:r w:rsidRPr="00166607">
        <w:rPr>
          <w:rFonts w:ascii="Times New Roman" w:eastAsia="Times New Roman" w:hAnsi="Times New Roman"/>
          <w:color w:val="000000"/>
          <w:sz w:val="20"/>
          <w:szCs w:val="20"/>
        </w:rPr>
        <w:t xml:space="preserve"> See Appendix B. </w:t>
      </w:r>
      <w:r w:rsidRPr="00166607">
        <w:rPr>
          <w:rFonts w:ascii="Times New Roman" w:eastAsia="Times New Roman" w:hAnsi="Times New Roman"/>
          <w:color w:val="000000"/>
          <w:sz w:val="20"/>
          <w:szCs w:val="20"/>
          <w:u w:val="single"/>
        </w:rPr>
        <w:t>For tertiary costs:</w:t>
      </w:r>
      <w:r w:rsidRPr="00166607">
        <w:rPr>
          <w:rFonts w:ascii="Times New Roman" w:eastAsia="Times New Roman" w:hAnsi="Times New Roman"/>
          <w:color w:val="000000"/>
          <w:sz w:val="20"/>
          <w:szCs w:val="20"/>
        </w:rPr>
        <w:t xml:space="preserve"> Average per-pupil government expenditure in tertiary education is COP 3,280,000 in 2010 (Ministry of Education 2010). We use the exchange rate of COP 1913.98/USD (Dec 31, 2010) to convert to nominal USD and follow order of operations described in text to obtain NPV in USD of analysis year.  Tertiary education subsid</w:t>
      </w:r>
      <w:r w:rsidR="008715C7" w:rsidRPr="00166607">
        <w:rPr>
          <w:rFonts w:ascii="Times New Roman" w:eastAsia="Times New Roman" w:hAnsi="Times New Roman"/>
          <w:color w:val="000000"/>
          <w:sz w:val="20"/>
          <w:szCs w:val="20"/>
        </w:rPr>
        <w:t xml:space="preserve">ies are </w:t>
      </w:r>
      <w:r w:rsidRPr="00166607">
        <w:rPr>
          <w:rFonts w:ascii="Times New Roman" w:eastAsia="Times New Roman" w:hAnsi="Times New Roman"/>
          <w:color w:val="000000"/>
          <w:sz w:val="20"/>
          <w:szCs w:val="20"/>
        </w:rPr>
        <w:t xml:space="preserve">COP 682.432 </w:t>
      </w:r>
      <w:r w:rsidR="008715C7" w:rsidRPr="00166607">
        <w:rPr>
          <w:rFonts w:ascii="Times New Roman" w:eastAsia="Times New Roman" w:hAnsi="Times New Roman"/>
          <w:color w:val="000000"/>
          <w:sz w:val="20"/>
          <w:szCs w:val="20"/>
        </w:rPr>
        <w:t xml:space="preserve">per semester </w:t>
      </w:r>
      <w:r w:rsidRPr="00166607">
        <w:rPr>
          <w:rFonts w:ascii="Times New Roman" w:eastAsia="Times New Roman" w:hAnsi="Times New Roman"/>
          <w:color w:val="000000"/>
          <w:sz w:val="20"/>
          <w:szCs w:val="20"/>
        </w:rPr>
        <w:t xml:space="preserve">in COP of 2013 (ICETEX 2014). We use the exchange rate of COP 1923.83/USD (Dec 31, 2013) to convert to nominal USD and follow order of operations described in text to obtain NPV in USD of analysis year. </w:t>
      </w:r>
      <w:r w:rsidR="00DD624E" w:rsidRPr="00166607">
        <w:rPr>
          <w:rFonts w:ascii="Times New Roman" w:eastAsia="Times New Roman" w:hAnsi="Times New Roman"/>
          <w:color w:val="000000"/>
          <w:sz w:val="20"/>
          <w:szCs w:val="20"/>
          <w:u w:val="single"/>
        </w:rPr>
        <w:t>Costs of welfare receipt:</w:t>
      </w:r>
      <w:r w:rsidR="00DD624E" w:rsidRPr="00166607">
        <w:rPr>
          <w:rFonts w:ascii="Times New Roman" w:eastAsia="Times New Roman" w:hAnsi="Times New Roman"/>
          <w:color w:val="000000"/>
          <w:sz w:val="20"/>
          <w:szCs w:val="20"/>
        </w:rPr>
        <w:t xml:space="preserve"> To obtain annual cost we assume one child, which is the mean number of children</w:t>
      </w:r>
      <w:r w:rsidR="005C5437" w:rsidRPr="00166607">
        <w:rPr>
          <w:rFonts w:ascii="Times New Roman" w:eastAsia="Times New Roman" w:hAnsi="Times New Roman"/>
          <w:color w:val="000000"/>
          <w:sz w:val="20"/>
          <w:szCs w:val="20"/>
        </w:rPr>
        <w:t xml:space="preserve"> of scholarship applicants at age 28</w:t>
      </w:r>
      <w:r w:rsidR="00DD624E" w:rsidRPr="00166607">
        <w:rPr>
          <w:rFonts w:ascii="Times New Roman" w:eastAsia="Times New Roman" w:hAnsi="Times New Roman"/>
          <w:color w:val="000000"/>
          <w:sz w:val="20"/>
          <w:szCs w:val="20"/>
        </w:rPr>
        <w:t xml:space="preserve"> (see Table </w:t>
      </w:r>
      <w:r w:rsidR="005C5437" w:rsidRPr="00166607">
        <w:rPr>
          <w:rFonts w:ascii="Times New Roman" w:eastAsia="Times New Roman" w:hAnsi="Times New Roman"/>
          <w:color w:val="000000"/>
          <w:sz w:val="20"/>
          <w:szCs w:val="20"/>
        </w:rPr>
        <w:t>7).  We as</w:t>
      </w:r>
      <w:r w:rsidR="00DD624E" w:rsidRPr="00166607">
        <w:rPr>
          <w:rFonts w:ascii="Times New Roman" w:eastAsia="Times New Roman" w:hAnsi="Times New Roman"/>
          <w:color w:val="000000"/>
          <w:sz w:val="20"/>
          <w:szCs w:val="20"/>
        </w:rPr>
        <w:t xml:space="preserve">sume child is </w:t>
      </w:r>
      <w:r w:rsidR="005C5437" w:rsidRPr="00166607">
        <w:rPr>
          <w:rFonts w:ascii="Times New Roman" w:eastAsia="Times New Roman" w:hAnsi="Times New Roman"/>
          <w:color w:val="000000"/>
          <w:sz w:val="20"/>
          <w:szCs w:val="20"/>
        </w:rPr>
        <w:t xml:space="preserve">between zero and seven years of age in 2013, so can receive health transfer but </w:t>
      </w:r>
      <w:r w:rsidR="00DD624E" w:rsidRPr="00166607">
        <w:rPr>
          <w:rFonts w:ascii="Times New Roman" w:eastAsia="Times New Roman" w:hAnsi="Times New Roman"/>
          <w:color w:val="000000"/>
          <w:sz w:val="20"/>
          <w:szCs w:val="20"/>
        </w:rPr>
        <w:t>no education transfer</w:t>
      </w:r>
      <w:r w:rsidR="005C5437" w:rsidRPr="00166607">
        <w:rPr>
          <w:rFonts w:ascii="Times New Roman" w:eastAsia="Times New Roman" w:hAnsi="Times New Roman"/>
          <w:color w:val="000000"/>
          <w:sz w:val="20"/>
          <w:szCs w:val="20"/>
        </w:rPr>
        <w:t xml:space="preserve">.  We assume applicant resides in Bogotá </w:t>
      </w:r>
      <w:r w:rsidR="00DD624E" w:rsidRPr="00166607">
        <w:rPr>
          <w:rFonts w:ascii="Times New Roman" w:eastAsia="Times New Roman" w:hAnsi="Times New Roman"/>
          <w:color w:val="000000"/>
          <w:sz w:val="20"/>
          <w:szCs w:val="20"/>
        </w:rPr>
        <w:t xml:space="preserve">so </w:t>
      </w:r>
      <w:r w:rsidR="005C5437" w:rsidRPr="00166607">
        <w:rPr>
          <w:rFonts w:ascii="Times New Roman" w:eastAsia="Times New Roman" w:hAnsi="Times New Roman"/>
          <w:color w:val="000000"/>
          <w:sz w:val="20"/>
          <w:szCs w:val="20"/>
        </w:rPr>
        <w:t xml:space="preserve">monthly </w:t>
      </w:r>
      <w:r w:rsidR="00DD624E" w:rsidRPr="00166607">
        <w:rPr>
          <w:rFonts w:ascii="Times New Roman" w:eastAsia="Times New Roman" w:hAnsi="Times New Roman"/>
          <w:color w:val="000000"/>
          <w:sz w:val="20"/>
          <w:szCs w:val="20"/>
        </w:rPr>
        <w:t>health subsidy amount is that for Group 1 municipalities</w:t>
      </w:r>
      <w:r w:rsidR="005C5437" w:rsidRPr="00166607">
        <w:rPr>
          <w:rFonts w:ascii="Times New Roman" w:eastAsia="Times New Roman" w:hAnsi="Times New Roman"/>
          <w:color w:val="000000"/>
          <w:sz w:val="20"/>
          <w:szCs w:val="20"/>
        </w:rPr>
        <w:t>, COP 61,200/month (</w:t>
      </w:r>
      <w:r w:rsidR="00DD624E" w:rsidRPr="00166607">
        <w:rPr>
          <w:rFonts w:ascii="Times New Roman" w:eastAsia="Times New Roman" w:hAnsi="Times New Roman"/>
          <w:color w:val="000000"/>
          <w:sz w:val="20"/>
          <w:szCs w:val="20"/>
        </w:rPr>
        <w:t xml:space="preserve">see: </w:t>
      </w:r>
      <w:hyperlink r:id="rId25" w:history="1">
        <w:r w:rsidR="005C5437" w:rsidRPr="008233C3">
          <w:rPr>
            <w:rStyle w:val="Hyperlink"/>
            <w:rFonts w:ascii="Times New Roman" w:eastAsia="Times New Roman" w:hAnsi="Times New Roman"/>
            <w:sz w:val="20"/>
            <w:szCs w:val="20"/>
          </w:rPr>
          <w:t>http://www.dps.gov.co/Ingreso_Social/FamiliasenAccion.aspx</w:t>
        </w:r>
      </w:hyperlink>
      <w:r w:rsidR="005C5437" w:rsidRPr="00166607">
        <w:rPr>
          <w:rFonts w:ascii="Times New Roman" w:eastAsia="Times New Roman" w:hAnsi="Times New Roman"/>
          <w:color w:val="000000"/>
          <w:sz w:val="20"/>
          <w:szCs w:val="20"/>
        </w:rPr>
        <w:t xml:space="preserve">, retrieved October 28, 2014). </w:t>
      </w:r>
      <w:r w:rsidR="00DD624E" w:rsidRPr="008233C3">
        <w:rPr>
          <w:rFonts w:ascii="Times New Roman" w:eastAsia="Times New Roman" w:hAnsi="Times New Roman"/>
          <w:color w:val="000000"/>
          <w:sz w:val="20"/>
          <w:szCs w:val="20"/>
        </w:rPr>
        <w:t>We obtain annu</w:t>
      </w:r>
      <w:r w:rsidR="005C5437" w:rsidRPr="008233C3">
        <w:rPr>
          <w:rFonts w:ascii="Times New Roman" w:eastAsia="Times New Roman" w:hAnsi="Times New Roman"/>
          <w:color w:val="000000"/>
          <w:sz w:val="20"/>
          <w:szCs w:val="20"/>
        </w:rPr>
        <w:t xml:space="preserve">al CCT transfer amount by multiplying by 12.  </w:t>
      </w:r>
      <w:r w:rsidR="00DD624E" w:rsidRPr="008233C3">
        <w:rPr>
          <w:rFonts w:ascii="Times New Roman" w:eastAsia="Times New Roman" w:hAnsi="Times New Roman"/>
          <w:color w:val="000000"/>
          <w:sz w:val="20"/>
          <w:szCs w:val="20"/>
        </w:rPr>
        <w:t xml:space="preserve"> </w:t>
      </w:r>
      <w:r w:rsidR="005C5437" w:rsidRPr="00166607">
        <w:rPr>
          <w:rFonts w:ascii="Times New Roman" w:eastAsia="Times New Roman" w:hAnsi="Times New Roman"/>
          <w:color w:val="000000"/>
          <w:sz w:val="20"/>
          <w:szCs w:val="20"/>
        </w:rPr>
        <w:t xml:space="preserve">We follow order of operations above to obtain NPV in USD of analysis year.  We only assume </w:t>
      </w:r>
      <w:r w:rsidR="00DD624E" w:rsidRPr="00166607">
        <w:rPr>
          <w:rFonts w:ascii="Times New Roman" w:eastAsia="Times New Roman" w:hAnsi="Times New Roman"/>
          <w:color w:val="000000"/>
          <w:sz w:val="20"/>
          <w:szCs w:val="20"/>
        </w:rPr>
        <w:t xml:space="preserve">one year of costs since there is no difference </w:t>
      </w:r>
      <w:r w:rsidR="005C5437" w:rsidRPr="00166607">
        <w:rPr>
          <w:rFonts w:ascii="Times New Roman" w:eastAsia="Times New Roman" w:hAnsi="Times New Roman"/>
          <w:color w:val="000000"/>
          <w:sz w:val="20"/>
          <w:szCs w:val="20"/>
        </w:rPr>
        <w:t>by scholarship status in total fertility, indicating simply a difference in the probability of having age-</w:t>
      </w:r>
      <w:r w:rsidR="00DD624E" w:rsidRPr="00166607">
        <w:rPr>
          <w:rFonts w:ascii="Times New Roman" w:eastAsia="Times New Roman" w:hAnsi="Times New Roman"/>
          <w:color w:val="000000"/>
          <w:sz w:val="20"/>
          <w:szCs w:val="20"/>
        </w:rPr>
        <w:t>appropriate children</w:t>
      </w:r>
      <w:r w:rsidR="005C5437" w:rsidRPr="00166607">
        <w:rPr>
          <w:rFonts w:ascii="Times New Roman" w:eastAsia="Times New Roman" w:hAnsi="Times New Roman"/>
          <w:color w:val="000000"/>
          <w:sz w:val="20"/>
          <w:szCs w:val="20"/>
        </w:rPr>
        <w:t xml:space="preserve">.  </w:t>
      </w:r>
      <w:r w:rsidR="00DD624E" w:rsidRPr="00166607">
        <w:rPr>
          <w:rFonts w:ascii="Times New Roman" w:eastAsia="Times New Roman" w:hAnsi="Times New Roman"/>
          <w:color w:val="000000"/>
          <w:sz w:val="20"/>
          <w:szCs w:val="20"/>
        </w:rPr>
        <w:t xml:space="preserve">Therefore, </w:t>
      </w:r>
      <w:r w:rsidR="005C5437" w:rsidRPr="00166607">
        <w:rPr>
          <w:rFonts w:ascii="Times New Roman" w:eastAsia="Times New Roman" w:hAnsi="Times New Roman"/>
          <w:color w:val="000000"/>
          <w:sz w:val="20"/>
          <w:szCs w:val="20"/>
        </w:rPr>
        <w:t xml:space="preserve">CCT </w:t>
      </w:r>
      <w:r w:rsidR="00DD624E" w:rsidRPr="00166607">
        <w:rPr>
          <w:rFonts w:ascii="Times New Roman" w:eastAsia="Times New Roman" w:hAnsi="Times New Roman"/>
          <w:color w:val="000000"/>
          <w:sz w:val="20"/>
          <w:szCs w:val="20"/>
        </w:rPr>
        <w:t>cost is annual cost * impact</w:t>
      </w:r>
      <w:r w:rsidR="005C5437" w:rsidRPr="00166607">
        <w:rPr>
          <w:rFonts w:ascii="Times New Roman" w:eastAsia="Times New Roman" w:hAnsi="Times New Roman"/>
          <w:color w:val="000000"/>
          <w:sz w:val="20"/>
          <w:szCs w:val="20"/>
        </w:rPr>
        <w:t xml:space="preserve"> on receipt. </w:t>
      </w:r>
      <w:r w:rsidRPr="00166607">
        <w:rPr>
          <w:rFonts w:ascii="Times New Roman" w:eastAsia="Times New Roman" w:hAnsi="Times New Roman"/>
          <w:color w:val="000000"/>
          <w:sz w:val="20"/>
          <w:szCs w:val="20"/>
          <w:u w:val="single"/>
        </w:rPr>
        <w:t xml:space="preserve">Foregone </w:t>
      </w:r>
      <w:r w:rsidR="00DD624E" w:rsidRPr="00166607">
        <w:rPr>
          <w:rFonts w:ascii="Times New Roman" w:eastAsia="Times New Roman" w:hAnsi="Times New Roman"/>
          <w:color w:val="000000"/>
          <w:sz w:val="20"/>
          <w:szCs w:val="20"/>
          <w:u w:val="single"/>
        </w:rPr>
        <w:t>earnings</w:t>
      </w:r>
      <w:r w:rsidRPr="00166607">
        <w:rPr>
          <w:rFonts w:ascii="Times New Roman" w:eastAsia="Times New Roman" w:hAnsi="Times New Roman"/>
          <w:color w:val="000000"/>
          <w:sz w:val="20"/>
          <w:szCs w:val="20"/>
          <w:u w:val="single"/>
        </w:rPr>
        <w:t>:</w:t>
      </w:r>
      <w:r w:rsidRPr="00166607">
        <w:rPr>
          <w:rFonts w:ascii="Times New Roman" w:eastAsia="Times New Roman" w:hAnsi="Times New Roman"/>
          <w:color w:val="000000"/>
          <w:sz w:val="20"/>
          <w:szCs w:val="20"/>
        </w:rPr>
        <w:t xml:space="preserve"> </w:t>
      </w:r>
      <w:r w:rsidR="00470501" w:rsidRPr="00166607">
        <w:rPr>
          <w:rFonts w:ascii="Times New Roman" w:eastAsia="Times New Roman" w:hAnsi="Times New Roman"/>
          <w:color w:val="000000"/>
          <w:sz w:val="20"/>
          <w:szCs w:val="20"/>
        </w:rPr>
        <w:t>We estimate annual foregone revenu</w:t>
      </w:r>
      <w:r w:rsidR="00DD624E" w:rsidRPr="00166607">
        <w:rPr>
          <w:rFonts w:ascii="Times New Roman" w:eastAsia="Times New Roman" w:hAnsi="Times New Roman"/>
          <w:color w:val="000000"/>
          <w:sz w:val="20"/>
          <w:szCs w:val="20"/>
        </w:rPr>
        <w:t xml:space="preserve">e from average </w:t>
      </w:r>
      <w:r w:rsidR="00AE3D26" w:rsidRPr="00166607">
        <w:rPr>
          <w:rFonts w:ascii="Times New Roman" w:eastAsia="Times New Roman" w:hAnsi="Times New Roman"/>
          <w:color w:val="000000"/>
          <w:sz w:val="20"/>
          <w:szCs w:val="20"/>
        </w:rPr>
        <w:t xml:space="preserve">annual </w:t>
      </w:r>
      <w:r w:rsidR="00DD624E" w:rsidRPr="00166607">
        <w:rPr>
          <w:rFonts w:ascii="Times New Roman" w:eastAsia="Times New Roman" w:hAnsi="Times New Roman"/>
          <w:color w:val="000000"/>
          <w:sz w:val="20"/>
          <w:szCs w:val="20"/>
        </w:rPr>
        <w:t>formal</w:t>
      </w:r>
      <w:r w:rsidR="00FB3A44" w:rsidRPr="00166607">
        <w:rPr>
          <w:rFonts w:ascii="Times New Roman" w:eastAsia="Times New Roman" w:hAnsi="Times New Roman"/>
          <w:color w:val="000000"/>
          <w:sz w:val="20"/>
          <w:szCs w:val="20"/>
        </w:rPr>
        <w:t xml:space="preserve"> </w:t>
      </w:r>
      <w:r w:rsidR="00DD624E" w:rsidRPr="00166607">
        <w:rPr>
          <w:rFonts w:ascii="Times New Roman" w:eastAsia="Times New Roman" w:hAnsi="Times New Roman"/>
          <w:color w:val="000000"/>
          <w:sz w:val="20"/>
          <w:szCs w:val="20"/>
        </w:rPr>
        <w:t xml:space="preserve">sector </w:t>
      </w:r>
      <w:r w:rsidR="00FB3A44" w:rsidRPr="00166607">
        <w:rPr>
          <w:rFonts w:ascii="Times New Roman" w:eastAsia="Times New Roman" w:hAnsi="Times New Roman"/>
          <w:color w:val="000000"/>
          <w:sz w:val="20"/>
          <w:szCs w:val="20"/>
        </w:rPr>
        <w:t xml:space="preserve">earnings of </w:t>
      </w:r>
      <w:r w:rsidR="00DD624E" w:rsidRPr="00166607">
        <w:rPr>
          <w:rFonts w:ascii="Times New Roman" w:eastAsia="Times New Roman" w:hAnsi="Times New Roman"/>
          <w:color w:val="000000"/>
          <w:sz w:val="20"/>
          <w:szCs w:val="20"/>
        </w:rPr>
        <w:t xml:space="preserve">scholarship losers in Panel A of Table 5, columns 3 and 5. </w:t>
      </w:r>
      <w:r w:rsidRPr="00166607">
        <w:rPr>
          <w:rFonts w:ascii="Times New Roman" w:eastAsia="Times New Roman" w:hAnsi="Times New Roman"/>
          <w:color w:val="000000"/>
          <w:sz w:val="20"/>
          <w:szCs w:val="20"/>
        </w:rPr>
        <w:t xml:space="preserve">We follow order of operations above to obtain NPV in USD of analysis year. </w:t>
      </w:r>
      <w:r w:rsidRPr="00166607">
        <w:rPr>
          <w:rFonts w:ascii="Times New Roman" w:eastAsia="Times New Roman" w:hAnsi="Times New Roman"/>
          <w:color w:val="000000"/>
          <w:sz w:val="20"/>
          <w:szCs w:val="20"/>
          <w:u w:val="single"/>
        </w:rPr>
        <w:t>Earnings:</w:t>
      </w:r>
      <w:r w:rsidRPr="00166607">
        <w:rPr>
          <w:rFonts w:ascii="Times New Roman" w:eastAsia="Times New Roman" w:hAnsi="Times New Roman"/>
          <w:color w:val="000000"/>
          <w:sz w:val="20"/>
          <w:szCs w:val="20"/>
        </w:rPr>
        <w:t xml:space="preserve"> Annual earnings are </w:t>
      </w:r>
      <w:r w:rsidR="00AE3D26" w:rsidRPr="00166607">
        <w:rPr>
          <w:rFonts w:ascii="Times New Roman" w:eastAsia="Times New Roman" w:hAnsi="Times New Roman"/>
          <w:color w:val="000000"/>
          <w:sz w:val="20"/>
          <w:szCs w:val="20"/>
        </w:rPr>
        <w:t xml:space="preserve">projected annual earnings from Panel A, </w:t>
      </w:r>
      <w:r w:rsidRPr="00166607">
        <w:rPr>
          <w:rFonts w:ascii="Times New Roman" w:eastAsia="Times New Roman" w:hAnsi="Times New Roman"/>
          <w:color w:val="000000"/>
          <w:sz w:val="20"/>
          <w:szCs w:val="20"/>
        </w:rPr>
        <w:t>Table 5</w:t>
      </w:r>
      <w:r w:rsidR="00AE3D26" w:rsidRPr="00166607">
        <w:rPr>
          <w:rFonts w:ascii="Times New Roman" w:eastAsia="Times New Roman" w:hAnsi="Times New Roman"/>
          <w:color w:val="000000"/>
          <w:sz w:val="20"/>
          <w:szCs w:val="20"/>
        </w:rPr>
        <w:t>.</w:t>
      </w:r>
      <w:r w:rsidRPr="00166607">
        <w:rPr>
          <w:rFonts w:ascii="Times New Roman" w:eastAsia="Times New Roman" w:hAnsi="Times New Roman"/>
          <w:color w:val="000000"/>
          <w:sz w:val="20"/>
          <w:szCs w:val="20"/>
        </w:rPr>
        <w:t xml:space="preserve">. We project earnings for losers and winners over a 35-year horizon allowing for a 3.02% annual growth in earnings per annum, which is the average annual growth in GDP per capita in Colombia between 2002 and 2012, obtained from the World Development Indicators database).  US-CPI for years after 2013 is that for 2013. We then follow remaining order of operation to obtain NPV of earnings for winners and losers. </w:t>
      </w:r>
      <w:r w:rsidRPr="00166607">
        <w:rPr>
          <w:rFonts w:ascii="Times New Roman" w:eastAsia="Times New Roman" w:hAnsi="Times New Roman"/>
          <w:color w:val="000000"/>
          <w:sz w:val="20"/>
          <w:szCs w:val="20"/>
          <w:u w:val="single"/>
        </w:rPr>
        <w:t>Payroll taxes:</w:t>
      </w:r>
      <w:r w:rsidRPr="00166607">
        <w:rPr>
          <w:rFonts w:ascii="Times New Roman" w:eastAsia="Times New Roman" w:hAnsi="Times New Roman"/>
          <w:color w:val="000000"/>
          <w:sz w:val="20"/>
          <w:szCs w:val="20"/>
        </w:rPr>
        <w:t xml:space="preserve"> Annual payroll taxes are </w:t>
      </w:r>
      <w:r w:rsidR="00AE3D26" w:rsidRPr="00166607">
        <w:rPr>
          <w:rFonts w:ascii="Times New Roman" w:eastAsia="Times New Roman" w:hAnsi="Times New Roman"/>
          <w:color w:val="000000"/>
          <w:sz w:val="20"/>
          <w:szCs w:val="20"/>
        </w:rPr>
        <w:t xml:space="preserve">from Panel A, </w:t>
      </w:r>
      <w:r w:rsidRPr="00166607">
        <w:rPr>
          <w:rFonts w:ascii="Times New Roman" w:eastAsia="Times New Roman" w:hAnsi="Times New Roman"/>
          <w:color w:val="000000"/>
          <w:sz w:val="20"/>
          <w:szCs w:val="20"/>
        </w:rPr>
        <w:t xml:space="preserve">Table </w:t>
      </w:r>
      <w:r w:rsidR="00AE3D26" w:rsidRPr="00166607">
        <w:rPr>
          <w:rFonts w:ascii="Times New Roman" w:eastAsia="Times New Roman" w:hAnsi="Times New Roman"/>
          <w:color w:val="000000"/>
          <w:sz w:val="20"/>
          <w:szCs w:val="20"/>
        </w:rPr>
        <w:t>5</w:t>
      </w:r>
      <w:r w:rsidRPr="00166607">
        <w:rPr>
          <w:rFonts w:ascii="Times New Roman" w:eastAsia="Times New Roman" w:hAnsi="Times New Roman"/>
          <w:color w:val="000000"/>
          <w:sz w:val="20"/>
          <w:szCs w:val="20"/>
        </w:rPr>
        <w:t>. We follow the same procedure as for earnings to obtain the NPV of payroll taxes in analysis year.</w:t>
      </w:r>
      <w:r w:rsidR="00FF7965" w:rsidRPr="00166607">
        <w:rPr>
          <w:rFonts w:ascii="Times New Roman" w:eastAsia="Times New Roman" w:hAnsi="Times New Roman"/>
          <w:color w:val="000000"/>
          <w:sz w:val="20"/>
          <w:szCs w:val="20"/>
        </w:rPr>
        <w:t xml:space="preserve">  </w:t>
      </w:r>
      <w:r w:rsidR="00FF7965" w:rsidRPr="00166607">
        <w:rPr>
          <w:rFonts w:ascii="Times New Roman" w:eastAsia="Times New Roman" w:hAnsi="Times New Roman"/>
          <w:color w:val="000000"/>
          <w:sz w:val="20"/>
          <w:szCs w:val="20"/>
          <w:u w:val="single"/>
        </w:rPr>
        <w:t>Benefits to recipients:</w:t>
      </w:r>
      <w:r w:rsidR="00FF7965" w:rsidRPr="00166607">
        <w:rPr>
          <w:rFonts w:ascii="Times New Roman" w:eastAsia="Times New Roman" w:hAnsi="Times New Roman"/>
          <w:color w:val="000000"/>
          <w:sz w:val="20"/>
          <w:szCs w:val="20"/>
        </w:rPr>
        <w:t xml:space="preserve"> The fraction of infra-marginal </w:t>
      </w:r>
      <w:r w:rsidR="00FF7965" w:rsidRPr="00166607">
        <w:rPr>
          <w:rFonts w:ascii="Times New Roman" w:eastAsia="Times New Roman" w:hAnsi="Times New Roman"/>
          <w:color w:val="000000"/>
          <w:sz w:val="20"/>
          <w:szCs w:val="20"/>
        </w:rPr>
        <w:lastRenderedPageBreak/>
        <w:t xml:space="preserve">recipients is the fraction of lottery losers who </w:t>
      </w:r>
      <w:r w:rsidR="00FF7965" w:rsidRPr="00166607">
        <w:rPr>
          <w:rFonts w:ascii="Times New Roman" w:hAnsi="Times New Roman"/>
          <w:sz w:val="20"/>
          <w:szCs w:val="20"/>
        </w:rPr>
        <w:t>attend private school in 6</w:t>
      </w:r>
      <w:r w:rsidR="00FF7965" w:rsidRPr="00166607">
        <w:rPr>
          <w:rFonts w:ascii="Times New Roman" w:hAnsi="Times New Roman"/>
          <w:sz w:val="20"/>
          <w:szCs w:val="20"/>
          <w:vertAlign w:val="superscript"/>
        </w:rPr>
        <w:t>th</w:t>
      </w:r>
      <w:r w:rsidR="00FF7965" w:rsidRPr="00166607">
        <w:rPr>
          <w:rFonts w:ascii="Times New Roman" w:hAnsi="Times New Roman"/>
          <w:sz w:val="20"/>
          <w:szCs w:val="20"/>
        </w:rPr>
        <w:t xml:space="preserve"> grade, 0.897 among females and 0.857 among males. The impact on scholarship amount is $93.2 (from Angrist et al. 2002 Table 8, column 3 updated to 2013 dollars).  For utilization rates see notes above for </w:t>
      </w:r>
      <w:r w:rsidR="007B158F" w:rsidRPr="00166607">
        <w:rPr>
          <w:rFonts w:ascii="Times New Roman" w:eastAsia="Times New Roman" w:hAnsi="Times New Roman"/>
          <w:color w:val="000000"/>
          <w:sz w:val="20"/>
          <w:szCs w:val="20"/>
        </w:rPr>
        <w:t>e</w:t>
      </w:r>
      <w:r w:rsidR="00FF7965" w:rsidRPr="00166607">
        <w:rPr>
          <w:rFonts w:ascii="Times New Roman" w:eastAsia="Times New Roman" w:hAnsi="Times New Roman"/>
          <w:color w:val="000000"/>
          <w:sz w:val="20"/>
          <w:szCs w:val="20"/>
        </w:rPr>
        <w:t xml:space="preserve">xpenditure from scholarship costs for students who would have enrolled in private school, aggregated over 6 years. </w:t>
      </w:r>
      <w:r w:rsidR="005114B2" w:rsidRPr="00166607">
        <w:rPr>
          <w:rFonts w:ascii="Times New Roman" w:eastAsia="Times New Roman" w:hAnsi="Times New Roman"/>
          <w:color w:val="000000"/>
          <w:sz w:val="20"/>
          <w:szCs w:val="20"/>
        </w:rPr>
        <w:t xml:space="preserve"> We obtain confidence interval for each calculation using the bootstrap. </w:t>
      </w:r>
    </w:p>
    <w:p w14:paraId="2F3659EC" w14:textId="77777777" w:rsidR="00C014B9" w:rsidRPr="00166607" w:rsidRDefault="00C014B9" w:rsidP="000B1B5E">
      <w:pPr>
        <w:rPr>
          <w:rFonts w:ascii="Times New Roman" w:hAnsi="Times New Roman"/>
        </w:rPr>
      </w:pPr>
    </w:p>
    <w:p w14:paraId="53246EE7" w14:textId="77777777" w:rsidR="00C014B9" w:rsidRPr="00166607" w:rsidRDefault="00C014B9" w:rsidP="000B1B5E">
      <w:pPr>
        <w:rPr>
          <w:rFonts w:ascii="Times New Roman" w:hAnsi="Times New Roman"/>
        </w:rPr>
      </w:pPr>
    </w:p>
    <w:p w14:paraId="37BF684A" w14:textId="77777777" w:rsidR="00C014B9" w:rsidRPr="00166607" w:rsidRDefault="00C014B9" w:rsidP="000B1B5E">
      <w:pPr>
        <w:rPr>
          <w:rFonts w:ascii="Times New Roman" w:hAnsi="Times New Roman"/>
        </w:rPr>
      </w:pPr>
    </w:p>
    <w:p w14:paraId="4510A697" w14:textId="77777777" w:rsidR="00C014B9" w:rsidRPr="00166607" w:rsidRDefault="00C014B9" w:rsidP="000B1B5E">
      <w:pPr>
        <w:rPr>
          <w:rFonts w:ascii="Times New Roman" w:hAnsi="Times New Roman"/>
        </w:rPr>
      </w:pPr>
    </w:p>
    <w:p w14:paraId="2AD3C22D" w14:textId="77777777" w:rsidR="00C014B9" w:rsidRPr="00166607" w:rsidRDefault="00C014B9" w:rsidP="000B1B5E">
      <w:pPr>
        <w:rPr>
          <w:rFonts w:ascii="Times New Roman" w:hAnsi="Times New Roman"/>
        </w:rPr>
      </w:pPr>
    </w:p>
    <w:p w14:paraId="18CD1197" w14:textId="77777777" w:rsidR="00C014B9" w:rsidRPr="00166607" w:rsidRDefault="00C014B9" w:rsidP="000B1B5E">
      <w:pPr>
        <w:rPr>
          <w:rFonts w:ascii="Times New Roman" w:hAnsi="Times New Roman"/>
        </w:rPr>
      </w:pPr>
    </w:p>
    <w:p w14:paraId="0E288E26" w14:textId="77777777" w:rsidR="00C014B9" w:rsidRPr="00166607" w:rsidRDefault="00C014B9" w:rsidP="000B1B5E">
      <w:pPr>
        <w:rPr>
          <w:rFonts w:ascii="Times New Roman" w:hAnsi="Times New Roman"/>
        </w:rPr>
      </w:pPr>
    </w:p>
    <w:p w14:paraId="44E1F570" w14:textId="77777777" w:rsidR="00C014B9" w:rsidRPr="00166607" w:rsidRDefault="00C014B9" w:rsidP="000B1B5E">
      <w:pPr>
        <w:rPr>
          <w:rFonts w:ascii="Times New Roman" w:hAnsi="Times New Roman"/>
        </w:rPr>
      </w:pPr>
    </w:p>
    <w:p w14:paraId="2B9194EB" w14:textId="77777777" w:rsidR="00C014B9" w:rsidRPr="00166607" w:rsidRDefault="00C014B9" w:rsidP="000B1B5E">
      <w:pPr>
        <w:rPr>
          <w:rFonts w:ascii="Times New Roman" w:hAnsi="Times New Roman"/>
        </w:rPr>
      </w:pPr>
    </w:p>
    <w:p w14:paraId="0B0ABCF0" w14:textId="77777777" w:rsidR="00C014B9" w:rsidRPr="00166607" w:rsidRDefault="00C014B9" w:rsidP="000B1B5E">
      <w:pPr>
        <w:rPr>
          <w:rFonts w:ascii="Times New Roman" w:hAnsi="Times New Roman"/>
        </w:rPr>
      </w:pPr>
    </w:p>
    <w:p w14:paraId="35FEF431" w14:textId="77777777" w:rsidR="00C014B9" w:rsidRPr="00166607" w:rsidRDefault="00C014B9" w:rsidP="000B1B5E">
      <w:pPr>
        <w:rPr>
          <w:rFonts w:ascii="Times New Roman" w:hAnsi="Times New Roman"/>
        </w:rPr>
      </w:pPr>
    </w:p>
    <w:p w14:paraId="10EACDB3" w14:textId="77777777" w:rsidR="00C014B9" w:rsidRPr="00166607" w:rsidRDefault="00C014B9" w:rsidP="000B1B5E">
      <w:pPr>
        <w:rPr>
          <w:rFonts w:ascii="Times New Roman" w:hAnsi="Times New Roman"/>
        </w:rPr>
      </w:pPr>
    </w:p>
    <w:p w14:paraId="1AE213F6" w14:textId="77777777" w:rsidR="00C014B9" w:rsidRPr="00166607" w:rsidRDefault="00C014B9" w:rsidP="000B1B5E">
      <w:pPr>
        <w:rPr>
          <w:rFonts w:ascii="Times New Roman" w:hAnsi="Times New Roman"/>
        </w:rPr>
      </w:pPr>
    </w:p>
    <w:p w14:paraId="6E24863A" w14:textId="77777777" w:rsidR="00C014B9" w:rsidRPr="00166607" w:rsidRDefault="00C014B9" w:rsidP="000B1B5E">
      <w:pPr>
        <w:rPr>
          <w:rFonts w:ascii="Times New Roman" w:hAnsi="Times New Roman"/>
        </w:rPr>
      </w:pPr>
    </w:p>
    <w:p w14:paraId="0A3E5250" w14:textId="77777777" w:rsidR="00C014B9" w:rsidRPr="00166607" w:rsidRDefault="00C014B9" w:rsidP="000B1B5E">
      <w:pPr>
        <w:rPr>
          <w:rFonts w:ascii="Times New Roman" w:hAnsi="Times New Roman"/>
        </w:rPr>
      </w:pPr>
    </w:p>
    <w:p w14:paraId="13E888A1" w14:textId="77777777" w:rsidR="00C014B9" w:rsidRPr="00166607" w:rsidRDefault="00C014B9" w:rsidP="000B1B5E">
      <w:pPr>
        <w:rPr>
          <w:rFonts w:ascii="Times New Roman" w:hAnsi="Times New Roman"/>
        </w:rPr>
      </w:pPr>
    </w:p>
    <w:p w14:paraId="5ACE397D" w14:textId="77777777" w:rsidR="00C014B9" w:rsidRPr="00166607" w:rsidRDefault="00C014B9" w:rsidP="000B1B5E">
      <w:pPr>
        <w:rPr>
          <w:rFonts w:ascii="Times New Roman" w:hAnsi="Times New Roman"/>
        </w:rPr>
      </w:pPr>
    </w:p>
    <w:p w14:paraId="348068AC" w14:textId="77777777" w:rsidR="00C014B9" w:rsidRPr="00166607" w:rsidRDefault="00C014B9" w:rsidP="000B1B5E">
      <w:pPr>
        <w:rPr>
          <w:rFonts w:ascii="Times New Roman" w:hAnsi="Times New Roman"/>
        </w:rPr>
      </w:pPr>
    </w:p>
    <w:p w14:paraId="3D3C566B" w14:textId="77777777" w:rsidR="00C014B9" w:rsidRPr="00166607" w:rsidRDefault="00C014B9" w:rsidP="000B1B5E">
      <w:pPr>
        <w:rPr>
          <w:rFonts w:ascii="Times New Roman" w:hAnsi="Times New Roman"/>
        </w:rPr>
      </w:pPr>
    </w:p>
    <w:p w14:paraId="4ECC08BC" w14:textId="77777777" w:rsidR="00C014B9" w:rsidRPr="00166607" w:rsidRDefault="00C014B9" w:rsidP="000B1B5E">
      <w:pPr>
        <w:rPr>
          <w:rFonts w:ascii="Times New Roman" w:hAnsi="Times New Roman"/>
        </w:rPr>
      </w:pPr>
    </w:p>
    <w:p w14:paraId="0477E12D" w14:textId="77777777" w:rsidR="00C014B9" w:rsidRPr="00166607" w:rsidRDefault="00C014B9" w:rsidP="000B1B5E">
      <w:pPr>
        <w:rPr>
          <w:rFonts w:ascii="Times New Roman" w:hAnsi="Times New Roman"/>
        </w:rPr>
      </w:pPr>
    </w:p>
    <w:p w14:paraId="06063CC4" w14:textId="77777777" w:rsidR="00C014B9" w:rsidRPr="00166607" w:rsidRDefault="00C014B9" w:rsidP="000B1B5E">
      <w:pPr>
        <w:rPr>
          <w:rFonts w:ascii="Times New Roman" w:hAnsi="Times New Roman"/>
        </w:rPr>
      </w:pPr>
    </w:p>
    <w:p w14:paraId="3855CE45" w14:textId="77777777" w:rsidR="00C014B9" w:rsidRPr="00166607" w:rsidRDefault="00C014B9" w:rsidP="000B1B5E">
      <w:pPr>
        <w:rPr>
          <w:rFonts w:ascii="Times New Roman" w:hAnsi="Times New Roman"/>
        </w:rPr>
      </w:pPr>
    </w:p>
    <w:p w14:paraId="4ED70734" w14:textId="77777777" w:rsidR="00C014B9" w:rsidRPr="00166607" w:rsidRDefault="00C014B9" w:rsidP="000B1B5E">
      <w:pPr>
        <w:rPr>
          <w:rFonts w:ascii="Times New Roman" w:hAnsi="Times New Roman"/>
        </w:rPr>
      </w:pPr>
    </w:p>
    <w:p w14:paraId="2A3C4370" w14:textId="77777777" w:rsidR="00C014B9" w:rsidRPr="00166607" w:rsidRDefault="00C014B9" w:rsidP="000B1B5E">
      <w:pPr>
        <w:rPr>
          <w:rFonts w:ascii="Times New Roman" w:hAnsi="Times New Roman"/>
        </w:rPr>
      </w:pPr>
    </w:p>
    <w:p w14:paraId="64F3E897" w14:textId="77777777" w:rsidR="00C014B9" w:rsidRPr="00166607" w:rsidRDefault="00C014B9" w:rsidP="000B1B5E">
      <w:pPr>
        <w:rPr>
          <w:rFonts w:ascii="Times New Roman" w:hAnsi="Times New Roman"/>
        </w:rPr>
      </w:pPr>
    </w:p>
    <w:p w14:paraId="7EA97DB5" w14:textId="77777777" w:rsidR="00DA4141" w:rsidRPr="00166607" w:rsidRDefault="00DA4141" w:rsidP="000B1B5E">
      <w:pPr>
        <w:rPr>
          <w:rFonts w:ascii="Times New Roman" w:hAnsi="Times New Roman"/>
        </w:rPr>
      </w:pPr>
    </w:p>
    <w:p w14:paraId="5E8777CF" w14:textId="77777777" w:rsidR="004B45CA" w:rsidRPr="00166607" w:rsidRDefault="004B45CA" w:rsidP="000B1B5E">
      <w:pPr>
        <w:rPr>
          <w:rFonts w:ascii="Times New Roman" w:hAnsi="Times New Roman"/>
        </w:rPr>
      </w:pPr>
    </w:p>
    <w:p w14:paraId="0E0C2AAD" w14:textId="77777777" w:rsidR="004B45CA" w:rsidRPr="00166607" w:rsidRDefault="004B45CA" w:rsidP="000B1B5E">
      <w:pPr>
        <w:rPr>
          <w:rFonts w:ascii="Times New Roman" w:hAnsi="Times New Roman"/>
        </w:rPr>
      </w:pPr>
    </w:p>
    <w:p w14:paraId="62583332" w14:textId="77777777" w:rsidR="004B45CA" w:rsidRPr="00166607" w:rsidRDefault="004B45CA" w:rsidP="000B1B5E">
      <w:pPr>
        <w:rPr>
          <w:rFonts w:ascii="Times New Roman" w:hAnsi="Times New Roman"/>
        </w:rPr>
      </w:pPr>
    </w:p>
    <w:p w14:paraId="2F0E26EC" w14:textId="46E6C4BA" w:rsidR="00484342" w:rsidRPr="00166607" w:rsidRDefault="00484342" w:rsidP="000B1B5E">
      <w:pPr>
        <w:rPr>
          <w:rFonts w:ascii="Times New Roman" w:eastAsia="Times New Roman" w:hAnsi="Times New Roman"/>
          <w:color w:val="000000"/>
          <w:sz w:val="20"/>
          <w:szCs w:val="20"/>
        </w:rPr>
      </w:pPr>
      <w:r w:rsidRPr="00166607">
        <w:rPr>
          <w:rFonts w:ascii="Times New Roman" w:hAnsi="Times New Roman"/>
        </w:rPr>
        <w:lastRenderedPageBreak/>
        <w:t xml:space="preserve">Appendix A.  Scholarship impacts on </w:t>
      </w:r>
      <w:r w:rsidR="006E5DB2" w:rsidRPr="00166607">
        <w:rPr>
          <w:rFonts w:ascii="Times New Roman" w:hAnsi="Times New Roman"/>
        </w:rPr>
        <w:t xml:space="preserve">long </w:t>
      </w:r>
      <w:r w:rsidR="0093758B" w:rsidRPr="00166607">
        <w:rPr>
          <w:rFonts w:ascii="Times New Roman" w:hAnsi="Times New Roman"/>
        </w:rPr>
        <w:t>run</w:t>
      </w:r>
      <w:r w:rsidR="006E5DB2" w:rsidRPr="00166607">
        <w:rPr>
          <w:rFonts w:ascii="Times New Roman" w:hAnsi="Times New Roman"/>
        </w:rPr>
        <w:t xml:space="preserve"> </w:t>
      </w:r>
      <w:r w:rsidR="008C674F" w:rsidRPr="00166607">
        <w:rPr>
          <w:rFonts w:ascii="Times New Roman" w:hAnsi="Times New Roman"/>
        </w:rPr>
        <w:t xml:space="preserve">tertiary </w:t>
      </w:r>
      <w:r w:rsidRPr="00166607">
        <w:rPr>
          <w:rFonts w:ascii="Times New Roman" w:hAnsi="Times New Roman"/>
        </w:rPr>
        <w:t>education outcomes by gender</w:t>
      </w:r>
    </w:p>
    <w:p w14:paraId="1AB136B8" w14:textId="77777777" w:rsidR="00484342" w:rsidRPr="00166607" w:rsidRDefault="00484342" w:rsidP="000B1B5E">
      <w:pPr>
        <w:rPr>
          <w:rFonts w:ascii="Times New Roman" w:eastAsia="Times New Roman" w:hAnsi="Times New Roman"/>
          <w:color w:val="000000"/>
          <w:sz w:val="20"/>
          <w:szCs w:val="20"/>
        </w:rPr>
      </w:pPr>
    </w:p>
    <w:p w14:paraId="2C5F3858" w14:textId="77777777" w:rsidR="00484342" w:rsidRPr="00166607" w:rsidRDefault="00484342" w:rsidP="000B1B5E">
      <w:pPr>
        <w:rPr>
          <w:rFonts w:ascii="Times New Roman" w:eastAsia="Times New Roman" w:hAnsi="Times New Roman"/>
          <w:color w:val="000000"/>
          <w:sz w:val="20"/>
          <w:szCs w:val="20"/>
        </w:rPr>
      </w:pPr>
    </w:p>
    <w:tbl>
      <w:tblPr>
        <w:tblW w:w="12215" w:type="dxa"/>
        <w:tblInd w:w="93" w:type="dxa"/>
        <w:tblLayout w:type="fixed"/>
        <w:tblLook w:val="04A0" w:firstRow="1" w:lastRow="0" w:firstColumn="1" w:lastColumn="0" w:noHBand="0" w:noVBand="1"/>
      </w:tblPr>
      <w:tblGrid>
        <w:gridCol w:w="3975"/>
        <w:gridCol w:w="1170"/>
        <w:gridCol w:w="1400"/>
        <w:gridCol w:w="320"/>
        <w:gridCol w:w="1160"/>
        <w:gridCol w:w="1400"/>
        <w:gridCol w:w="320"/>
        <w:gridCol w:w="1070"/>
        <w:gridCol w:w="1400"/>
      </w:tblGrid>
      <w:tr w:rsidR="008C674F" w:rsidRPr="00166607" w14:paraId="6C9974E5" w14:textId="77777777" w:rsidTr="008C674F">
        <w:trPr>
          <w:trHeight w:val="320"/>
        </w:trPr>
        <w:tc>
          <w:tcPr>
            <w:tcW w:w="3975" w:type="dxa"/>
            <w:tcBorders>
              <w:top w:val="double" w:sz="6" w:space="0" w:color="auto"/>
              <w:left w:val="nil"/>
              <w:bottom w:val="nil"/>
              <w:right w:val="nil"/>
            </w:tcBorders>
            <w:shd w:val="clear" w:color="000000" w:fill="FFFFFF"/>
            <w:vAlign w:val="center"/>
            <w:hideMark/>
          </w:tcPr>
          <w:p w14:paraId="0B881548"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2570" w:type="dxa"/>
            <w:gridSpan w:val="2"/>
            <w:tcBorders>
              <w:top w:val="double" w:sz="6" w:space="0" w:color="auto"/>
              <w:left w:val="nil"/>
              <w:bottom w:val="single" w:sz="8" w:space="0" w:color="auto"/>
              <w:right w:val="nil"/>
            </w:tcBorders>
            <w:shd w:val="clear" w:color="000000" w:fill="FFFFFF"/>
            <w:noWrap/>
            <w:vAlign w:val="center"/>
            <w:hideMark/>
          </w:tcPr>
          <w:p w14:paraId="7EA5223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All Applicants</w:t>
            </w:r>
          </w:p>
        </w:tc>
        <w:tc>
          <w:tcPr>
            <w:tcW w:w="320" w:type="dxa"/>
            <w:tcBorders>
              <w:top w:val="double" w:sz="6" w:space="0" w:color="auto"/>
              <w:left w:val="nil"/>
              <w:bottom w:val="nil"/>
              <w:right w:val="nil"/>
            </w:tcBorders>
            <w:shd w:val="clear" w:color="000000" w:fill="FFFFFF"/>
            <w:noWrap/>
            <w:vAlign w:val="center"/>
            <w:hideMark/>
          </w:tcPr>
          <w:p w14:paraId="201EF85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2560" w:type="dxa"/>
            <w:gridSpan w:val="2"/>
            <w:tcBorders>
              <w:top w:val="double" w:sz="6" w:space="0" w:color="auto"/>
              <w:left w:val="nil"/>
              <w:bottom w:val="single" w:sz="8" w:space="0" w:color="auto"/>
              <w:right w:val="nil"/>
            </w:tcBorders>
            <w:shd w:val="clear" w:color="000000" w:fill="FFFFFF"/>
            <w:noWrap/>
            <w:vAlign w:val="center"/>
            <w:hideMark/>
          </w:tcPr>
          <w:p w14:paraId="5F290EF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Academic School Applicants</w:t>
            </w:r>
          </w:p>
        </w:tc>
        <w:tc>
          <w:tcPr>
            <w:tcW w:w="320" w:type="dxa"/>
            <w:tcBorders>
              <w:top w:val="double" w:sz="6" w:space="0" w:color="auto"/>
              <w:left w:val="nil"/>
              <w:bottom w:val="nil"/>
              <w:right w:val="nil"/>
            </w:tcBorders>
            <w:shd w:val="clear" w:color="000000" w:fill="FFFFFF"/>
            <w:noWrap/>
            <w:vAlign w:val="center"/>
            <w:hideMark/>
          </w:tcPr>
          <w:p w14:paraId="45302E3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2470" w:type="dxa"/>
            <w:gridSpan w:val="2"/>
            <w:tcBorders>
              <w:top w:val="double" w:sz="6" w:space="0" w:color="auto"/>
              <w:left w:val="nil"/>
              <w:bottom w:val="single" w:sz="8" w:space="0" w:color="auto"/>
              <w:right w:val="nil"/>
            </w:tcBorders>
            <w:shd w:val="clear" w:color="000000" w:fill="FFFFFF"/>
            <w:noWrap/>
            <w:vAlign w:val="center"/>
            <w:hideMark/>
          </w:tcPr>
          <w:p w14:paraId="646AB47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Vocational School Applicants</w:t>
            </w:r>
          </w:p>
        </w:tc>
      </w:tr>
      <w:tr w:rsidR="008C674F" w:rsidRPr="00166607" w14:paraId="3091250E" w14:textId="77777777" w:rsidTr="008C674F">
        <w:trPr>
          <w:trHeight w:val="480"/>
        </w:trPr>
        <w:tc>
          <w:tcPr>
            <w:tcW w:w="3975" w:type="dxa"/>
            <w:tcBorders>
              <w:top w:val="nil"/>
              <w:left w:val="nil"/>
              <w:bottom w:val="nil"/>
              <w:right w:val="nil"/>
            </w:tcBorders>
            <w:shd w:val="clear" w:color="000000" w:fill="FFFFFF"/>
            <w:vAlign w:val="center"/>
            <w:hideMark/>
          </w:tcPr>
          <w:p w14:paraId="56265C37" w14:textId="77777777" w:rsidR="00484342" w:rsidRPr="00166607" w:rsidRDefault="00484342" w:rsidP="00484342">
            <w:pPr>
              <w:jc w:val="center"/>
              <w:rPr>
                <w:rFonts w:ascii="Times New Roman" w:eastAsia="Times New Roman" w:hAnsi="Times New Roman"/>
                <w:b/>
                <w:bCs/>
                <w:color w:val="000000"/>
                <w:sz w:val="20"/>
                <w:szCs w:val="20"/>
              </w:rPr>
            </w:pPr>
            <w:r w:rsidRPr="00166607">
              <w:rPr>
                <w:rFonts w:ascii="Times New Roman" w:eastAsia="Times New Roman" w:hAnsi="Times New Roman"/>
                <w:b/>
                <w:bCs/>
                <w:color w:val="000000"/>
                <w:sz w:val="20"/>
                <w:szCs w:val="20"/>
              </w:rPr>
              <w:t>Outcome</w:t>
            </w:r>
          </w:p>
        </w:tc>
        <w:tc>
          <w:tcPr>
            <w:tcW w:w="1170" w:type="dxa"/>
            <w:tcBorders>
              <w:top w:val="nil"/>
              <w:left w:val="nil"/>
              <w:bottom w:val="nil"/>
              <w:right w:val="nil"/>
            </w:tcBorders>
            <w:shd w:val="clear" w:color="000000" w:fill="FFFFFF"/>
            <w:vAlign w:val="center"/>
            <w:hideMark/>
          </w:tcPr>
          <w:p w14:paraId="18ACA0E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Loser's Mean</w:t>
            </w:r>
          </w:p>
        </w:tc>
        <w:tc>
          <w:tcPr>
            <w:tcW w:w="1400" w:type="dxa"/>
            <w:tcBorders>
              <w:top w:val="nil"/>
              <w:left w:val="nil"/>
              <w:bottom w:val="nil"/>
              <w:right w:val="nil"/>
            </w:tcBorders>
            <w:shd w:val="clear" w:color="000000" w:fill="FFFFFF"/>
            <w:vAlign w:val="center"/>
            <w:hideMark/>
          </w:tcPr>
          <w:p w14:paraId="31A52EC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Won a Scholarship</w:t>
            </w:r>
          </w:p>
        </w:tc>
        <w:tc>
          <w:tcPr>
            <w:tcW w:w="320" w:type="dxa"/>
            <w:tcBorders>
              <w:top w:val="nil"/>
              <w:left w:val="nil"/>
              <w:bottom w:val="nil"/>
              <w:right w:val="nil"/>
            </w:tcBorders>
            <w:shd w:val="clear" w:color="auto" w:fill="auto"/>
            <w:noWrap/>
            <w:vAlign w:val="center"/>
            <w:hideMark/>
          </w:tcPr>
          <w:p w14:paraId="29009456" w14:textId="77777777" w:rsidR="00484342" w:rsidRPr="00166607" w:rsidRDefault="00484342" w:rsidP="00484342">
            <w:pPr>
              <w:rPr>
                <w:rFonts w:eastAsia="Times New Roman"/>
                <w:color w:val="000000"/>
                <w:sz w:val="22"/>
                <w:szCs w:val="22"/>
              </w:rPr>
            </w:pPr>
          </w:p>
        </w:tc>
        <w:tc>
          <w:tcPr>
            <w:tcW w:w="1160" w:type="dxa"/>
            <w:tcBorders>
              <w:top w:val="nil"/>
              <w:left w:val="nil"/>
              <w:bottom w:val="nil"/>
              <w:right w:val="nil"/>
            </w:tcBorders>
            <w:shd w:val="clear" w:color="000000" w:fill="FFFFFF"/>
            <w:vAlign w:val="center"/>
            <w:hideMark/>
          </w:tcPr>
          <w:p w14:paraId="16476D6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Loser's Mean</w:t>
            </w:r>
          </w:p>
        </w:tc>
        <w:tc>
          <w:tcPr>
            <w:tcW w:w="1400" w:type="dxa"/>
            <w:tcBorders>
              <w:top w:val="nil"/>
              <w:left w:val="nil"/>
              <w:bottom w:val="nil"/>
              <w:right w:val="nil"/>
            </w:tcBorders>
            <w:shd w:val="clear" w:color="000000" w:fill="FFFFFF"/>
            <w:vAlign w:val="center"/>
            <w:hideMark/>
          </w:tcPr>
          <w:p w14:paraId="4D3BD65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Won a Scholarship</w:t>
            </w:r>
          </w:p>
        </w:tc>
        <w:tc>
          <w:tcPr>
            <w:tcW w:w="320" w:type="dxa"/>
            <w:tcBorders>
              <w:top w:val="nil"/>
              <w:left w:val="nil"/>
              <w:bottom w:val="nil"/>
              <w:right w:val="nil"/>
            </w:tcBorders>
            <w:shd w:val="clear" w:color="000000" w:fill="FFFFFF"/>
            <w:vAlign w:val="center"/>
            <w:hideMark/>
          </w:tcPr>
          <w:p w14:paraId="0B999E1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vAlign w:val="center"/>
            <w:hideMark/>
          </w:tcPr>
          <w:p w14:paraId="1F53C3A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Loser's Mean</w:t>
            </w:r>
          </w:p>
        </w:tc>
        <w:tc>
          <w:tcPr>
            <w:tcW w:w="1400" w:type="dxa"/>
            <w:tcBorders>
              <w:top w:val="nil"/>
              <w:left w:val="nil"/>
              <w:bottom w:val="nil"/>
              <w:right w:val="nil"/>
            </w:tcBorders>
            <w:shd w:val="clear" w:color="000000" w:fill="FFFFFF"/>
            <w:vAlign w:val="center"/>
            <w:hideMark/>
          </w:tcPr>
          <w:p w14:paraId="6B86E1C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Won a Scholarship</w:t>
            </w:r>
          </w:p>
        </w:tc>
      </w:tr>
      <w:tr w:rsidR="008C674F" w:rsidRPr="00166607" w14:paraId="44C177BC" w14:textId="77777777" w:rsidTr="008C674F">
        <w:trPr>
          <w:trHeight w:val="300"/>
        </w:trPr>
        <w:tc>
          <w:tcPr>
            <w:tcW w:w="3975" w:type="dxa"/>
            <w:tcBorders>
              <w:top w:val="nil"/>
              <w:left w:val="nil"/>
              <w:bottom w:val="nil"/>
              <w:right w:val="nil"/>
            </w:tcBorders>
            <w:shd w:val="clear" w:color="000000" w:fill="FFFFFF"/>
            <w:vAlign w:val="center"/>
            <w:hideMark/>
          </w:tcPr>
          <w:p w14:paraId="4B474AC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090B783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w:t>
            </w:r>
          </w:p>
        </w:tc>
        <w:tc>
          <w:tcPr>
            <w:tcW w:w="1400" w:type="dxa"/>
            <w:tcBorders>
              <w:top w:val="nil"/>
              <w:left w:val="nil"/>
              <w:bottom w:val="nil"/>
              <w:right w:val="nil"/>
            </w:tcBorders>
            <w:shd w:val="clear" w:color="000000" w:fill="FFFFFF"/>
            <w:noWrap/>
            <w:vAlign w:val="center"/>
            <w:hideMark/>
          </w:tcPr>
          <w:p w14:paraId="180FFFB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(2)</w:t>
            </w:r>
          </w:p>
        </w:tc>
        <w:tc>
          <w:tcPr>
            <w:tcW w:w="320" w:type="dxa"/>
            <w:tcBorders>
              <w:top w:val="nil"/>
              <w:left w:val="nil"/>
              <w:bottom w:val="nil"/>
              <w:right w:val="nil"/>
            </w:tcBorders>
            <w:shd w:val="clear" w:color="000000" w:fill="FFFFFF"/>
            <w:noWrap/>
            <w:vAlign w:val="center"/>
            <w:hideMark/>
          </w:tcPr>
          <w:p w14:paraId="38D1131A"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47D6923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(3)</w:t>
            </w:r>
          </w:p>
        </w:tc>
        <w:tc>
          <w:tcPr>
            <w:tcW w:w="1400" w:type="dxa"/>
            <w:tcBorders>
              <w:top w:val="nil"/>
              <w:left w:val="nil"/>
              <w:bottom w:val="nil"/>
              <w:right w:val="nil"/>
            </w:tcBorders>
            <w:shd w:val="clear" w:color="000000" w:fill="FFFFFF"/>
            <w:noWrap/>
            <w:vAlign w:val="center"/>
            <w:hideMark/>
          </w:tcPr>
          <w:p w14:paraId="0DB3B2D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(4)</w:t>
            </w:r>
          </w:p>
        </w:tc>
        <w:tc>
          <w:tcPr>
            <w:tcW w:w="320" w:type="dxa"/>
            <w:tcBorders>
              <w:top w:val="nil"/>
              <w:left w:val="nil"/>
              <w:bottom w:val="nil"/>
              <w:right w:val="nil"/>
            </w:tcBorders>
            <w:shd w:val="clear" w:color="000000" w:fill="FFFFFF"/>
            <w:noWrap/>
            <w:vAlign w:val="center"/>
            <w:hideMark/>
          </w:tcPr>
          <w:p w14:paraId="41E1267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758E8CA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(5)</w:t>
            </w:r>
          </w:p>
        </w:tc>
        <w:tc>
          <w:tcPr>
            <w:tcW w:w="1400" w:type="dxa"/>
            <w:tcBorders>
              <w:top w:val="nil"/>
              <w:left w:val="nil"/>
              <w:bottom w:val="nil"/>
              <w:right w:val="nil"/>
            </w:tcBorders>
            <w:shd w:val="clear" w:color="000000" w:fill="FFFFFF"/>
            <w:noWrap/>
            <w:vAlign w:val="center"/>
            <w:hideMark/>
          </w:tcPr>
          <w:p w14:paraId="78B7F86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(6)</w:t>
            </w:r>
          </w:p>
        </w:tc>
      </w:tr>
      <w:tr w:rsidR="008C674F" w:rsidRPr="00166607" w14:paraId="2B3C9AC4" w14:textId="77777777" w:rsidTr="008C674F">
        <w:trPr>
          <w:trHeight w:val="315"/>
        </w:trPr>
        <w:tc>
          <w:tcPr>
            <w:tcW w:w="12215" w:type="dxa"/>
            <w:gridSpan w:val="9"/>
            <w:tcBorders>
              <w:top w:val="single" w:sz="8" w:space="0" w:color="auto"/>
              <w:left w:val="nil"/>
              <w:bottom w:val="single" w:sz="8" w:space="0" w:color="auto"/>
              <w:right w:val="nil"/>
            </w:tcBorders>
            <w:shd w:val="clear" w:color="000000" w:fill="FFFFFF"/>
            <w:vAlign w:val="center"/>
            <w:hideMark/>
          </w:tcPr>
          <w:p w14:paraId="4D1B4BED" w14:textId="77777777" w:rsidR="00484342" w:rsidRPr="00166607" w:rsidRDefault="00484342" w:rsidP="00484342">
            <w:pPr>
              <w:jc w:val="center"/>
              <w:rPr>
                <w:rFonts w:ascii="Times New Roman" w:eastAsia="Times New Roman" w:hAnsi="Times New Roman"/>
                <w:i/>
                <w:iCs/>
                <w:color w:val="000000"/>
                <w:sz w:val="20"/>
                <w:szCs w:val="20"/>
              </w:rPr>
            </w:pPr>
            <w:r w:rsidRPr="00166607">
              <w:rPr>
                <w:rFonts w:ascii="Times New Roman" w:eastAsia="Times New Roman" w:hAnsi="Times New Roman"/>
                <w:i/>
                <w:iCs/>
                <w:color w:val="000000"/>
                <w:sz w:val="20"/>
                <w:szCs w:val="20"/>
              </w:rPr>
              <w:t>A.Females</w:t>
            </w:r>
          </w:p>
        </w:tc>
      </w:tr>
      <w:tr w:rsidR="008C674F" w:rsidRPr="00166607" w14:paraId="5D6CD97D" w14:textId="77777777" w:rsidTr="008C674F">
        <w:trPr>
          <w:trHeight w:val="280"/>
        </w:trPr>
        <w:tc>
          <w:tcPr>
            <w:tcW w:w="3975" w:type="dxa"/>
            <w:tcBorders>
              <w:top w:val="nil"/>
              <w:left w:val="nil"/>
              <w:bottom w:val="nil"/>
              <w:right w:val="nil"/>
            </w:tcBorders>
            <w:shd w:val="clear" w:color="000000" w:fill="FFFFFF"/>
            <w:noWrap/>
            <w:vAlign w:val="center"/>
            <w:hideMark/>
          </w:tcPr>
          <w:p w14:paraId="4F0A189C"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Ever enrolled in tertiary education</w:t>
            </w:r>
          </w:p>
        </w:tc>
        <w:tc>
          <w:tcPr>
            <w:tcW w:w="1170" w:type="dxa"/>
            <w:tcBorders>
              <w:top w:val="nil"/>
              <w:left w:val="nil"/>
              <w:bottom w:val="nil"/>
              <w:right w:val="nil"/>
            </w:tcBorders>
            <w:shd w:val="clear" w:color="000000" w:fill="FFFFFF"/>
            <w:noWrap/>
            <w:vAlign w:val="center"/>
            <w:hideMark/>
          </w:tcPr>
          <w:p w14:paraId="515EF67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0.203</w:t>
            </w:r>
          </w:p>
        </w:tc>
        <w:tc>
          <w:tcPr>
            <w:tcW w:w="1400" w:type="dxa"/>
            <w:tcBorders>
              <w:top w:val="nil"/>
              <w:left w:val="nil"/>
              <w:bottom w:val="nil"/>
              <w:right w:val="nil"/>
            </w:tcBorders>
            <w:shd w:val="clear" w:color="000000" w:fill="FFFFFF"/>
            <w:noWrap/>
            <w:vAlign w:val="center"/>
            <w:hideMark/>
          </w:tcPr>
          <w:p w14:paraId="4322B66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0.023</w:t>
            </w:r>
          </w:p>
        </w:tc>
        <w:tc>
          <w:tcPr>
            <w:tcW w:w="320" w:type="dxa"/>
            <w:tcBorders>
              <w:top w:val="nil"/>
              <w:left w:val="nil"/>
              <w:bottom w:val="nil"/>
              <w:right w:val="nil"/>
            </w:tcBorders>
            <w:shd w:val="clear" w:color="000000" w:fill="FFFFFF"/>
            <w:vAlign w:val="center"/>
            <w:hideMark/>
          </w:tcPr>
          <w:p w14:paraId="25BC98F0"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4F43EAE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0.204</w:t>
            </w:r>
          </w:p>
        </w:tc>
        <w:tc>
          <w:tcPr>
            <w:tcW w:w="1400" w:type="dxa"/>
            <w:tcBorders>
              <w:top w:val="nil"/>
              <w:left w:val="nil"/>
              <w:bottom w:val="nil"/>
              <w:right w:val="nil"/>
            </w:tcBorders>
            <w:shd w:val="clear" w:color="000000" w:fill="FFFFFF"/>
            <w:noWrap/>
            <w:vAlign w:val="center"/>
            <w:hideMark/>
          </w:tcPr>
          <w:p w14:paraId="7B97973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0.007</w:t>
            </w:r>
          </w:p>
        </w:tc>
        <w:tc>
          <w:tcPr>
            <w:tcW w:w="320" w:type="dxa"/>
            <w:tcBorders>
              <w:top w:val="nil"/>
              <w:left w:val="nil"/>
              <w:bottom w:val="nil"/>
              <w:right w:val="nil"/>
            </w:tcBorders>
            <w:shd w:val="clear" w:color="000000" w:fill="FFFFFF"/>
            <w:noWrap/>
            <w:vAlign w:val="center"/>
            <w:hideMark/>
          </w:tcPr>
          <w:p w14:paraId="0190865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207DEF4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0.213</w:t>
            </w:r>
          </w:p>
        </w:tc>
        <w:tc>
          <w:tcPr>
            <w:tcW w:w="1400" w:type="dxa"/>
            <w:tcBorders>
              <w:top w:val="nil"/>
              <w:left w:val="nil"/>
              <w:bottom w:val="nil"/>
              <w:right w:val="nil"/>
            </w:tcBorders>
            <w:shd w:val="clear" w:color="000000" w:fill="FFFFFF"/>
            <w:noWrap/>
            <w:vAlign w:val="center"/>
            <w:hideMark/>
          </w:tcPr>
          <w:p w14:paraId="1A522BF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0.043</w:t>
            </w:r>
          </w:p>
        </w:tc>
      </w:tr>
      <w:tr w:rsidR="008C674F" w:rsidRPr="00166607" w14:paraId="33AAA923" w14:textId="77777777" w:rsidTr="008C674F">
        <w:trPr>
          <w:trHeight w:val="280"/>
        </w:trPr>
        <w:tc>
          <w:tcPr>
            <w:tcW w:w="3975" w:type="dxa"/>
            <w:tcBorders>
              <w:top w:val="nil"/>
              <w:left w:val="nil"/>
              <w:bottom w:val="nil"/>
              <w:right w:val="nil"/>
            </w:tcBorders>
            <w:shd w:val="clear" w:color="000000" w:fill="FFFFFF"/>
            <w:noWrap/>
            <w:vAlign w:val="center"/>
            <w:hideMark/>
          </w:tcPr>
          <w:p w14:paraId="33E06831"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4309DE7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6CA7693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(0.019)</w:t>
            </w:r>
          </w:p>
        </w:tc>
        <w:tc>
          <w:tcPr>
            <w:tcW w:w="320" w:type="dxa"/>
            <w:tcBorders>
              <w:top w:val="nil"/>
              <w:left w:val="nil"/>
              <w:bottom w:val="nil"/>
              <w:right w:val="nil"/>
            </w:tcBorders>
            <w:shd w:val="clear" w:color="000000" w:fill="FFFFFF"/>
            <w:vAlign w:val="center"/>
            <w:hideMark/>
          </w:tcPr>
          <w:p w14:paraId="6D7B7C54"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355D825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5F5E767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(0.026)</w:t>
            </w:r>
          </w:p>
        </w:tc>
        <w:tc>
          <w:tcPr>
            <w:tcW w:w="320" w:type="dxa"/>
            <w:tcBorders>
              <w:top w:val="nil"/>
              <w:left w:val="nil"/>
              <w:bottom w:val="nil"/>
              <w:right w:val="nil"/>
            </w:tcBorders>
            <w:shd w:val="clear" w:color="000000" w:fill="FFFFFF"/>
            <w:noWrap/>
            <w:vAlign w:val="center"/>
            <w:hideMark/>
          </w:tcPr>
          <w:p w14:paraId="45F3567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23483B7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251F0FB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(0.029)</w:t>
            </w:r>
          </w:p>
        </w:tc>
      </w:tr>
      <w:tr w:rsidR="008C674F" w:rsidRPr="00166607" w14:paraId="3C30B8E2" w14:textId="77777777" w:rsidTr="008C674F">
        <w:trPr>
          <w:trHeight w:val="280"/>
        </w:trPr>
        <w:tc>
          <w:tcPr>
            <w:tcW w:w="3975" w:type="dxa"/>
            <w:tcBorders>
              <w:top w:val="nil"/>
              <w:left w:val="nil"/>
              <w:bottom w:val="nil"/>
              <w:right w:val="nil"/>
            </w:tcBorders>
            <w:shd w:val="clear" w:color="000000" w:fill="FFFFFF"/>
            <w:noWrap/>
            <w:vAlign w:val="center"/>
            <w:hideMark/>
          </w:tcPr>
          <w:p w14:paraId="35276C65"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Ever enrolled in a vocational college</w:t>
            </w:r>
          </w:p>
        </w:tc>
        <w:tc>
          <w:tcPr>
            <w:tcW w:w="1170" w:type="dxa"/>
            <w:tcBorders>
              <w:top w:val="nil"/>
              <w:left w:val="nil"/>
              <w:bottom w:val="nil"/>
              <w:right w:val="nil"/>
            </w:tcBorders>
            <w:shd w:val="clear" w:color="000000" w:fill="FFFFFF"/>
            <w:noWrap/>
            <w:vAlign w:val="center"/>
            <w:hideMark/>
          </w:tcPr>
          <w:p w14:paraId="44763FE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0.074</w:t>
            </w:r>
          </w:p>
        </w:tc>
        <w:tc>
          <w:tcPr>
            <w:tcW w:w="1400" w:type="dxa"/>
            <w:tcBorders>
              <w:top w:val="nil"/>
              <w:left w:val="nil"/>
              <w:bottom w:val="nil"/>
              <w:right w:val="nil"/>
            </w:tcBorders>
            <w:shd w:val="clear" w:color="000000" w:fill="FFFFFF"/>
            <w:noWrap/>
            <w:vAlign w:val="center"/>
            <w:hideMark/>
          </w:tcPr>
          <w:p w14:paraId="077D3E6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-0.002</w:t>
            </w:r>
          </w:p>
        </w:tc>
        <w:tc>
          <w:tcPr>
            <w:tcW w:w="320" w:type="dxa"/>
            <w:tcBorders>
              <w:top w:val="nil"/>
              <w:left w:val="nil"/>
              <w:bottom w:val="nil"/>
              <w:right w:val="nil"/>
            </w:tcBorders>
            <w:shd w:val="clear" w:color="000000" w:fill="FFFFFF"/>
            <w:vAlign w:val="center"/>
            <w:hideMark/>
          </w:tcPr>
          <w:p w14:paraId="6ACFE0F0"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43F54A2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0.083</w:t>
            </w:r>
          </w:p>
        </w:tc>
        <w:tc>
          <w:tcPr>
            <w:tcW w:w="1400" w:type="dxa"/>
            <w:tcBorders>
              <w:top w:val="nil"/>
              <w:left w:val="nil"/>
              <w:bottom w:val="nil"/>
              <w:right w:val="nil"/>
            </w:tcBorders>
            <w:shd w:val="clear" w:color="000000" w:fill="FFFFFF"/>
            <w:noWrap/>
            <w:vAlign w:val="center"/>
            <w:hideMark/>
          </w:tcPr>
          <w:p w14:paraId="3429A00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-0.004</w:t>
            </w:r>
          </w:p>
        </w:tc>
        <w:tc>
          <w:tcPr>
            <w:tcW w:w="320" w:type="dxa"/>
            <w:tcBorders>
              <w:top w:val="nil"/>
              <w:left w:val="nil"/>
              <w:bottom w:val="nil"/>
              <w:right w:val="nil"/>
            </w:tcBorders>
            <w:shd w:val="clear" w:color="000000" w:fill="FFFFFF"/>
            <w:noWrap/>
            <w:vAlign w:val="center"/>
            <w:hideMark/>
          </w:tcPr>
          <w:p w14:paraId="3BED877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2273707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0.069</w:t>
            </w:r>
          </w:p>
        </w:tc>
        <w:tc>
          <w:tcPr>
            <w:tcW w:w="1400" w:type="dxa"/>
            <w:tcBorders>
              <w:top w:val="nil"/>
              <w:left w:val="nil"/>
              <w:bottom w:val="nil"/>
              <w:right w:val="nil"/>
            </w:tcBorders>
            <w:shd w:val="clear" w:color="000000" w:fill="FFFFFF"/>
            <w:noWrap/>
            <w:vAlign w:val="center"/>
            <w:hideMark/>
          </w:tcPr>
          <w:p w14:paraId="41AD9B6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-0.002</w:t>
            </w:r>
          </w:p>
        </w:tc>
      </w:tr>
      <w:tr w:rsidR="008C674F" w:rsidRPr="00166607" w14:paraId="34C0564E" w14:textId="77777777" w:rsidTr="008C674F">
        <w:trPr>
          <w:trHeight w:val="280"/>
        </w:trPr>
        <w:tc>
          <w:tcPr>
            <w:tcW w:w="3975" w:type="dxa"/>
            <w:tcBorders>
              <w:top w:val="nil"/>
              <w:left w:val="nil"/>
              <w:bottom w:val="nil"/>
              <w:right w:val="nil"/>
            </w:tcBorders>
            <w:shd w:val="clear" w:color="000000" w:fill="FFFFFF"/>
            <w:noWrap/>
            <w:vAlign w:val="center"/>
            <w:hideMark/>
          </w:tcPr>
          <w:p w14:paraId="34317B7C"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695B258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68BB91F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(0.012)</w:t>
            </w:r>
          </w:p>
        </w:tc>
        <w:tc>
          <w:tcPr>
            <w:tcW w:w="320" w:type="dxa"/>
            <w:tcBorders>
              <w:top w:val="nil"/>
              <w:left w:val="nil"/>
              <w:bottom w:val="nil"/>
              <w:right w:val="nil"/>
            </w:tcBorders>
            <w:shd w:val="clear" w:color="000000" w:fill="FFFFFF"/>
            <w:vAlign w:val="center"/>
            <w:hideMark/>
          </w:tcPr>
          <w:p w14:paraId="7EDACBF3" w14:textId="77777777" w:rsidR="00484342" w:rsidRPr="00166607" w:rsidRDefault="00484342" w:rsidP="00484342">
            <w:pPr>
              <w:rPr>
                <w:rFonts w:ascii="Calibri" w:eastAsia="Times New Roman" w:hAnsi="Calibri"/>
                <w:color w:val="000000"/>
                <w:sz w:val="20"/>
                <w:szCs w:val="20"/>
              </w:rPr>
            </w:pPr>
            <w:r w:rsidRPr="00166607">
              <w:rPr>
                <w:rFonts w:ascii="Calibri" w:eastAsia="Times New Roman" w:hAnsi="Calibri"/>
                <w:color w:val="000000"/>
                <w:sz w:val="20"/>
                <w:szCs w:val="20"/>
              </w:rPr>
              <w:t> </w:t>
            </w:r>
          </w:p>
        </w:tc>
        <w:tc>
          <w:tcPr>
            <w:tcW w:w="1160" w:type="dxa"/>
            <w:tcBorders>
              <w:top w:val="nil"/>
              <w:left w:val="nil"/>
              <w:bottom w:val="nil"/>
              <w:right w:val="nil"/>
            </w:tcBorders>
            <w:shd w:val="clear" w:color="000000" w:fill="FFFFFF"/>
            <w:noWrap/>
            <w:vAlign w:val="center"/>
            <w:hideMark/>
          </w:tcPr>
          <w:p w14:paraId="2ACF1DB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66B3D9C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(0.018)</w:t>
            </w:r>
          </w:p>
        </w:tc>
        <w:tc>
          <w:tcPr>
            <w:tcW w:w="320" w:type="dxa"/>
            <w:tcBorders>
              <w:top w:val="nil"/>
              <w:left w:val="nil"/>
              <w:bottom w:val="nil"/>
              <w:right w:val="nil"/>
            </w:tcBorders>
            <w:shd w:val="clear" w:color="000000" w:fill="FFFFFF"/>
            <w:noWrap/>
            <w:vAlign w:val="center"/>
            <w:hideMark/>
          </w:tcPr>
          <w:p w14:paraId="1CB7BC5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4FC1C6F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57FA349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(0.018)</w:t>
            </w:r>
          </w:p>
        </w:tc>
      </w:tr>
      <w:tr w:rsidR="008C674F" w:rsidRPr="00166607" w14:paraId="6AA62727" w14:textId="77777777" w:rsidTr="008C674F">
        <w:trPr>
          <w:trHeight w:val="280"/>
        </w:trPr>
        <w:tc>
          <w:tcPr>
            <w:tcW w:w="3975" w:type="dxa"/>
            <w:tcBorders>
              <w:top w:val="nil"/>
              <w:left w:val="nil"/>
              <w:bottom w:val="nil"/>
              <w:right w:val="nil"/>
            </w:tcBorders>
            <w:shd w:val="clear" w:color="000000" w:fill="FFFFFF"/>
            <w:noWrap/>
            <w:vAlign w:val="center"/>
            <w:hideMark/>
          </w:tcPr>
          <w:p w14:paraId="51BBB2D2"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Ever enrolled in a university</w:t>
            </w:r>
          </w:p>
        </w:tc>
        <w:tc>
          <w:tcPr>
            <w:tcW w:w="1170" w:type="dxa"/>
            <w:tcBorders>
              <w:top w:val="nil"/>
              <w:left w:val="nil"/>
              <w:bottom w:val="nil"/>
              <w:right w:val="nil"/>
            </w:tcBorders>
            <w:shd w:val="clear" w:color="000000" w:fill="FFFFFF"/>
            <w:noWrap/>
            <w:vAlign w:val="center"/>
            <w:hideMark/>
          </w:tcPr>
          <w:p w14:paraId="28C7FCE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0.139</w:t>
            </w:r>
          </w:p>
        </w:tc>
        <w:tc>
          <w:tcPr>
            <w:tcW w:w="1400" w:type="dxa"/>
            <w:tcBorders>
              <w:top w:val="nil"/>
              <w:left w:val="nil"/>
              <w:bottom w:val="nil"/>
              <w:right w:val="nil"/>
            </w:tcBorders>
            <w:shd w:val="clear" w:color="000000" w:fill="FFFFFF"/>
            <w:noWrap/>
            <w:vAlign w:val="center"/>
            <w:hideMark/>
          </w:tcPr>
          <w:p w14:paraId="1B3D0E5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0.025</w:t>
            </w:r>
          </w:p>
        </w:tc>
        <w:tc>
          <w:tcPr>
            <w:tcW w:w="320" w:type="dxa"/>
            <w:tcBorders>
              <w:top w:val="nil"/>
              <w:left w:val="nil"/>
              <w:bottom w:val="nil"/>
              <w:right w:val="nil"/>
            </w:tcBorders>
            <w:shd w:val="clear" w:color="000000" w:fill="FFFFFF"/>
            <w:vAlign w:val="center"/>
            <w:hideMark/>
          </w:tcPr>
          <w:p w14:paraId="105D02B2"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5B3D124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0.128</w:t>
            </w:r>
          </w:p>
        </w:tc>
        <w:tc>
          <w:tcPr>
            <w:tcW w:w="1400" w:type="dxa"/>
            <w:tcBorders>
              <w:top w:val="nil"/>
              <w:left w:val="nil"/>
              <w:bottom w:val="nil"/>
              <w:right w:val="nil"/>
            </w:tcBorders>
            <w:shd w:val="clear" w:color="000000" w:fill="FFFFFF"/>
            <w:noWrap/>
            <w:vAlign w:val="center"/>
            <w:hideMark/>
          </w:tcPr>
          <w:p w14:paraId="50F2D65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0.015</w:t>
            </w:r>
          </w:p>
        </w:tc>
        <w:tc>
          <w:tcPr>
            <w:tcW w:w="320" w:type="dxa"/>
            <w:tcBorders>
              <w:top w:val="nil"/>
              <w:left w:val="nil"/>
              <w:bottom w:val="nil"/>
              <w:right w:val="nil"/>
            </w:tcBorders>
            <w:shd w:val="clear" w:color="000000" w:fill="FFFFFF"/>
            <w:noWrap/>
            <w:vAlign w:val="center"/>
            <w:hideMark/>
          </w:tcPr>
          <w:p w14:paraId="0F1538A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3C29F90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0.159</w:t>
            </w:r>
          </w:p>
        </w:tc>
        <w:tc>
          <w:tcPr>
            <w:tcW w:w="1400" w:type="dxa"/>
            <w:tcBorders>
              <w:top w:val="nil"/>
              <w:left w:val="nil"/>
              <w:bottom w:val="nil"/>
              <w:right w:val="nil"/>
            </w:tcBorders>
            <w:shd w:val="clear" w:color="000000" w:fill="FFFFFF"/>
            <w:noWrap/>
            <w:vAlign w:val="center"/>
            <w:hideMark/>
          </w:tcPr>
          <w:p w14:paraId="3142CC5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0.038</w:t>
            </w:r>
          </w:p>
        </w:tc>
      </w:tr>
      <w:tr w:rsidR="008C674F" w:rsidRPr="00166607" w14:paraId="1EAB9BAD" w14:textId="77777777" w:rsidTr="008C674F">
        <w:trPr>
          <w:trHeight w:val="280"/>
        </w:trPr>
        <w:tc>
          <w:tcPr>
            <w:tcW w:w="3975" w:type="dxa"/>
            <w:tcBorders>
              <w:top w:val="nil"/>
              <w:left w:val="nil"/>
              <w:bottom w:val="nil"/>
              <w:right w:val="nil"/>
            </w:tcBorders>
            <w:shd w:val="clear" w:color="000000" w:fill="FFFFFF"/>
            <w:noWrap/>
            <w:vAlign w:val="center"/>
            <w:hideMark/>
          </w:tcPr>
          <w:p w14:paraId="0339058C"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3D96816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51F0544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(0.016)</w:t>
            </w:r>
          </w:p>
        </w:tc>
        <w:tc>
          <w:tcPr>
            <w:tcW w:w="320" w:type="dxa"/>
            <w:tcBorders>
              <w:top w:val="nil"/>
              <w:left w:val="nil"/>
              <w:bottom w:val="nil"/>
              <w:right w:val="nil"/>
            </w:tcBorders>
            <w:shd w:val="clear" w:color="000000" w:fill="FFFFFF"/>
            <w:noWrap/>
            <w:vAlign w:val="center"/>
            <w:hideMark/>
          </w:tcPr>
          <w:p w14:paraId="0BDEB15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7946264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133668A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(0.022)</w:t>
            </w:r>
          </w:p>
        </w:tc>
        <w:tc>
          <w:tcPr>
            <w:tcW w:w="320" w:type="dxa"/>
            <w:tcBorders>
              <w:top w:val="nil"/>
              <w:left w:val="nil"/>
              <w:bottom w:val="nil"/>
              <w:right w:val="nil"/>
            </w:tcBorders>
            <w:shd w:val="clear" w:color="000000" w:fill="FFFFFF"/>
            <w:noWrap/>
            <w:vAlign w:val="center"/>
            <w:hideMark/>
          </w:tcPr>
          <w:p w14:paraId="295A7F6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0FD661F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2E7A235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(0.027)</w:t>
            </w:r>
          </w:p>
        </w:tc>
      </w:tr>
      <w:tr w:rsidR="008C674F" w:rsidRPr="00166607" w14:paraId="427B6FAE" w14:textId="77777777" w:rsidTr="008C674F">
        <w:trPr>
          <w:trHeight w:val="280"/>
        </w:trPr>
        <w:tc>
          <w:tcPr>
            <w:tcW w:w="3975" w:type="dxa"/>
            <w:tcBorders>
              <w:top w:val="nil"/>
              <w:left w:val="nil"/>
              <w:bottom w:val="nil"/>
              <w:right w:val="nil"/>
            </w:tcBorders>
            <w:shd w:val="clear" w:color="000000" w:fill="FFFFFF"/>
            <w:noWrap/>
            <w:vAlign w:val="center"/>
            <w:hideMark/>
          </w:tcPr>
          <w:p w14:paraId="387FFD1C"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tertiary education as of 2012</w:t>
            </w:r>
          </w:p>
        </w:tc>
        <w:tc>
          <w:tcPr>
            <w:tcW w:w="1170" w:type="dxa"/>
            <w:tcBorders>
              <w:top w:val="nil"/>
              <w:left w:val="nil"/>
              <w:bottom w:val="nil"/>
              <w:right w:val="nil"/>
            </w:tcBorders>
            <w:shd w:val="clear" w:color="000000" w:fill="FFFFFF"/>
            <w:noWrap/>
            <w:vAlign w:val="center"/>
            <w:hideMark/>
          </w:tcPr>
          <w:p w14:paraId="211DFD0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0.039</w:t>
            </w:r>
          </w:p>
        </w:tc>
        <w:tc>
          <w:tcPr>
            <w:tcW w:w="1400" w:type="dxa"/>
            <w:tcBorders>
              <w:top w:val="nil"/>
              <w:left w:val="nil"/>
              <w:bottom w:val="nil"/>
              <w:right w:val="nil"/>
            </w:tcBorders>
            <w:shd w:val="clear" w:color="000000" w:fill="FFFFFF"/>
            <w:noWrap/>
            <w:vAlign w:val="center"/>
            <w:hideMark/>
          </w:tcPr>
          <w:p w14:paraId="1680D7E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0.027</w:t>
            </w:r>
          </w:p>
        </w:tc>
        <w:tc>
          <w:tcPr>
            <w:tcW w:w="320" w:type="dxa"/>
            <w:tcBorders>
              <w:top w:val="nil"/>
              <w:left w:val="nil"/>
              <w:bottom w:val="nil"/>
              <w:right w:val="nil"/>
            </w:tcBorders>
            <w:shd w:val="clear" w:color="000000" w:fill="FFFFFF"/>
            <w:noWrap/>
            <w:vAlign w:val="center"/>
            <w:hideMark/>
          </w:tcPr>
          <w:p w14:paraId="67E8658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598BE25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0.033</w:t>
            </w:r>
          </w:p>
        </w:tc>
        <w:tc>
          <w:tcPr>
            <w:tcW w:w="1400" w:type="dxa"/>
            <w:tcBorders>
              <w:top w:val="nil"/>
              <w:left w:val="nil"/>
              <w:bottom w:val="nil"/>
              <w:right w:val="nil"/>
            </w:tcBorders>
            <w:shd w:val="clear" w:color="000000" w:fill="FFFFFF"/>
            <w:noWrap/>
            <w:vAlign w:val="center"/>
            <w:hideMark/>
          </w:tcPr>
          <w:p w14:paraId="66778FA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0.033</w:t>
            </w:r>
          </w:p>
        </w:tc>
        <w:tc>
          <w:tcPr>
            <w:tcW w:w="320" w:type="dxa"/>
            <w:tcBorders>
              <w:top w:val="nil"/>
              <w:left w:val="nil"/>
              <w:bottom w:val="nil"/>
              <w:right w:val="nil"/>
            </w:tcBorders>
            <w:shd w:val="clear" w:color="000000" w:fill="FFFFFF"/>
            <w:noWrap/>
            <w:vAlign w:val="center"/>
            <w:hideMark/>
          </w:tcPr>
          <w:p w14:paraId="13CDF3C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5F0DB61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0.048</w:t>
            </w:r>
          </w:p>
        </w:tc>
        <w:tc>
          <w:tcPr>
            <w:tcW w:w="1400" w:type="dxa"/>
            <w:tcBorders>
              <w:top w:val="nil"/>
              <w:left w:val="nil"/>
              <w:bottom w:val="nil"/>
              <w:right w:val="nil"/>
            </w:tcBorders>
            <w:shd w:val="clear" w:color="000000" w:fill="FFFFFF"/>
            <w:noWrap/>
            <w:vAlign w:val="center"/>
            <w:hideMark/>
          </w:tcPr>
          <w:p w14:paraId="2C0E7A6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0.022</w:t>
            </w:r>
          </w:p>
        </w:tc>
      </w:tr>
      <w:tr w:rsidR="008C674F" w:rsidRPr="00166607" w14:paraId="0C7DD355" w14:textId="77777777" w:rsidTr="008C674F">
        <w:trPr>
          <w:trHeight w:val="280"/>
        </w:trPr>
        <w:tc>
          <w:tcPr>
            <w:tcW w:w="3975" w:type="dxa"/>
            <w:tcBorders>
              <w:top w:val="nil"/>
              <w:left w:val="nil"/>
              <w:bottom w:val="nil"/>
              <w:right w:val="nil"/>
            </w:tcBorders>
            <w:shd w:val="clear" w:color="000000" w:fill="FFFFFF"/>
            <w:noWrap/>
            <w:vAlign w:val="center"/>
            <w:hideMark/>
          </w:tcPr>
          <w:p w14:paraId="14783603"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62BCD5B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016002B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w:t>
            </w:r>
          </w:p>
        </w:tc>
        <w:tc>
          <w:tcPr>
            <w:tcW w:w="320" w:type="dxa"/>
            <w:tcBorders>
              <w:top w:val="nil"/>
              <w:left w:val="nil"/>
              <w:bottom w:val="nil"/>
              <w:right w:val="nil"/>
            </w:tcBorders>
            <w:shd w:val="clear" w:color="000000" w:fill="FFFFFF"/>
            <w:noWrap/>
            <w:vAlign w:val="center"/>
            <w:hideMark/>
          </w:tcPr>
          <w:p w14:paraId="5B55A8A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003518D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1007D30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(0.014)**</w:t>
            </w:r>
          </w:p>
        </w:tc>
        <w:tc>
          <w:tcPr>
            <w:tcW w:w="320" w:type="dxa"/>
            <w:tcBorders>
              <w:top w:val="nil"/>
              <w:left w:val="nil"/>
              <w:bottom w:val="nil"/>
              <w:right w:val="nil"/>
            </w:tcBorders>
            <w:shd w:val="clear" w:color="000000" w:fill="FFFFFF"/>
            <w:noWrap/>
            <w:vAlign w:val="center"/>
            <w:hideMark/>
          </w:tcPr>
          <w:p w14:paraId="1738110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5CF2456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555DD9E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(0.017)</w:t>
            </w:r>
          </w:p>
        </w:tc>
      </w:tr>
      <w:tr w:rsidR="008C674F" w:rsidRPr="00166607" w14:paraId="79B69E57" w14:textId="77777777" w:rsidTr="008C674F">
        <w:trPr>
          <w:trHeight w:val="280"/>
        </w:trPr>
        <w:tc>
          <w:tcPr>
            <w:tcW w:w="3975" w:type="dxa"/>
            <w:tcBorders>
              <w:top w:val="nil"/>
              <w:left w:val="nil"/>
              <w:bottom w:val="nil"/>
              <w:right w:val="nil"/>
            </w:tcBorders>
            <w:shd w:val="clear" w:color="000000" w:fill="FFFFFF"/>
            <w:noWrap/>
            <w:vAlign w:val="center"/>
            <w:hideMark/>
          </w:tcPr>
          <w:p w14:paraId="522117E1"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vocational college as of 2012</w:t>
            </w:r>
          </w:p>
        </w:tc>
        <w:tc>
          <w:tcPr>
            <w:tcW w:w="1170" w:type="dxa"/>
            <w:tcBorders>
              <w:top w:val="nil"/>
              <w:left w:val="nil"/>
              <w:bottom w:val="nil"/>
              <w:right w:val="nil"/>
            </w:tcBorders>
            <w:shd w:val="clear" w:color="000000" w:fill="FFFFFF"/>
            <w:noWrap/>
            <w:vAlign w:val="center"/>
            <w:hideMark/>
          </w:tcPr>
          <w:p w14:paraId="5A9DEED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0.012</w:t>
            </w:r>
          </w:p>
        </w:tc>
        <w:tc>
          <w:tcPr>
            <w:tcW w:w="1400" w:type="dxa"/>
            <w:tcBorders>
              <w:top w:val="nil"/>
              <w:left w:val="nil"/>
              <w:bottom w:val="nil"/>
              <w:right w:val="nil"/>
            </w:tcBorders>
            <w:shd w:val="clear" w:color="000000" w:fill="FFFFFF"/>
            <w:noWrap/>
            <w:vAlign w:val="center"/>
            <w:hideMark/>
          </w:tcPr>
          <w:p w14:paraId="77DFF78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-0.002</w:t>
            </w:r>
          </w:p>
        </w:tc>
        <w:tc>
          <w:tcPr>
            <w:tcW w:w="320" w:type="dxa"/>
            <w:tcBorders>
              <w:top w:val="nil"/>
              <w:left w:val="nil"/>
              <w:bottom w:val="nil"/>
              <w:right w:val="nil"/>
            </w:tcBorders>
            <w:shd w:val="clear" w:color="000000" w:fill="FFFFFF"/>
            <w:noWrap/>
            <w:vAlign w:val="center"/>
            <w:hideMark/>
          </w:tcPr>
          <w:p w14:paraId="6628F9C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4D03E0A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0.013</w:t>
            </w:r>
          </w:p>
        </w:tc>
        <w:tc>
          <w:tcPr>
            <w:tcW w:w="1400" w:type="dxa"/>
            <w:tcBorders>
              <w:top w:val="nil"/>
              <w:left w:val="nil"/>
              <w:bottom w:val="nil"/>
              <w:right w:val="nil"/>
            </w:tcBorders>
            <w:shd w:val="clear" w:color="000000" w:fill="FFFFFF"/>
            <w:noWrap/>
            <w:vAlign w:val="center"/>
            <w:hideMark/>
          </w:tcPr>
          <w:p w14:paraId="28CE1C7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c>
          <w:tcPr>
            <w:tcW w:w="320" w:type="dxa"/>
            <w:tcBorders>
              <w:top w:val="nil"/>
              <w:left w:val="nil"/>
              <w:bottom w:val="nil"/>
              <w:right w:val="nil"/>
            </w:tcBorders>
            <w:shd w:val="clear" w:color="000000" w:fill="FFFFFF"/>
            <w:noWrap/>
            <w:vAlign w:val="center"/>
            <w:hideMark/>
          </w:tcPr>
          <w:p w14:paraId="0626EB1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1E16378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0.012</w:t>
            </w:r>
          </w:p>
        </w:tc>
        <w:tc>
          <w:tcPr>
            <w:tcW w:w="1400" w:type="dxa"/>
            <w:tcBorders>
              <w:top w:val="nil"/>
              <w:left w:val="nil"/>
              <w:bottom w:val="nil"/>
              <w:right w:val="nil"/>
            </w:tcBorders>
            <w:shd w:val="clear" w:color="000000" w:fill="FFFFFF"/>
            <w:noWrap/>
            <w:vAlign w:val="center"/>
            <w:hideMark/>
          </w:tcPr>
          <w:p w14:paraId="555D5C9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w:t>
            </w:r>
          </w:p>
        </w:tc>
      </w:tr>
      <w:tr w:rsidR="008C674F" w:rsidRPr="00166607" w14:paraId="412147C5" w14:textId="77777777" w:rsidTr="008C674F">
        <w:trPr>
          <w:trHeight w:val="280"/>
        </w:trPr>
        <w:tc>
          <w:tcPr>
            <w:tcW w:w="3975" w:type="dxa"/>
            <w:tcBorders>
              <w:top w:val="nil"/>
              <w:left w:val="nil"/>
              <w:bottom w:val="nil"/>
              <w:right w:val="nil"/>
            </w:tcBorders>
            <w:shd w:val="clear" w:color="000000" w:fill="FFFFFF"/>
            <w:noWrap/>
            <w:vAlign w:val="center"/>
            <w:hideMark/>
          </w:tcPr>
          <w:p w14:paraId="6DE56F5B"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15EDEAB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63528E0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c>
          <w:tcPr>
            <w:tcW w:w="320" w:type="dxa"/>
            <w:tcBorders>
              <w:top w:val="nil"/>
              <w:left w:val="nil"/>
              <w:bottom w:val="nil"/>
              <w:right w:val="nil"/>
            </w:tcBorders>
            <w:shd w:val="clear" w:color="000000" w:fill="FFFFFF"/>
            <w:noWrap/>
            <w:vAlign w:val="center"/>
            <w:hideMark/>
          </w:tcPr>
          <w:p w14:paraId="711E8B2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3BCE8D9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7E1A11D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(0.007)</w:t>
            </w:r>
          </w:p>
        </w:tc>
        <w:tc>
          <w:tcPr>
            <w:tcW w:w="320" w:type="dxa"/>
            <w:tcBorders>
              <w:top w:val="nil"/>
              <w:left w:val="nil"/>
              <w:bottom w:val="nil"/>
              <w:right w:val="nil"/>
            </w:tcBorders>
            <w:shd w:val="clear" w:color="000000" w:fill="FFFFFF"/>
            <w:noWrap/>
            <w:vAlign w:val="center"/>
            <w:hideMark/>
          </w:tcPr>
          <w:p w14:paraId="492B9CA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292699F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48ECD7D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(0.008)</w:t>
            </w:r>
          </w:p>
        </w:tc>
      </w:tr>
      <w:tr w:rsidR="008C674F" w:rsidRPr="00166607" w14:paraId="069068C1" w14:textId="77777777" w:rsidTr="008C674F">
        <w:trPr>
          <w:trHeight w:val="280"/>
        </w:trPr>
        <w:tc>
          <w:tcPr>
            <w:tcW w:w="3975" w:type="dxa"/>
            <w:tcBorders>
              <w:top w:val="nil"/>
              <w:left w:val="nil"/>
              <w:bottom w:val="nil"/>
              <w:right w:val="nil"/>
            </w:tcBorders>
            <w:shd w:val="clear" w:color="000000" w:fill="FFFFFF"/>
            <w:noWrap/>
            <w:vAlign w:val="center"/>
            <w:hideMark/>
          </w:tcPr>
          <w:p w14:paraId="34CB234A"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university as of 2012</w:t>
            </w:r>
          </w:p>
        </w:tc>
        <w:tc>
          <w:tcPr>
            <w:tcW w:w="1170" w:type="dxa"/>
            <w:tcBorders>
              <w:top w:val="nil"/>
              <w:left w:val="nil"/>
              <w:bottom w:val="nil"/>
              <w:right w:val="nil"/>
            </w:tcBorders>
            <w:shd w:val="clear" w:color="000000" w:fill="FFFFFF"/>
            <w:noWrap/>
            <w:vAlign w:val="center"/>
            <w:hideMark/>
          </w:tcPr>
          <w:p w14:paraId="701595B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0.027</w:t>
            </w:r>
          </w:p>
        </w:tc>
        <w:tc>
          <w:tcPr>
            <w:tcW w:w="1400" w:type="dxa"/>
            <w:tcBorders>
              <w:top w:val="nil"/>
              <w:left w:val="nil"/>
              <w:bottom w:val="nil"/>
              <w:right w:val="nil"/>
            </w:tcBorders>
            <w:shd w:val="clear" w:color="000000" w:fill="FFFFFF"/>
            <w:noWrap/>
            <w:vAlign w:val="center"/>
            <w:hideMark/>
          </w:tcPr>
          <w:p w14:paraId="071E54E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0.029</w:t>
            </w:r>
          </w:p>
        </w:tc>
        <w:tc>
          <w:tcPr>
            <w:tcW w:w="320" w:type="dxa"/>
            <w:tcBorders>
              <w:top w:val="nil"/>
              <w:left w:val="nil"/>
              <w:bottom w:val="nil"/>
              <w:right w:val="nil"/>
            </w:tcBorders>
            <w:shd w:val="clear" w:color="000000" w:fill="FFFFFF"/>
            <w:noWrap/>
            <w:vAlign w:val="center"/>
            <w:hideMark/>
          </w:tcPr>
          <w:p w14:paraId="31AC8C8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4397994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w:t>
            </w:r>
          </w:p>
        </w:tc>
        <w:tc>
          <w:tcPr>
            <w:tcW w:w="1400" w:type="dxa"/>
            <w:tcBorders>
              <w:top w:val="nil"/>
              <w:left w:val="nil"/>
              <w:bottom w:val="nil"/>
              <w:right w:val="nil"/>
            </w:tcBorders>
            <w:shd w:val="clear" w:color="000000" w:fill="FFFFFF"/>
            <w:noWrap/>
            <w:vAlign w:val="center"/>
            <w:hideMark/>
          </w:tcPr>
          <w:p w14:paraId="29E096F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0.039</w:t>
            </w:r>
          </w:p>
        </w:tc>
        <w:tc>
          <w:tcPr>
            <w:tcW w:w="320" w:type="dxa"/>
            <w:tcBorders>
              <w:top w:val="nil"/>
              <w:left w:val="nil"/>
              <w:bottom w:val="nil"/>
              <w:right w:val="nil"/>
            </w:tcBorders>
            <w:shd w:val="clear" w:color="000000" w:fill="FFFFFF"/>
            <w:noWrap/>
            <w:vAlign w:val="center"/>
            <w:hideMark/>
          </w:tcPr>
          <w:p w14:paraId="280BFE2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6F2142F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0.036</w:t>
            </w:r>
          </w:p>
        </w:tc>
        <w:tc>
          <w:tcPr>
            <w:tcW w:w="1400" w:type="dxa"/>
            <w:tcBorders>
              <w:top w:val="nil"/>
              <w:left w:val="nil"/>
              <w:bottom w:val="nil"/>
              <w:right w:val="nil"/>
            </w:tcBorders>
            <w:shd w:val="clear" w:color="000000" w:fill="FFFFFF"/>
            <w:noWrap/>
            <w:vAlign w:val="center"/>
            <w:hideMark/>
          </w:tcPr>
          <w:p w14:paraId="6A136ED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0.022</w:t>
            </w:r>
          </w:p>
        </w:tc>
      </w:tr>
      <w:tr w:rsidR="008C674F" w:rsidRPr="00166607" w14:paraId="0B6F6DB8" w14:textId="77777777" w:rsidTr="008C674F">
        <w:trPr>
          <w:trHeight w:val="280"/>
        </w:trPr>
        <w:tc>
          <w:tcPr>
            <w:tcW w:w="3975" w:type="dxa"/>
            <w:tcBorders>
              <w:top w:val="nil"/>
              <w:left w:val="nil"/>
              <w:bottom w:val="nil"/>
              <w:right w:val="nil"/>
            </w:tcBorders>
            <w:shd w:val="clear" w:color="000000" w:fill="FFFFFF"/>
            <w:noWrap/>
            <w:vAlign w:val="center"/>
            <w:hideMark/>
          </w:tcPr>
          <w:p w14:paraId="6D0F797F"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05B4DE9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06CD396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(0.009)***</w:t>
            </w:r>
          </w:p>
        </w:tc>
        <w:tc>
          <w:tcPr>
            <w:tcW w:w="320" w:type="dxa"/>
            <w:tcBorders>
              <w:top w:val="nil"/>
              <w:left w:val="nil"/>
              <w:bottom w:val="nil"/>
              <w:right w:val="nil"/>
            </w:tcBorders>
            <w:shd w:val="clear" w:color="000000" w:fill="FFFFFF"/>
            <w:noWrap/>
            <w:vAlign w:val="center"/>
            <w:hideMark/>
          </w:tcPr>
          <w:p w14:paraId="0A1EF9E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61651D0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7F1886A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(0.012)***</w:t>
            </w:r>
          </w:p>
        </w:tc>
        <w:tc>
          <w:tcPr>
            <w:tcW w:w="320" w:type="dxa"/>
            <w:tcBorders>
              <w:top w:val="nil"/>
              <w:left w:val="nil"/>
              <w:bottom w:val="nil"/>
              <w:right w:val="nil"/>
            </w:tcBorders>
            <w:shd w:val="clear" w:color="000000" w:fill="FFFFFF"/>
            <w:noWrap/>
            <w:vAlign w:val="center"/>
            <w:hideMark/>
          </w:tcPr>
          <w:p w14:paraId="6AF2124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63B3F96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0A737C2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(0.015)</w:t>
            </w:r>
          </w:p>
        </w:tc>
      </w:tr>
      <w:tr w:rsidR="008C674F" w:rsidRPr="00166607" w14:paraId="1AFDEE52" w14:textId="77777777" w:rsidTr="008C674F">
        <w:trPr>
          <w:trHeight w:val="280"/>
        </w:trPr>
        <w:tc>
          <w:tcPr>
            <w:tcW w:w="3975" w:type="dxa"/>
            <w:tcBorders>
              <w:top w:val="nil"/>
              <w:left w:val="nil"/>
              <w:bottom w:val="nil"/>
              <w:right w:val="nil"/>
            </w:tcBorders>
            <w:shd w:val="clear" w:color="000000" w:fill="FFFFFF"/>
            <w:noWrap/>
            <w:vAlign w:val="center"/>
            <w:hideMark/>
          </w:tcPr>
          <w:p w14:paraId="4CD0D521"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private institution as of 2012</w:t>
            </w:r>
          </w:p>
        </w:tc>
        <w:tc>
          <w:tcPr>
            <w:tcW w:w="1170" w:type="dxa"/>
            <w:tcBorders>
              <w:top w:val="nil"/>
              <w:left w:val="nil"/>
              <w:bottom w:val="nil"/>
              <w:right w:val="nil"/>
            </w:tcBorders>
            <w:shd w:val="clear" w:color="000000" w:fill="FFFFFF"/>
            <w:noWrap/>
            <w:vAlign w:val="center"/>
            <w:hideMark/>
          </w:tcPr>
          <w:p w14:paraId="028D300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0.034</w:t>
            </w:r>
          </w:p>
        </w:tc>
        <w:tc>
          <w:tcPr>
            <w:tcW w:w="1400" w:type="dxa"/>
            <w:tcBorders>
              <w:top w:val="nil"/>
              <w:left w:val="nil"/>
              <w:bottom w:val="nil"/>
              <w:right w:val="nil"/>
            </w:tcBorders>
            <w:shd w:val="clear" w:color="000000" w:fill="FFFFFF"/>
            <w:noWrap/>
            <w:vAlign w:val="center"/>
            <w:hideMark/>
          </w:tcPr>
          <w:p w14:paraId="7D792D1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0.024</w:t>
            </w:r>
          </w:p>
        </w:tc>
        <w:tc>
          <w:tcPr>
            <w:tcW w:w="320" w:type="dxa"/>
            <w:tcBorders>
              <w:top w:val="nil"/>
              <w:left w:val="nil"/>
              <w:bottom w:val="nil"/>
              <w:right w:val="nil"/>
            </w:tcBorders>
            <w:shd w:val="clear" w:color="000000" w:fill="FFFFFF"/>
            <w:noWrap/>
            <w:vAlign w:val="center"/>
            <w:hideMark/>
          </w:tcPr>
          <w:p w14:paraId="2CC50CA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1E824B8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0.028</w:t>
            </w:r>
          </w:p>
        </w:tc>
        <w:tc>
          <w:tcPr>
            <w:tcW w:w="1400" w:type="dxa"/>
            <w:tcBorders>
              <w:top w:val="nil"/>
              <w:left w:val="nil"/>
              <w:bottom w:val="nil"/>
              <w:right w:val="nil"/>
            </w:tcBorders>
            <w:shd w:val="clear" w:color="000000" w:fill="FFFFFF"/>
            <w:noWrap/>
            <w:vAlign w:val="center"/>
            <w:hideMark/>
          </w:tcPr>
          <w:p w14:paraId="0798B8D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0.029</w:t>
            </w:r>
          </w:p>
        </w:tc>
        <w:tc>
          <w:tcPr>
            <w:tcW w:w="320" w:type="dxa"/>
            <w:tcBorders>
              <w:top w:val="nil"/>
              <w:left w:val="nil"/>
              <w:bottom w:val="nil"/>
              <w:right w:val="nil"/>
            </w:tcBorders>
            <w:shd w:val="clear" w:color="000000" w:fill="FFFFFF"/>
            <w:noWrap/>
            <w:vAlign w:val="center"/>
            <w:hideMark/>
          </w:tcPr>
          <w:p w14:paraId="08F6C89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7E796E0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0.045</w:t>
            </w:r>
          </w:p>
        </w:tc>
        <w:tc>
          <w:tcPr>
            <w:tcW w:w="1400" w:type="dxa"/>
            <w:tcBorders>
              <w:top w:val="nil"/>
              <w:left w:val="nil"/>
              <w:bottom w:val="nil"/>
              <w:right w:val="nil"/>
            </w:tcBorders>
            <w:shd w:val="clear" w:color="000000" w:fill="FFFFFF"/>
            <w:noWrap/>
            <w:vAlign w:val="center"/>
            <w:hideMark/>
          </w:tcPr>
          <w:p w14:paraId="137F702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0.019</w:t>
            </w:r>
          </w:p>
        </w:tc>
      </w:tr>
      <w:tr w:rsidR="008C674F" w:rsidRPr="00166607" w14:paraId="24C240EA" w14:textId="77777777" w:rsidTr="008C674F">
        <w:trPr>
          <w:trHeight w:val="280"/>
        </w:trPr>
        <w:tc>
          <w:tcPr>
            <w:tcW w:w="3975" w:type="dxa"/>
            <w:tcBorders>
              <w:top w:val="nil"/>
              <w:left w:val="nil"/>
              <w:bottom w:val="nil"/>
              <w:right w:val="nil"/>
            </w:tcBorders>
            <w:shd w:val="clear" w:color="000000" w:fill="FFFFFF"/>
            <w:noWrap/>
            <w:vAlign w:val="center"/>
            <w:hideMark/>
          </w:tcPr>
          <w:p w14:paraId="1AAC8015"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66BA534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1518FC9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w:t>
            </w:r>
          </w:p>
        </w:tc>
        <w:tc>
          <w:tcPr>
            <w:tcW w:w="320" w:type="dxa"/>
            <w:tcBorders>
              <w:top w:val="nil"/>
              <w:left w:val="nil"/>
              <w:bottom w:val="nil"/>
              <w:right w:val="nil"/>
            </w:tcBorders>
            <w:shd w:val="clear" w:color="000000" w:fill="FFFFFF"/>
            <w:noWrap/>
            <w:vAlign w:val="center"/>
            <w:hideMark/>
          </w:tcPr>
          <w:p w14:paraId="7A9E2E9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216EA15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2C2F4C1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(0.013)**</w:t>
            </w:r>
          </w:p>
        </w:tc>
        <w:tc>
          <w:tcPr>
            <w:tcW w:w="320" w:type="dxa"/>
            <w:tcBorders>
              <w:top w:val="nil"/>
              <w:left w:val="nil"/>
              <w:bottom w:val="nil"/>
              <w:right w:val="nil"/>
            </w:tcBorders>
            <w:shd w:val="clear" w:color="000000" w:fill="FFFFFF"/>
            <w:noWrap/>
            <w:vAlign w:val="center"/>
            <w:hideMark/>
          </w:tcPr>
          <w:p w14:paraId="2D87A40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47ACF39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510AC20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(0.016)</w:t>
            </w:r>
          </w:p>
        </w:tc>
      </w:tr>
      <w:tr w:rsidR="008C674F" w:rsidRPr="00166607" w14:paraId="69CBD29A" w14:textId="77777777" w:rsidTr="008C674F">
        <w:trPr>
          <w:trHeight w:val="280"/>
        </w:trPr>
        <w:tc>
          <w:tcPr>
            <w:tcW w:w="3975" w:type="dxa"/>
            <w:tcBorders>
              <w:top w:val="nil"/>
              <w:left w:val="nil"/>
              <w:bottom w:val="nil"/>
              <w:right w:val="nil"/>
            </w:tcBorders>
            <w:shd w:val="clear" w:color="000000" w:fill="FFFFFF"/>
            <w:noWrap/>
            <w:vAlign w:val="center"/>
            <w:hideMark/>
          </w:tcPr>
          <w:p w14:paraId="4B411797"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a public institution as of 2012</w:t>
            </w:r>
          </w:p>
        </w:tc>
        <w:tc>
          <w:tcPr>
            <w:tcW w:w="1170" w:type="dxa"/>
            <w:tcBorders>
              <w:top w:val="nil"/>
              <w:left w:val="nil"/>
              <w:bottom w:val="nil"/>
              <w:right w:val="nil"/>
            </w:tcBorders>
            <w:shd w:val="clear" w:color="000000" w:fill="FFFFFF"/>
            <w:noWrap/>
            <w:vAlign w:val="center"/>
            <w:hideMark/>
          </w:tcPr>
          <w:p w14:paraId="1B32D9B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c>
          <w:tcPr>
            <w:tcW w:w="1400" w:type="dxa"/>
            <w:tcBorders>
              <w:top w:val="nil"/>
              <w:left w:val="nil"/>
              <w:bottom w:val="nil"/>
              <w:right w:val="nil"/>
            </w:tcBorders>
            <w:shd w:val="clear" w:color="000000" w:fill="FFFFFF"/>
            <w:noWrap/>
            <w:vAlign w:val="center"/>
            <w:hideMark/>
          </w:tcPr>
          <w:p w14:paraId="08D8185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0.004</w:t>
            </w:r>
          </w:p>
        </w:tc>
        <w:tc>
          <w:tcPr>
            <w:tcW w:w="320" w:type="dxa"/>
            <w:tcBorders>
              <w:top w:val="nil"/>
              <w:left w:val="nil"/>
              <w:bottom w:val="nil"/>
              <w:right w:val="nil"/>
            </w:tcBorders>
            <w:shd w:val="clear" w:color="000000" w:fill="FFFFFF"/>
            <w:noWrap/>
            <w:vAlign w:val="center"/>
            <w:hideMark/>
          </w:tcPr>
          <w:p w14:paraId="652B15B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40ED630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c>
          <w:tcPr>
            <w:tcW w:w="1400" w:type="dxa"/>
            <w:tcBorders>
              <w:top w:val="nil"/>
              <w:left w:val="nil"/>
              <w:bottom w:val="nil"/>
              <w:right w:val="nil"/>
            </w:tcBorders>
            <w:shd w:val="clear" w:color="000000" w:fill="FFFFFF"/>
            <w:noWrap/>
            <w:vAlign w:val="center"/>
            <w:hideMark/>
          </w:tcPr>
          <w:p w14:paraId="6DFCD0F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0.004</w:t>
            </w:r>
          </w:p>
        </w:tc>
        <w:tc>
          <w:tcPr>
            <w:tcW w:w="320" w:type="dxa"/>
            <w:tcBorders>
              <w:top w:val="nil"/>
              <w:left w:val="nil"/>
              <w:bottom w:val="nil"/>
              <w:right w:val="nil"/>
            </w:tcBorders>
            <w:shd w:val="clear" w:color="000000" w:fill="FFFFFF"/>
            <w:noWrap/>
            <w:vAlign w:val="center"/>
            <w:hideMark/>
          </w:tcPr>
          <w:p w14:paraId="16E89FB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75450EF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0.003</w:t>
            </w:r>
          </w:p>
        </w:tc>
        <w:tc>
          <w:tcPr>
            <w:tcW w:w="1400" w:type="dxa"/>
            <w:tcBorders>
              <w:top w:val="nil"/>
              <w:left w:val="nil"/>
              <w:bottom w:val="nil"/>
              <w:right w:val="nil"/>
            </w:tcBorders>
            <w:shd w:val="clear" w:color="000000" w:fill="FFFFFF"/>
            <w:noWrap/>
            <w:vAlign w:val="center"/>
            <w:hideMark/>
          </w:tcPr>
          <w:p w14:paraId="755C1CD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0.003</w:t>
            </w:r>
          </w:p>
        </w:tc>
      </w:tr>
      <w:tr w:rsidR="008C674F" w:rsidRPr="00166607" w14:paraId="644A01C1" w14:textId="77777777" w:rsidTr="008C674F">
        <w:trPr>
          <w:trHeight w:val="280"/>
        </w:trPr>
        <w:tc>
          <w:tcPr>
            <w:tcW w:w="3975" w:type="dxa"/>
            <w:tcBorders>
              <w:top w:val="nil"/>
              <w:left w:val="nil"/>
              <w:bottom w:val="nil"/>
              <w:right w:val="nil"/>
            </w:tcBorders>
            <w:shd w:val="clear" w:color="000000" w:fill="FFFFFF"/>
            <w:noWrap/>
            <w:vAlign w:val="center"/>
            <w:hideMark/>
          </w:tcPr>
          <w:p w14:paraId="4B5B3E14"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066960D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13B47D8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(0.004)</w:t>
            </w:r>
          </w:p>
        </w:tc>
        <w:tc>
          <w:tcPr>
            <w:tcW w:w="320" w:type="dxa"/>
            <w:tcBorders>
              <w:top w:val="nil"/>
              <w:left w:val="nil"/>
              <w:bottom w:val="nil"/>
              <w:right w:val="nil"/>
            </w:tcBorders>
            <w:shd w:val="clear" w:color="000000" w:fill="FFFFFF"/>
            <w:noWrap/>
            <w:vAlign w:val="center"/>
            <w:hideMark/>
          </w:tcPr>
          <w:p w14:paraId="0E3FAB9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3BA563C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52F22A3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c>
          <w:tcPr>
            <w:tcW w:w="320" w:type="dxa"/>
            <w:tcBorders>
              <w:top w:val="nil"/>
              <w:left w:val="nil"/>
              <w:bottom w:val="nil"/>
              <w:right w:val="nil"/>
            </w:tcBorders>
            <w:shd w:val="clear" w:color="000000" w:fill="FFFFFF"/>
            <w:noWrap/>
            <w:vAlign w:val="center"/>
            <w:hideMark/>
          </w:tcPr>
          <w:p w14:paraId="2F4AD7D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6547856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03D6D8D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r>
      <w:tr w:rsidR="008C674F" w:rsidRPr="00166607" w14:paraId="0DDE5248" w14:textId="77777777" w:rsidTr="008C674F">
        <w:trPr>
          <w:trHeight w:val="280"/>
        </w:trPr>
        <w:tc>
          <w:tcPr>
            <w:tcW w:w="3975" w:type="dxa"/>
            <w:tcBorders>
              <w:top w:val="nil"/>
              <w:left w:val="nil"/>
              <w:bottom w:val="nil"/>
              <w:right w:val="nil"/>
            </w:tcBorders>
            <w:shd w:val="clear" w:color="000000" w:fill="FFFFFF"/>
            <w:noWrap/>
            <w:vAlign w:val="center"/>
            <w:hideMark/>
          </w:tcPr>
          <w:p w14:paraId="06322BCC"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Graduated from tertiary education as of 2012</w:t>
            </w:r>
          </w:p>
        </w:tc>
        <w:tc>
          <w:tcPr>
            <w:tcW w:w="1170" w:type="dxa"/>
            <w:tcBorders>
              <w:top w:val="nil"/>
              <w:left w:val="nil"/>
              <w:bottom w:val="nil"/>
              <w:right w:val="nil"/>
            </w:tcBorders>
            <w:shd w:val="clear" w:color="000000" w:fill="FFFFFF"/>
            <w:noWrap/>
            <w:vAlign w:val="center"/>
            <w:hideMark/>
          </w:tcPr>
          <w:p w14:paraId="4DC6ED0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0.057</w:t>
            </w:r>
          </w:p>
        </w:tc>
        <w:tc>
          <w:tcPr>
            <w:tcW w:w="1400" w:type="dxa"/>
            <w:tcBorders>
              <w:top w:val="nil"/>
              <w:left w:val="nil"/>
              <w:bottom w:val="nil"/>
              <w:right w:val="nil"/>
            </w:tcBorders>
            <w:shd w:val="clear" w:color="000000" w:fill="FFFFFF"/>
            <w:noWrap/>
            <w:vAlign w:val="center"/>
            <w:hideMark/>
          </w:tcPr>
          <w:p w14:paraId="6380F18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0.012</w:t>
            </w:r>
          </w:p>
        </w:tc>
        <w:tc>
          <w:tcPr>
            <w:tcW w:w="320" w:type="dxa"/>
            <w:tcBorders>
              <w:top w:val="nil"/>
              <w:left w:val="nil"/>
              <w:bottom w:val="nil"/>
              <w:right w:val="nil"/>
            </w:tcBorders>
            <w:shd w:val="clear" w:color="000000" w:fill="FFFFFF"/>
            <w:noWrap/>
            <w:vAlign w:val="center"/>
            <w:hideMark/>
          </w:tcPr>
          <w:p w14:paraId="64BF824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21F6497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0.053</w:t>
            </w:r>
          </w:p>
        </w:tc>
        <w:tc>
          <w:tcPr>
            <w:tcW w:w="1400" w:type="dxa"/>
            <w:tcBorders>
              <w:top w:val="nil"/>
              <w:left w:val="nil"/>
              <w:bottom w:val="nil"/>
              <w:right w:val="nil"/>
            </w:tcBorders>
            <w:shd w:val="clear" w:color="000000" w:fill="FFFFFF"/>
            <w:noWrap/>
            <w:vAlign w:val="center"/>
            <w:hideMark/>
          </w:tcPr>
          <w:p w14:paraId="006C57D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0.004</w:t>
            </w:r>
          </w:p>
        </w:tc>
        <w:tc>
          <w:tcPr>
            <w:tcW w:w="320" w:type="dxa"/>
            <w:tcBorders>
              <w:top w:val="nil"/>
              <w:left w:val="nil"/>
              <w:bottom w:val="nil"/>
              <w:right w:val="nil"/>
            </w:tcBorders>
            <w:shd w:val="clear" w:color="000000" w:fill="FFFFFF"/>
            <w:noWrap/>
            <w:vAlign w:val="center"/>
            <w:hideMark/>
          </w:tcPr>
          <w:p w14:paraId="5773444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7C100C5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0.066</w:t>
            </w:r>
          </w:p>
        </w:tc>
        <w:tc>
          <w:tcPr>
            <w:tcW w:w="1400" w:type="dxa"/>
            <w:tcBorders>
              <w:top w:val="nil"/>
              <w:left w:val="nil"/>
              <w:bottom w:val="nil"/>
              <w:right w:val="nil"/>
            </w:tcBorders>
            <w:shd w:val="clear" w:color="000000" w:fill="FFFFFF"/>
            <w:noWrap/>
            <w:vAlign w:val="center"/>
            <w:hideMark/>
          </w:tcPr>
          <w:p w14:paraId="0EB6977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0.017</w:t>
            </w:r>
          </w:p>
        </w:tc>
      </w:tr>
      <w:tr w:rsidR="008C674F" w:rsidRPr="00166607" w14:paraId="5A7D52D5" w14:textId="77777777" w:rsidTr="008C674F">
        <w:trPr>
          <w:trHeight w:val="280"/>
        </w:trPr>
        <w:tc>
          <w:tcPr>
            <w:tcW w:w="3975" w:type="dxa"/>
            <w:tcBorders>
              <w:top w:val="nil"/>
              <w:left w:val="nil"/>
              <w:bottom w:val="nil"/>
              <w:right w:val="nil"/>
            </w:tcBorders>
            <w:shd w:val="clear" w:color="000000" w:fill="FFFFFF"/>
            <w:noWrap/>
            <w:vAlign w:val="center"/>
            <w:hideMark/>
          </w:tcPr>
          <w:p w14:paraId="25074CA7"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24147AD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40BA1BB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(0.011)</w:t>
            </w:r>
          </w:p>
        </w:tc>
        <w:tc>
          <w:tcPr>
            <w:tcW w:w="320" w:type="dxa"/>
            <w:tcBorders>
              <w:top w:val="nil"/>
              <w:left w:val="nil"/>
              <w:bottom w:val="nil"/>
              <w:right w:val="nil"/>
            </w:tcBorders>
            <w:shd w:val="clear" w:color="000000" w:fill="FFFFFF"/>
            <w:noWrap/>
            <w:vAlign w:val="center"/>
            <w:hideMark/>
          </w:tcPr>
          <w:p w14:paraId="3EC72F5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7A7055A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4293C0B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(0.015)</w:t>
            </w:r>
          </w:p>
        </w:tc>
        <w:tc>
          <w:tcPr>
            <w:tcW w:w="320" w:type="dxa"/>
            <w:tcBorders>
              <w:top w:val="nil"/>
              <w:left w:val="nil"/>
              <w:bottom w:val="nil"/>
              <w:right w:val="nil"/>
            </w:tcBorders>
            <w:shd w:val="clear" w:color="000000" w:fill="FFFFFF"/>
            <w:noWrap/>
            <w:vAlign w:val="center"/>
            <w:hideMark/>
          </w:tcPr>
          <w:p w14:paraId="3954F17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0AC12D6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2FF80FA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(0.019)</w:t>
            </w:r>
          </w:p>
        </w:tc>
      </w:tr>
      <w:tr w:rsidR="008C674F" w:rsidRPr="00166607" w14:paraId="00F739FF" w14:textId="77777777" w:rsidTr="008C674F">
        <w:trPr>
          <w:trHeight w:val="280"/>
        </w:trPr>
        <w:tc>
          <w:tcPr>
            <w:tcW w:w="3975" w:type="dxa"/>
            <w:tcBorders>
              <w:top w:val="nil"/>
              <w:left w:val="nil"/>
              <w:bottom w:val="nil"/>
              <w:right w:val="nil"/>
            </w:tcBorders>
            <w:shd w:val="clear" w:color="000000" w:fill="FFFFFF"/>
            <w:noWrap/>
            <w:vAlign w:val="center"/>
            <w:hideMark/>
          </w:tcPr>
          <w:p w14:paraId="14DF9511"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Years of tertiary education</w:t>
            </w:r>
          </w:p>
        </w:tc>
        <w:tc>
          <w:tcPr>
            <w:tcW w:w="1170" w:type="dxa"/>
            <w:tcBorders>
              <w:top w:val="nil"/>
              <w:left w:val="nil"/>
              <w:bottom w:val="nil"/>
              <w:right w:val="nil"/>
            </w:tcBorders>
            <w:shd w:val="clear" w:color="000000" w:fill="FFFFFF"/>
            <w:noWrap/>
            <w:vAlign w:val="center"/>
            <w:hideMark/>
          </w:tcPr>
          <w:p w14:paraId="60665EE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0.463</w:t>
            </w:r>
          </w:p>
        </w:tc>
        <w:tc>
          <w:tcPr>
            <w:tcW w:w="1400" w:type="dxa"/>
            <w:tcBorders>
              <w:top w:val="nil"/>
              <w:left w:val="nil"/>
              <w:bottom w:val="nil"/>
              <w:right w:val="nil"/>
            </w:tcBorders>
            <w:shd w:val="clear" w:color="000000" w:fill="FFFFFF"/>
            <w:noWrap/>
            <w:vAlign w:val="center"/>
            <w:hideMark/>
          </w:tcPr>
          <w:p w14:paraId="52549B5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0.093</w:t>
            </w:r>
          </w:p>
        </w:tc>
        <w:tc>
          <w:tcPr>
            <w:tcW w:w="320" w:type="dxa"/>
            <w:tcBorders>
              <w:top w:val="nil"/>
              <w:left w:val="nil"/>
              <w:bottom w:val="nil"/>
              <w:right w:val="nil"/>
            </w:tcBorders>
            <w:shd w:val="clear" w:color="000000" w:fill="FFFFFF"/>
            <w:noWrap/>
            <w:vAlign w:val="center"/>
            <w:hideMark/>
          </w:tcPr>
          <w:p w14:paraId="12D7378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6579623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0.455</w:t>
            </w:r>
          </w:p>
        </w:tc>
        <w:tc>
          <w:tcPr>
            <w:tcW w:w="1400" w:type="dxa"/>
            <w:tcBorders>
              <w:top w:val="nil"/>
              <w:left w:val="nil"/>
              <w:bottom w:val="nil"/>
              <w:right w:val="nil"/>
            </w:tcBorders>
            <w:shd w:val="clear" w:color="000000" w:fill="FFFFFF"/>
            <w:noWrap/>
            <w:vAlign w:val="center"/>
            <w:hideMark/>
          </w:tcPr>
          <w:p w14:paraId="7CB90E8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0.035</w:t>
            </w:r>
          </w:p>
        </w:tc>
        <w:tc>
          <w:tcPr>
            <w:tcW w:w="320" w:type="dxa"/>
            <w:tcBorders>
              <w:top w:val="nil"/>
              <w:left w:val="nil"/>
              <w:bottom w:val="nil"/>
              <w:right w:val="nil"/>
            </w:tcBorders>
            <w:shd w:val="clear" w:color="000000" w:fill="FFFFFF"/>
            <w:noWrap/>
            <w:vAlign w:val="center"/>
            <w:hideMark/>
          </w:tcPr>
          <w:p w14:paraId="627010C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003FE51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0.489</w:t>
            </w:r>
          </w:p>
        </w:tc>
        <w:tc>
          <w:tcPr>
            <w:tcW w:w="1400" w:type="dxa"/>
            <w:tcBorders>
              <w:top w:val="nil"/>
              <w:left w:val="nil"/>
              <w:bottom w:val="nil"/>
              <w:right w:val="nil"/>
            </w:tcBorders>
            <w:shd w:val="clear" w:color="000000" w:fill="FFFFFF"/>
            <w:noWrap/>
            <w:vAlign w:val="center"/>
            <w:hideMark/>
          </w:tcPr>
          <w:p w14:paraId="2E43FAB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0.165</w:t>
            </w:r>
          </w:p>
        </w:tc>
      </w:tr>
      <w:tr w:rsidR="008C674F" w:rsidRPr="00166607" w14:paraId="4FFC671C" w14:textId="77777777" w:rsidTr="008C674F">
        <w:trPr>
          <w:trHeight w:val="280"/>
        </w:trPr>
        <w:tc>
          <w:tcPr>
            <w:tcW w:w="3975" w:type="dxa"/>
            <w:tcBorders>
              <w:top w:val="nil"/>
              <w:left w:val="nil"/>
              <w:bottom w:val="nil"/>
              <w:right w:val="nil"/>
            </w:tcBorders>
            <w:shd w:val="clear" w:color="000000" w:fill="FFFFFF"/>
            <w:noWrap/>
            <w:vAlign w:val="center"/>
            <w:hideMark/>
          </w:tcPr>
          <w:p w14:paraId="2778ADE0"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5BB333B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(1.25)</w:t>
            </w:r>
          </w:p>
        </w:tc>
        <w:tc>
          <w:tcPr>
            <w:tcW w:w="1400" w:type="dxa"/>
            <w:tcBorders>
              <w:top w:val="nil"/>
              <w:left w:val="nil"/>
              <w:bottom w:val="nil"/>
              <w:right w:val="nil"/>
            </w:tcBorders>
            <w:shd w:val="clear" w:color="000000" w:fill="FFFFFF"/>
            <w:noWrap/>
            <w:vAlign w:val="center"/>
            <w:hideMark/>
          </w:tcPr>
          <w:p w14:paraId="04D46B9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(0.06)</w:t>
            </w:r>
          </w:p>
        </w:tc>
        <w:tc>
          <w:tcPr>
            <w:tcW w:w="320" w:type="dxa"/>
            <w:tcBorders>
              <w:top w:val="nil"/>
              <w:left w:val="nil"/>
              <w:bottom w:val="nil"/>
              <w:right w:val="nil"/>
            </w:tcBorders>
            <w:shd w:val="clear" w:color="000000" w:fill="FFFFFF"/>
            <w:noWrap/>
            <w:vAlign w:val="center"/>
            <w:hideMark/>
          </w:tcPr>
          <w:p w14:paraId="6430F33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44EFAA5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(1.228)</w:t>
            </w:r>
          </w:p>
        </w:tc>
        <w:tc>
          <w:tcPr>
            <w:tcW w:w="1400" w:type="dxa"/>
            <w:tcBorders>
              <w:top w:val="nil"/>
              <w:left w:val="nil"/>
              <w:bottom w:val="nil"/>
              <w:right w:val="nil"/>
            </w:tcBorders>
            <w:shd w:val="clear" w:color="000000" w:fill="FFFFFF"/>
            <w:noWrap/>
            <w:vAlign w:val="center"/>
            <w:hideMark/>
          </w:tcPr>
          <w:p w14:paraId="3966ED9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(0.08)</w:t>
            </w:r>
          </w:p>
        </w:tc>
        <w:tc>
          <w:tcPr>
            <w:tcW w:w="320" w:type="dxa"/>
            <w:tcBorders>
              <w:top w:val="nil"/>
              <w:left w:val="nil"/>
              <w:bottom w:val="nil"/>
              <w:right w:val="nil"/>
            </w:tcBorders>
            <w:shd w:val="clear" w:color="000000" w:fill="FFFFFF"/>
            <w:noWrap/>
            <w:vAlign w:val="center"/>
            <w:hideMark/>
          </w:tcPr>
          <w:p w14:paraId="3CB5FB8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2C7FF21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(1.293)</w:t>
            </w:r>
          </w:p>
        </w:tc>
        <w:tc>
          <w:tcPr>
            <w:tcW w:w="1400" w:type="dxa"/>
            <w:tcBorders>
              <w:top w:val="nil"/>
              <w:left w:val="nil"/>
              <w:bottom w:val="nil"/>
              <w:right w:val="nil"/>
            </w:tcBorders>
            <w:shd w:val="clear" w:color="000000" w:fill="FFFFFF"/>
            <w:noWrap/>
            <w:vAlign w:val="center"/>
            <w:hideMark/>
          </w:tcPr>
          <w:p w14:paraId="43773A1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(0.098)*</w:t>
            </w:r>
          </w:p>
        </w:tc>
      </w:tr>
      <w:tr w:rsidR="008C674F" w:rsidRPr="00166607" w14:paraId="1832833B" w14:textId="77777777" w:rsidTr="008C674F">
        <w:trPr>
          <w:trHeight w:val="280"/>
        </w:trPr>
        <w:tc>
          <w:tcPr>
            <w:tcW w:w="3975" w:type="dxa"/>
            <w:tcBorders>
              <w:top w:val="nil"/>
              <w:left w:val="nil"/>
              <w:bottom w:val="nil"/>
              <w:right w:val="nil"/>
            </w:tcBorders>
            <w:shd w:val="clear" w:color="000000" w:fill="FFFFFF"/>
            <w:noWrap/>
            <w:vAlign w:val="center"/>
            <w:hideMark/>
          </w:tcPr>
          <w:p w14:paraId="210C8673"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Ever received government financial aid</w:t>
            </w:r>
          </w:p>
        </w:tc>
        <w:tc>
          <w:tcPr>
            <w:tcW w:w="1170" w:type="dxa"/>
            <w:tcBorders>
              <w:top w:val="nil"/>
              <w:left w:val="nil"/>
              <w:bottom w:val="nil"/>
              <w:right w:val="nil"/>
            </w:tcBorders>
            <w:shd w:val="clear" w:color="000000" w:fill="FFFFFF"/>
            <w:noWrap/>
            <w:vAlign w:val="center"/>
            <w:hideMark/>
          </w:tcPr>
          <w:p w14:paraId="788EA51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0.017</w:t>
            </w:r>
          </w:p>
        </w:tc>
        <w:tc>
          <w:tcPr>
            <w:tcW w:w="1400" w:type="dxa"/>
            <w:tcBorders>
              <w:top w:val="nil"/>
              <w:left w:val="nil"/>
              <w:bottom w:val="nil"/>
              <w:right w:val="nil"/>
            </w:tcBorders>
            <w:shd w:val="clear" w:color="000000" w:fill="FFFFFF"/>
            <w:noWrap/>
            <w:vAlign w:val="center"/>
            <w:hideMark/>
          </w:tcPr>
          <w:p w14:paraId="13616AB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0.008</w:t>
            </w:r>
          </w:p>
        </w:tc>
        <w:tc>
          <w:tcPr>
            <w:tcW w:w="320" w:type="dxa"/>
            <w:tcBorders>
              <w:top w:val="nil"/>
              <w:left w:val="nil"/>
              <w:bottom w:val="nil"/>
              <w:right w:val="nil"/>
            </w:tcBorders>
            <w:shd w:val="clear" w:color="000000" w:fill="FFFFFF"/>
            <w:noWrap/>
            <w:vAlign w:val="center"/>
            <w:hideMark/>
          </w:tcPr>
          <w:p w14:paraId="1B47708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1EB3DB0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0.018</w:t>
            </w:r>
          </w:p>
        </w:tc>
        <w:tc>
          <w:tcPr>
            <w:tcW w:w="1400" w:type="dxa"/>
            <w:tcBorders>
              <w:top w:val="nil"/>
              <w:left w:val="nil"/>
              <w:bottom w:val="nil"/>
              <w:right w:val="nil"/>
            </w:tcBorders>
            <w:shd w:val="clear" w:color="000000" w:fill="FFFFFF"/>
            <w:noWrap/>
            <w:vAlign w:val="center"/>
            <w:hideMark/>
          </w:tcPr>
          <w:p w14:paraId="74E6976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0.004</w:t>
            </w:r>
          </w:p>
        </w:tc>
        <w:tc>
          <w:tcPr>
            <w:tcW w:w="320" w:type="dxa"/>
            <w:tcBorders>
              <w:top w:val="nil"/>
              <w:left w:val="nil"/>
              <w:bottom w:val="nil"/>
              <w:right w:val="nil"/>
            </w:tcBorders>
            <w:shd w:val="clear" w:color="000000" w:fill="FFFFFF"/>
            <w:noWrap/>
            <w:vAlign w:val="center"/>
            <w:hideMark/>
          </w:tcPr>
          <w:p w14:paraId="4D4B078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526DDB2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0.015</w:t>
            </w:r>
          </w:p>
        </w:tc>
        <w:tc>
          <w:tcPr>
            <w:tcW w:w="1400" w:type="dxa"/>
            <w:tcBorders>
              <w:top w:val="nil"/>
              <w:left w:val="nil"/>
              <w:bottom w:val="nil"/>
              <w:right w:val="nil"/>
            </w:tcBorders>
            <w:shd w:val="clear" w:color="000000" w:fill="FFFFFF"/>
            <w:noWrap/>
            <w:vAlign w:val="center"/>
            <w:hideMark/>
          </w:tcPr>
          <w:p w14:paraId="5B7E529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0.015</w:t>
            </w:r>
          </w:p>
        </w:tc>
      </w:tr>
      <w:tr w:rsidR="008C674F" w:rsidRPr="00166607" w14:paraId="1BAE97DC" w14:textId="77777777" w:rsidTr="008C674F">
        <w:trPr>
          <w:trHeight w:val="280"/>
        </w:trPr>
        <w:tc>
          <w:tcPr>
            <w:tcW w:w="3975" w:type="dxa"/>
            <w:tcBorders>
              <w:top w:val="nil"/>
              <w:left w:val="nil"/>
              <w:bottom w:val="nil"/>
              <w:right w:val="nil"/>
            </w:tcBorders>
            <w:shd w:val="clear" w:color="000000" w:fill="FFFFFF"/>
            <w:vAlign w:val="center"/>
            <w:hideMark/>
          </w:tcPr>
          <w:p w14:paraId="64E14041"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306AE4F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0FDDB78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(0.007)</w:t>
            </w:r>
          </w:p>
        </w:tc>
        <w:tc>
          <w:tcPr>
            <w:tcW w:w="320" w:type="dxa"/>
            <w:tcBorders>
              <w:top w:val="nil"/>
              <w:left w:val="nil"/>
              <w:bottom w:val="nil"/>
              <w:right w:val="nil"/>
            </w:tcBorders>
            <w:shd w:val="clear" w:color="000000" w:fill="FFFFFF"/>
            <w:noWrap/>
            <w:vAlign w:val="center"/>
            <w:hideMark/>
          </w:tcPr>
          <w:p w14:paraId="47D6CF4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16DA755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55D54ED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(0.009)</w:t>
            </w:r>
          </w:p>
        </w:tc>
        <w:tc>
          <w:tcPr>
            <w:tcW w:w="320" w:type="dxa"/>
            <w:tcBorders>
              <w:top w:val="nil"/>
              <w:left w:val="nil"/>
              <w:bottom w:val="nil"/>
              <w:right w:val="nil"/>
            </w:tcBorders>
            <w:shd w:val="clear" w:color="000000" w:fill="FFFFFF"/>
            <w:noWrap/>
            <w:vAlign w:val="center"/>
            <w:hideMark/>
          </w:tcPr>
          <w:p w14:paraId="733DA68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1F2B6E6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60363C2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w:t>
            </w:r>
          </w:p>
        </w:tc>
      </w:tr>
      <w:tr w:rsidR="008C674F" w:rsidRPr="00166607" w14:paraId="6C33D2D9" w14:textId="77777777" w:rsidTr="008C674F">
        <w:trPr>
          <w:trHeight w:val="330"/>
        </w:trPr>
        <w:tc>
          <w:tcPr>
            <w:tcW w:w="3975" w:type="dxa"/>
            <w:tcBorders>
              <w:top w:val="nil"/>
              <w:left w:val="nil"/>
              <w:bottom w:val="nil"/>
              <w:right w:val="nil"/>
            </w:tcBorders>
            <w:shd w:val="clear" w:color="000000" w:fill="FFFFFF"/>
            <w:vAlign w:val="center"/>
            <w:hideMark/>
          </w:tcPr>
          <w:p w14:paraId="140497C9" w14:textId="77777777" w:rsidR="00484342" w:rsidRPr="00166607" w:rsidRDefault="00484342" w:rsidP="00484342">
            <w:pPr>
              <w:rPr>
                <w:rFonts w:ascii="Times New Roman" w:eastAsia="Times New Roman" w:hAnsi="Times New Roman"/>
                <w:i/>
                <w:iCs/>
                <w:color w:val="000000"/>
                <w:sz w:val="20"/>
                <w:szCs w:val="20"/>
              </w:rPr>
            </w:pPr>
            <w:r w:rsidRPr="00166607">
              <w:rPr>
                <w:rFonts w:ascii="Times New Roman" w:eastAsia="Times New Roman" w:hAnsi="Times New Roman"/>
                <w:i/>
                <w:iCs/>
                <w:color w:val="000000"/>
                <w:sz w:val="20"/>
                <w:szCs w:val="20"/>
              </w:rPr>
              <w:t>N</w:t>
            </w:r>
          </w:p>
        </w:tc>
        <w:tc>
          <w:tcPr>
            <w:tcW w:w="1170" w:type="dxa"/>
            <w:tcBorders>
              <w:top w:val="nil"/>
              <w:left w:val="nil"/>
              <w:bottom w:val="nil"/>
              <w:right w:val="nil"/>
            </w:tcBorders>
            <w:shd w:val="clear" w:color="000000" w:fill="FFFFFF"/>
            <w:noWrap/>
            <w:vAlign w:val="center"/>
            <w:hideMark/>
          </w:tcPr>
          <w:p w14:paraId="0F3FAAB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775</w:t>
            </w:r>
          </w:p>
        </w:tc>
        <w:tc>
          <w:tcPr>
            <w:tcW w:w="1400" w:type="dxa"/>
            <w:tcBorders>
              <w:top w:val="nil"/>
              <w:left w:val="nil"/>
              <w:bottom w:val="nil"/>
              <w:right w:val="nil"/>
            </w:tcBorders>
            <w:shd w:val="clear" w:color="000000" w:fill="FFFFFF"/>
            <w:noWrap/>
            <w:vAlign w:val="center"/>
            <w:hideMark/>
          </w:tcPr>
          <w:p w14:paraId="1885579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1845</w:t>
            </w:r>
          </w:p>
        </w:tc>
        <w:tc>
          <w:tcPr>
            <w:tcW w:w="320" w:type="dxa"/>
            <w:tcBorders>
              <w:top w:val="nil"/>
              <w:left w:val="nil"/>
              <w:bottom w:val="nil"/>
              <w:right w:val="nil"/>
            </w:tcBorders>
            <w:shd w:val="clear" w:color="000000" w:fill="FFFFFF"/>
            <w:vAlign w:val="center"/>
            <w:hideMark/>
          </w:tcPr>
          <w:p w14:paraId="4E7E3AA2" w14:textId="77777777" w:rsidR="00484342" w:rsidRPr="00166607" w:rsidRDefault="00484342" w:rsidP="00484342">
            <w:pPr>
              <w:jc w:val="center"/>
              <w:rPr>
                <w:rFonts w:ascii="Times New Roman" w:eastAsia="Times New Roman" w:hAnsi="Times New Roman"/>
                <w:i/>
                <w:iCs/>
                <w:color w:val="000000"/>
                <w:sz w:val="20"/>
                <w:szCs w:val="20"/>
              </w:rPr>
            </w:pPr>
            <w:r w:rsidRPr="00166607">
              <w:rPr>
                <w:rFonts w:ascii="Times New Roman" w:eastAsia="Times New Roman" w:hAnsi="Times New Roman"/>
                <w:i/>
                <w:iCs/>
                <w:color w:val="000000"/>
                <w:sz w:val="20"/>
                <w:szCs w:val="20"/>
              </w:rPr>
              <w:t> </w:t>
            </w:r>
          </w:p>
        </w:tc>
        <w:tc>
          <w:tcPr>
            <w:tcW w:w="1160" w:type="dxa"/>
            <w:tcBorders>
              <w:top w:val="nil"/>
              <w:left w:val="nil"/>
              <w:bottom w:val="single" w:sz="8" w:space="0" w:color="auto"/>
              <w:right w:val="nil"/>
            </w:tcBorders>
            <w:shd w:val="clear" w:color="000000" w:fill="FFFFFF"/>
            <w:noWrap/>
            <w:vAlign w:val="center"/>
            <w:hideMark/>
          </w:tcPr>
          <w:p w14:paraId="5B9C3F9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398</w:t>
            </w:r>
          </w:p>
        </w:tc>
        <w:tc>
          <w:tcPr>
            <w:tcW w:w="1400" w:type="dxa"/>
            <w:tcBorders>
              <w:top w:val="nil"/>
              <w:left w:val="nil"/>
              <w:bottom w:val="single" w:sz="8" w:space="0" w:color="auto"/>
              <w:right w:val="nil"/>
            </w:tcBorders>
            <w:shd w:val="clear" w:color="000000" w:fill="FFFFFF"/>
            <w:noWrap/>
            <w:vAlign w:val="center"/>
            <w:hideMark/>
          </w:tcPr>
          <w:p w14:paraId="143FEBB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933</w:t>
            </w:r>
          </w:p>
        </w:tc>
        <w:tc>
          <w:tcPr>
            <w:tcW w:w="320" w:type="dxa"/>
            <w:tcBorders>
              <w:top w:val="nil"/>
              <w:left w:val="nil"/>
              <w:bottom w:val="single" w:sz="8" w:space="0" w:color="auto"/>
              <w:right w:val="nil"/>
            </w:tcBorders>
            <w:shd w:val="clear" w:color="000000" w:fill="FFFFFF"/>
            <w:noWrap/>
            <w:vAlign w:val="center"/>
            <w:hideMark/>
          </w:tcPr>
          <w:p w14:paraId="73432C0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single" w:sz="8" w:space="0" w:color="auto"/>
              <w:right w:val="nil"/>
            </w:tcBorders>
            <w:shd w:val="clear" w:color="000000" w:fill="FFFFFF"/>
            <w:noWrap/>
            <w:vAlign w:val="center"/>
            <w:hideMark/>
          </w:tcPr>
          <w:p w14:paraId="72FD63E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333</w:t>
            </w:r>
          </w:p>
        </w:tc>
        <w:tc>
          <w:tcPr>
            <w:tcW w:w="1400" w:type="dxa"/>
            <w:tcBorders>
              <w:top w:val="nil"/>
              <w:left w:val="nil"/>
              <w:bottom w:val="single" w:sz="8" w:space="0" w:color="auto"/>
              <w:right w:val="nil"/>
            </w:tcBorders>
            <w:shd w:val="clear" w:color="000000" w:fill="FFFFFF"/>
            <w:noWrap/>
            <w:vAlign w:val="center"/>
            <w:hideMark/>
          </w:tcPr>
          <w:p w14:paraId="7DEF9BA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792</w:t>
            </w:r>
          </w:p>
        </w:tc>
      </w:tr>
      <w:tr w:rsidR="008C674F" w:rsidRPr="00166607" w14:paraId="1FB66D8A" w14:textId="77777777" w:rsidTr="008C674F">
        <w:trPr>
          <w:trHeight w:val="315"/>
        </w:trPr>
        <w:tc>
          <w:tcPr>
            <w:tcW w:w="12215" w:type="dxa"/>
            <w:gridSpan w:val="9"/>
            <w:tcBorders>
              <w:top w:val="single" w:sz="8" w:space="0" w:color="auto"/>
              <w:left w:val="nil"/>
              <w:bottom w:val="single" w:sz="8" w:space="0" w:color="auto"/>
              <w:right w:val="nil"/>
            </w:tcBorders>
            <w:shd w:val="clear" w:color="000000" w:fill="FFFFFF"/>
            <w:vAlign w:val="center"/>
            <w:hideMark/>
          </w:tcPr>
          <w:p w14:paraId="1B2CC60C" w14:textId="77777777" w:rsidR="00484342" w:rsidRPr="00166607" w:rsidRDefault="00484342" w:rsidP="00484342">
            <w:pPr>
              <w:jc w:val="center"/>
              <w:rPr>
                <w:rFonts w:ascii="Times New Roman" w:eastAsia="Times New Roman" w:hAnsi="Times New Roman"/>
                <w:i/>
                <w:iCs/>
                <w:color w:val="000000"/>
                <w:sz w:val="20"/>
                <w:szCs w:val="20"/>
              </w:rPr>
            </w:pPr>
            <w:r w:rsidRPr="00166607">
              <w:rPr>
                <w:rFonts w:ascii="Times New Roman" w:eastAsia="Times New Roman" w:hAnsi="Times New Roman"/>
                <w:i/>
                <w:iCs/>
                <w:color w:val="000000"/>
                <w:sz w:val="20"/>
                <w:szCs w:val="20"/>
              </w:rPr>
              <w:lastRenderedPageBreak/>
              <w:t>B. Males</w:t>
            </w:r>
          </w:p>
        </w:tc>
      </w:tr>
      <w:tr w:rsidR="008C674F" w:rsidRPr="00166607" w14:paraId="6561587D" w14:textId="77777777" w:rsidTr="008C674F">
        <w:trPr>
          <w:trHeight w:val="280"/>
        </w:trPr>
        <w:tc>
          <w:tcPr>
            <w:tcW w:w="3975" w:type="dxa"/>
            <w:tcBorders>
              <w:top w:val="nil"/>
              <w:left w:val="nil"/>
              <w:bottom w:val="nil"/>
              <w:right w:val="nil"/>
            </w:tcBorders>
            <w:shd w:val="clear" w:color="000000" w:fill="FFFFFF"/>
            <w:noWrap/>
            <w:vAlign w:val="center"/>
            <w:hideMark/>
          </w:tcPr>
          <w:p w14:paraId="3494FCEF"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Ever enrolled in tertiary education</w:t>
            </w:r>
          </w:p>
        </w:tc>
        <w:tc>
          <w:tcPr>
            <w:tcW w:w="1170" w:type="dxa"/>
            <w:tcBorders>
              <w:top w:val="nil"/>
              <w:left w:val="nil"/>
              <w:bottom w:val="nil"/>
              <w:right w:val="nil"/>
            </w:tcBorders>
            <w:shd w:val="clear" w:color="000000" w:fill="FFFFFF"/>
            <w:noWrap/>
            <w:vAlign w:val="center"/>
            <w:hideMark/>
          </w:tcPr>
          <w:p w14:paraId="52B8205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0.175</w:t>
            </w:r>
          </w:p>
        </w:tc>
        <w:tc>
          <w:tcPr>
            <w:tcW w:w="1400" w:type="dxa"/>
            <w:tcBorders>
              <w:top w:val="nil"/>
              <w:left w:val="nil"/>
              <w:bottom w:val="nil"/>
              <w:right w:val="nil"/>
            </w:tcBorders>
            <w:shd w:val="clear" w:color="000000" w:fill="FFFFFF"/>
            <w:noWrap/>
            <w:vAlign w:val="center"/>
            <w:hideMark/>
          </w:tcPr>
          <w:p w14:paraId="7CBD4FF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0.025</w:t>
            </w:r>
          </w:p>
        </w:tc>
        <w:tc>
          <w:tcPr>
            <w:tcW w:w="320" w:type="dxa"/>
            <w:tcBorders>
              <w:top w:val="nil"/>
              <w:left w:val="nil"/>
              <w:bottom w:val="nil"/>
              <w:right w:val="nil"/>
            </w:tcBorders>
            <w:shd w:val="clear" w:color="000000" w:fill="FFFFFF"/>
            <w:vAlign w:val="center"/>
            <w:hideMark/>
          </w:tcPr>
          <w:p w14:paraId="05B1B6F0"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0DC3C09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0.185</w:t>
            </w:r>
          </w:p>
        </w:tc>
        <w:tc>
          <w:tcPr>
            <w:tcW w:w="1400" w:type="dxa"/>
            <w:tcBorders>
              <w:top w:val="nil"/>
              <w:left w:val="nil"/>
              <w:bottom w:val="nil"/>
              <w:right w:val="nil"/>
            </w:tcBorders>
            <w:shd w:val="clear" w:color="000000" w:fill="FFFFFF"/>
            <w:noWrap/>
            <w:vAlign w:val="center"/>
            <w:hideMark/>
          </w:tcPr>
          <w:p w14:paraId="29BF816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-0.007</w:t>
            </w:r>
          </w:p>
        </w:tc>
        <w:tc>
          <w:tcPr>
            <w:tcW w:w="320" w:type="dxa"/>
            <w:tcBorders>
              <w:top w:val="nil"/>
              <w:left w:val="nil"/>
              <w:bottom w:val="nil"/>
              <w:right w:val="nil"/>
            </w:tcBorders>
            <w:shd w:val="clear" w:color="000000" w:fill="FFFFFF"/>
            <w:noWrap/>
            <w:vAlign w:val="center"/>
            <w:hideMark/>
          </w:tcPr>
          <w:p w14:paraId="32D3F02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07B1210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0.157</w:t>
            </w:r>
          </w:p>
        </w:tc>
        <w:tc>
          <w:tcPr>
            <w:tcW w:w="1400" w:type="dxa"/>
            <w:tcBorders>
              <w:top w:val="nil"/>
              <w:left w:val="nil"/>
              <w:bottom w:val="nil"/>
              <w:right w:val="nil"/>
            </w:tcBorders>
            <w:shd w:val="clear" w:color="000000" w:fill="FFFFFF"/>
            <w:noWrap/>
            <w:vAlign w:val="center"/>
            <w:hideMark/>
          </w:tcPr>
          <w:p w14:paraId="314CABA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0.098</w:t>
            </w:r>
          </w:p>
        </w:tc>
      </w:tr>
      <w:tr w:rsidR="008C674F" w:rsidRPr="00166607" w14:paraId="5264AA0A" w14:textId="77777777" w:rsidTr="008C674F">
        <w:trPr>
          <w:trHeight w:val="280"/>
        </w:trPr>
        <w:tc>
          <w:tcPr>
            <w:tcW w:w="3975" w:type="dxa"/>
            <w:tcBorders>
              <w:top w:val="nil"/>
              <w:left w:val="nil"/>
              <w:bottom w:val="nil"/>
              <w:right w:val="nil"/>
            </w:tcBorders>
            <w:shd w:val="clear" w:color="000000" w:fill="FFFFFF"/>
            <w:noWrap/>
            <w:vAlign w:val="center"/>
            <w:hideMark/>
          </w:tcPr>
          <w:p w14:paraId="628CB02A"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4A4F25A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5964752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(0.018)</w:t>
            </w:r>
          </w:p>
        </w:tc>
        <w:tc>
          <w:tcPr>
            <w:tcW w:w="320" w:type="dxa"/>
            <w:tcBorders>
              <w:top w:val="nil"/>
              <w:left w:val="nil"/>
              <w:bottom w:val="nil"/>
              <w:right w:val="nil"/>
            </w:tcBorders>
            <w:shd w:val="clear" w:color="000000" w:fill="FFFFFF"/>
            <w:vAlign w:val="center"/>
            <w:hideMark/>
          </w:tcPr>
          <w:p w14:paraId="7DEFFC56"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7AB069E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5CDB83B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(0.024)</w:t>
            </w:r>
          </w:p>
        </w:tc>
        <w:tc>
          <w:tcPr>
            <w:tcW w:w="320" w:type="dxa"/>
            <w:tcBorders>
              <w:top w:val="nil"/>
              <w:left w:val="nil"/>
              <w:bottom w:val="nil"/>
              <w:right w:val="nil"/>
            </w:tcBorders>
            <w:shd w:val="clear" w:color="000000" w:fill="FFFFFF"/>
            <w:noWrap/>
            <w:vAlign w:val="center"/>
            <w:hideMark/>
          </w:tcPr>
          <w:p w14:paraId="6C597B6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3FE0939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258AA18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w:t>
            </w:r>
          </w:p>
        </w:tc>
      </w:tr>
      <w:tr w:rsidR="008C674F" w:rsidRPr="00166607" w14:paraId="6218A07E" w14:textId="77777777" w:rsidTr="008C674F">
        <w:trPr>
          <w:trHeight w:val="280"/>
        </w:trPr>
        <w:tc>
          <w:tcPr>
            <w:tcW w:w="3975" w:type="dxa"/>
            <w:tcBorders>
              <w:top w:val="nil"/>
              <w:left w:val="nil"/>
              <w:bottom w:val="nil"/>
              <w:right w:val="nil"/>
            </w:tcBorders>
            <w:shd w:val="clear" w:color="000000" w:fill="FFFFFF"/>
            <w:noWrap/>
            <w:vAlign w:val="center"/>
            <w:hideMark/>
          </w:tcPr>
          <w:p w14:paraId="7ADC1939"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Ever enrolled in a vocational college</w:t>
            </w:r>
          </w:p>
        </w:tc>
        <w:tc>
          <w:tcPr>
            <w:tcW w:w="1170" w:type="dxa"/>
            <w:tcBorders>
              <w:top w:val="nil"/>
              <w:left w:val="nil"/>
              <w:bottom w:val="nil"/>
              <w:right w:val="nil"/>
            </w:tcBorders>
            <w:shd w:val="clear" w:color="000000" w:fill="FFFFFF"/>
            <w:noWrap/>
            <w:vAlign w:val="center"/>
            <w:hideMark/>
          </w:tcPr>
          <w:p w14:paraId="68C0868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0.058</w:t>
            </w:r>
          </w:p>
        </w:tc>
        <w:tc>
          <w:tcPr>
            <w:tcW w:w="1400" w:type="dxa"/>
            <w:tcBorders>
              <w:top w:val="nil"/>
              <w:left w:val="nil"/>
              <w:bottom w:val="nil"/>
              <w:right w:val="nil"/>
            </w:tcBorders>
            <w:shd w:val="clear" w:color="000000" w:fill="FFFFFF"/>
            <w:noWrap/>
            <w:vAlign w:val="center"/>
            <w:hideMark/>
          </w:tcPr>
          <w:p w14:paraId="3CF50B2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0.031</w:t>
            </w:r>
          </w:p>
        </w:tc>
        <w:tc>
          <w:tcPr>
            <w:tcW w:w="320" w:type="dxa"/>
            <w:tcBorders>
              <w:top w:val="nil"/>
              <w:left w:val="nil"/>
              <w:bottom w:val="nil"/>
              <w:right w:val="nil"/>
            </w:tcBorders>
            <w:shd w:val="clear" w:color="000000" w:fill="FFFFFF"/>
            <w:vAlign w:val="center"/>
            <w:hideMark/>
          </w:tcPr>
          <w:p w14:paraId="1FB9E6E2"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39DB2E6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0.059</w:t>
            </w:r>
          </w:p>
        </w:tc>
        <w:tc>
          <w:tcPr>
            <w:tcW w:w="1400" w:type="dxa"/>
            <w:tcBorders>
              <w:top w:val="nil"/>
              <w:left w:val="nil"/>
              <w:bottom w:val="nil"/>
              <w:right w:val="nil"/>
            </w:tcBorders>
            <w:shd w:val="clear" w:color="000000" w:fill="FFFFFF"/>
            <w:noWrap/>
            <w:vAlign w:val="center"/>
            <w:hideMark/>
          </w:tcPr>
          <w:p w14:paraId="289068D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0.016</w:t>
            </w:r>
          </w:p>
        </w:tc>
        <w:tc>
          <w:tcPr>
            <w:tcW w:w="320" w:type="dxa"/>
            <w:tcBorders>
              <w:top w:val="nil"/>
              <w:left w:val="nil"/>
              <w:bottom w:val="nil"/>
              <w:right w:val="nil"/>
            </w:tcBorders>
            <w:shd w:val="clear" w:color="000000" w:fill="FFFFFF"/>
            <w:noWrap/>
            <w:vAlign w:val="center"/>
            <w:hideMark/>
          </w:tcPr>
          <w:p w14:paraId="4712826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2C2281A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0.057</w:t>
            </w:r>
          </w:p>
        </w:tc>
        <w:tc>
          <w:tcPr>
            <w:tcW w:w="1400" w:type="dxa"/>
            <w:tcBorders>
              <w:top w:val="nil"/>
              <w:left w:val="nil"/>
              <w:bottom w:val="nil"/>
              <w:right w:val="nil"/>
            </w:tcBorders>
            <w:shd w:val="clear" w:color="000000" w:fill="FFFFFF"/>
            <w:noWrap/>
            <w:vAlign w:val="center"/>
            <w:hideMark/>
          </w:tcPr>
          <w:p w14:paraId="42D4359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0.061</w:t>
            </w:r>
          </w:p>
        </w:tc>
      </w:tr>
      <w:tr w:rsidR="008C674F" w:rsidRPr="00166607" w14:paraId="337167C3" w14:textId="77777777" w:rsidTr="008C674F">
        <w:trPr>
          <w:trHeight w:val="280"/>
        </w:trPr>
        <w:tc>
          <w:tcPr>
            <w:tcW w:w="3975" w:type="dxa"/>
            <w:tcBorders>
              <w:top w:val="nil"/>
              <w:left w:val="nil"/>
              <w:bottom w:val="nil"/>
              <w:right w:val="nil"/>
            </w:tcBorders>
            <w:shd w:val="clear" w:color="000000" w:fill="FFFFFF"/>
            <w:noWrap/>
            <w:vAlign w:val="center"/>
            <w:hideMark/>
          </w:tcPr>
          <w:p w14:paraId="65D1FC47"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43C82F5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71CC3C7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(0.012)**</w:t>
            </w:r>
          </w:p>
        </w:tc>
        <w:tc>
          <w:tcPr>
            <w:tcW w:w="320" w:type="dxa"/>
            <w:tcBorders>
              <w:top w:val="nil"/>
              <w:left w:val="nil"/>
              <w:bottom w:val="nil"/>
              <w:right w:val="nil"/>
            </w:tcBorders>
            <w:shd w:val="clear" w:color="000000" w:fill="FFFFFF"/>
            <w:vAlign w:val="center"/>
            <w:hideMark/>
          </w:tcPr>
          <w:p w14:paraId="4338C613" w14:textId="77777777" w:rsidR="00484342" w:rsidRPr="00166607" w:rsidRDefault="00484342" w:rsidP="00484342">
            <w:pPr>
              <w:rPr>
                <w:rFonts w:ascii="Calibri" w:eastAsia="Times New Roman" w:hAnsi="Calibri"/>
                <w:color w:val="000000"/>
                <w:sz w:val="20"/>
                <w:szCs w:val="20"/>
              </w:rPr>
            </w:pPr>
            <w:r w:rsidRPr="00166607">
              <w:rPr>
                <w:rFonts w:ascii="Calibri" w:eastAsia="Times New Roman" w:hAnsi="Calibri"/>
                <w:color w:val="000000"/>
                <w:sz w:val="20"/>
                <w:szCs w:val="20"/>
              </w:rPr>
              <w:t> </w:t>
            </w:r>
          </w:p>
        </w:tc>
        <w:tc>
          <w:tcPr>
            <w:tcW w:w="1160" w:type="dxa"/>
            <w:tcBorders>
              <w:top w:val="nil"/>
              <w:left w:val="nil"/>
              <w:bottom w:val="nil"/>
              <w:right w:val="nil"/>
            </w:tcBorders>
            <w:shd w:val="clear" w:color="000000" w:fill="FFFFFF"/>
            <w:noWrap/>
            <w:vAlign w:val="center"/>
            <w:hideMark/>
          </w:tcPr>
          <w:p w14:paraId="741391C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2DCB849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(0.016)</w:t>
            </w:r>
          </w:p>
        </w:tc>
        <w:tc>
          <w:tcPr>
            <w:tcW w:w="320" w:type="dxa"/>
            <w:tcBorders>
              <w:top w:val="nil"/>
              <w:left w:val="nil"/>
              <w:bottom w:val="nil"/>
              <w:right w:val="nil"/>
            </w:tcBorders>
            <w:shd w:val="clear" w:color="000000" w:fill="FFFFFF"/>
            <w:noWrap/>
            <w:vAlign w:val="center"/>
            <w:hideMark/>
          </w:tcPr>
          <w:p w14:paraId="73A94E1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4124E68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3FAB8DF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(0.021)***</w:t>
            </w:r>
          </w:p>
        </w:tc>
      </w:tr>
      <w:tr w:rsidR="008C674F" w:rsidRPr="00166607" w14:paraId="4E39D6E9" w14:textId="77777777" w:rsidTr="008C674F">
        <w:trPr>
          <w:trHeight w:val="280"/>
        </w:trPr>
        <w:tc>
          <w:tcPr>
            <w:tcW w:w="3975" w:type="dxa"/>
            <w:tcBorders>
              <w:top w:val="nil"/>
              <w:left w:val="nil"/>
              <w:bottom w:val="nil"/>
              <w:right w:val="nil"/>
            </w:tcBorders>
            <w:shd w:val="clear" w:color="000000" w:fill="FFFFFF"/>
            <w:noWrap/>
            <w:vAlign w:val="center"/>
            <w:hideMark/>
          </w:tcPr>
          <w:p w14:paraId="20A67E6E"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Ever enrolled in a university</w:t>
            </w:r>
          </w:p>
        </w:tc>
        <w:tc>
          <w:tcPr>
            <w:tcW w:w="1170" w:type="dxa"/>
            <w:tcBorders>
              <w:top w:val="nil"/>
              <w:left w:val="nil"/>
              <w:bottom w:val="nil"/>
              <w:right w:val="nil"/>
            </w:tcBorders>
            <w:shd w:val="clear" w:color="000000" w:fill="FFFFFF"/>
            <w:noWrap/>
            <w:vAlign w:val="center"/>
            <w:hideMark/>
          </w:tcPr>
          <w:p w14:paraId="2E4D0C9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0.122</w:t>
            </w:r>
          </w:p>
        </w:tc>
        <w:tc>
          <w:tcPr>
            <w:tcW w:w="1400" w:type="dxa"/>
            <w:tcBorders>
              <w:top w:val="nil"/>
              <w:left w:val="nil"/>
              <w:bottom w:val="nil"/>
              <w:right w:val="nil"/>
            </w:tcBorders>
            <w:shd w:val="clear" w:color="000000" w:fill="FFFFFF"/>
            <w:noWrap/>
            <w:vAlign w:val="center"/>
            <w:hideMark/>
          </w:tcPr>
          <w:p w14:paraId="5CE8D36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0.003</w:t>
            </w:r>
          </w:p>
        </w:tc>
        <w:tc>
          <w:tcPr>
            <w:tcW w:w="320" w:type="dxa"/>
            <w:tcBorders>
              <w:top w:val="nil"/>
              <w:left w:val="nil"/>
              <w:bottom w:val="nil"/>
              <w:right w:val="nil"/>
            </w:tcBorders>
            <w:shd w:val="clear" w:color="000000" w:fill="FFFFFF"/>
            <w:vAlign w:val="center"/>
            <w:hideMark/>
          </w:tcPr>
          <w:p w14:paraId="6B02C206"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63DA557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0.131</w:t>
            </w:r>
          </w:p>
        </w:tc>
        <w:tc>
          <w:tcPr>
            <w:tcW w:w="1400" w:type="dxa"/>
            <w:tcBorders>
              <w:top w:val="nil"/>
              <w:left w:val="nil"/>
              <w:bottom w:val="nil"/>
              <w:right w:val="nil"/>
            </w:tcBorders>
            <w:shd w:val="clear" w:color="000000" w:fill="FFFFFF"/>
            <w:noWrap/>
            <w:vAlign w:val="center"/>
            <w:hideMark/>
          </w:tcPr>
          <w:p w14:paraId="4A0CB43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-0.019</w:t>
            </w:r>
          </w:p>
        </w:tc>
        <w:tc>
          <w:tcPr>
            <w:tcW w:w="320" w:type="dxa"/>
            <w:tcBorders>
              <w:top w:val="nil"/>
              <w:left w:val="nil"/>
              <w:bottom w:val="nil"/>
              <w:right w:val="nil"/>
            </w:tcBorders>
            <w:shd w:val="clear" w:color="000000" w:fill="FFFFFF"/>
            <w:noWrap/>
            <w:vAlign w:val="center"/>
            <w:hideMark/>
          </w:tcPr>
          <w:p w14:paraId="646B0FA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7A4459C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0.107</w:t>
            </w:r>
          </w:p>
        </w:tc>
        <w:tc>
          <w:tcPr>
            <w:tcW w:w="1400" w:type="dxa"/>
            <w:tcBorders>
              <w:top w:val="nil"/>
              <w:left w:val="nil"/>
              <w:bottom w:val="nil"/>
              <w:right w:val="nil"/>
            </w:tcBorders>
            <w:shd w:val="clear" w:color="000000" w:fill="FFFFFF"/>
            <w:noWrap/>
            <w:vAlign w:val="center"/>
            <w:hideMark/>
          </w:tcPr>
          <w:p w14:paraId="2B35E90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0.054</w:t>
            </w:r>
          </w:p>
        </w:tc>
      </w:tr>
      <w:tr w:rsidR="008C674F" w:rsidRPr="00166607" w14:paraId="3BECD22B" w14:textId="77777777" w:rsidTr="008C674F">
        <w:trPr>
          <w:trHeight w:val="280"/>
        </w:trPr>
        <w:tc>
          <w:tcPr>
            <w:tcW w:w="3975" w:type="dxa"/>
            <w:tcBorders>
              <w:top w:val="nil"/>
              <w:left w:val="nil"/>
              <w:bottom w:val="nil"/>
              <w:right w:val="nil"/>
            </w:tcBorders>
            <w:shd w:val="clear" w:color="000000" w:fill="FFFFFF"/>
            <w:noWrap/>
            <w:vAlign w:val="center"/>
            <w:hideMark/>
          </w:tcPr>
          <w:p w14:paraId="1BF67DEA"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5A49489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487350E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(0.016)</w:t>
            </w:r>
          </w:p>
        </w:tc>
        <w:tc>
          <w:tcPr>
            <w:tcW w:w="320" w:type="dxa"/>
            <w:tcBorders>
              <w:top w:val="nil"/>
              <w:left w:val="nil"/>
              <w:bottom w:val="nil"/>
              <w:right w:val="nil"/>
            </w:tcBorders>
            <w:shd w:val="clear" w:color="000000" w:fill="FFFFFF"/>
            <w:noWrap/>
            <w:vAlign w:val="center"/>
            <w:hideMark/>
          </w:tcPr>
          <w:p w14:paraId="0AF38BA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3C41686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344FE08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(0.021)</w:t>
            </w:r>
          </w:p>
        </w:tc>
        <w:tc>
          <w:tcPr>
            <w:tcW w:w="320" w:type="dxa"/>
            <w:tcBorders>
              <w:top w:val="nil"/>
              <w:left w:val="nil"/>
              <w:bottom w:val="nil"/>
              <w:right w:val="nil"/>
            </w:tcBorders>
            <w:shd w:val="clear" w:color="000000" w:fill="FFFFFF"/>
            <w:noWrap/>
            <w:vAlign w:val="center"/>
            <w:hideMark/>
          </w:tcPr>
          <w:p w14:paraId="7764BCE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6EB0F14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1524B2D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(0.026)**</w:t>
            </w:r>
          </w:p>
        </w:tc>
      </w:tr>
      <w:tr w:rsidR="008C674F" w:rsidRPr="00166607" w14:paraId="6E6F5414" w14:textId="77777777" w:rsidTr="008C674F">
        <w:trPr>
          <w:trHeight w:val="280"/>
        </w:trPr>
        <w:tc>
          <w:tcPr>
            <w:tcW w:w="3975" w:type="dxa"/>
            <w:tcBorders>
              <w:top w:val="nil"/>
              <w:left w:val="nil"/>
              <w:bottom w:val="nil"/>
              <w:right w:val="nil"/>
            </w:tcBorders>
            <w:shd w:val="clear" w:color="000000" w:fill="FFFFFF"/>
            <w:noWrap/>
            <w:vAlign w:val="center"/>
            <w:hideMark/>
          </w:tcPr>
          <w:p w14:paraId="07479816"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tertiary education as of 2012</w:t>
            </w:r>
          </w:p>
        </w:tc>
        <w:tc>
          <w:tcPr>
            <w:tcW w:w="1170" w:type="dxa"/>
            <w:tcBorders>
              <w:top w:val="nil"/>
              <w:left w:val="nil"/>
              <w:bottom w:val="nil"/>
              <w:right w:val="nil"/>
            </w:tcBorders>
            <w:shd w:val="clear" w:color="000000" w:fill="FFFFFF"/>
            <w:noWrap/>
            <w:vAlign w:val="center"/>
            <w:hideMark/>
          </w:tcPr>
          <w:p w14:paraId="60A23D0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0.032</w:t>
            </w:r>
          </w:p>
        </w:tc>
        <w:tc>
          <w:tcPr>
            <w:tcW w:w="1400" w:type="dxa"/>
            <w:tcBorders>
              <w:top w:val="nil"/>
              <w:left w:val="nil"/>
              <w:bottom w:val="nil"/>
              <w:right w:val="nil"/>
            </w:tcBorders>
            <w:shd w:val="clear" w:color="000000" w:fill="FFFFFF"/>
            <w:noWrap/>
            <w:vAlign w:val="center"/>
            <w:hideMark/>
          </w:tcPr>
          <w:p w14:paraId="4B0B7EB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0.019</w:t>
            </w:r>
          </w:p>
        </w:tc>
        <w:tc>
          <w:tcPr>
            <w:tcW w:w="320" w:type="dxa"/>
            <w:tcBorders>
              <w:top w:val="nil"/>
              <w:left w:val="nil"/>
              <w:bottom w:val="nil"/>
              <w:right w:val="nil"/>
            </w:tcBorders>
            <w:shd w:val="clear" w:color="000000" w:fill="FFFFFF"/>
            <w:noWrap/>
            <w:vAlign w:val="center"/>
            <w:hideMark/>
          </w:tcPr>
          <w:p w14:paraId="13084E0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40A53FF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0.027</w:t>
            </w:r>
          </w:p>
        </w:tc>
        <w:tc>
          <w:tcPr>
            <w:tcW w:w="1400" w:type="dxa"/>
            <w:tcBorders>
              <w:top w:val="nil"/>
              <w:left w:val="nil"/>
              <w:bottom w:val="nil"/>
              <w:right w:val="nil"/>
            </w:tcBorders>
            <w:shd w:val="clear" w:color="000000" w:fill="FFFFFF"/>
            <w:noWrap/>
            <w:vAlign w:val="center"/>
            <w:hideMark/>
          </w:tcPr>
          <w:p w14:paraId="1E9320F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0.029</w:t>
            </w:r>
          </w:p>
        </w:tc>
        <w:tc>
          <w:tcPr>
            <w:tcW w:w="320" w:type="dxa"/>
            <w:tcBorders>
              <w:top w:val="nil"/>
              <w:left w:val="nil"/>
              <w:bottom w:val="nil"/>
              <w:right w:val="nil"/>
            </w:tcBorders>
            <w:shd w:val="clear" w:color="000000" w:fill="FFFFFF"/>
            <w:noWrap/>
            <w:vAlign w:val="center"/>
            <w:hideMark/>
          </w:tcPr>
          <w:p w14:paraId="0D64C62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6E137E6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0.029</w:t>
            </w:r>
          </w:p>
        </w:tc>
        <w:tc>
          <w:tcPr>
            <w:tcW w:w="1400" w:type="dxa"/>
            <w:tcBorders>
              <w:top w:val="nil"/>
              <w:left w:val="nil"/>
              <w:bottom w:val="nil"/>
              <w:right w:val="nil"/>
            </w:tcBorders>
            <w:shd w:val="clear" w:color="000000" w:fill="FFFFFF"/>
            <w:noWrap/>
            <w:vAlign w:val="center"/>
            <w:hideMark/>
          </w:tcPr>
          <w:p w14:paraId="7CE4BE8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w:t>
            </w:r>
          </w:p>
        </w:tc>
      </w:tr>
      <w:tr w:rsidR="008C674F" w:rsidRPr="00166607" w14:paraId="5AAFAB42" w14:textId="77777777" w:rsidTr="008C674F">
        <w:trPr>
          <w:trHeight w:val="280"/>
        </w:trPr>
        <w:tc>
          <w:tcPr>
            <w:tcW w:w="3975" w:type="dxa"/>
            <w:tcBorders>
              <w:top w:val="nil"/>
              <w:left w:val="nil"/>
              <w:bottom w:val="nil"/>
              <w:right w:val="nil"/>
            </w:tcBorders>
            <w:shd w:val="clear" w:color="000000" w:fill="FFFFFF"/>
            <w:noWrap/>
            <w:vAlign w:val="center"/>
            <w:hideMark/>
          </w:tcPr>
          <w:p w14:paraId="3FF98544"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627A613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0BF12B5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(0.009)**</w:t>
            </w:r>
          </w:p>
        </w:tc>
        <w:tc>
          <w:tcPr>
            <w:tcW w:w="320" w:type="dxa"/>
            <w:tcBorders>
              <w:top w:val="nil"/>
              <w:left w:val="nil"/>
              <w:bottom w:val="nil"/>
              <w:right w:val="nil"/>
            </w:tcBorders>
            <w:shd w:val="clear" w:color="000000" w:fill="FFFFFF"/>
            <w:noWrap/>
            <w:vAlign w:val="center"/>
            <w:hideMark/>
          </w:tcPr>
          <w:p w14:paraId="3E187BB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4C4E6CB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77ADE83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(0.012)**</w:t>
            </w:r>
          </w:p>
        </w:tc>
        <w:tc>
          <w:tcPr>
            <w:tcW w:w="320" w:type="dxa"/>
            <w:tcBorders>
              <w:top w:val="nil"/>
              <w:left w:val="nil"/>
              <w:bottom w:val="nil"/>
              <w:right w:val="nil"/>
            </w:tcBorders>
            <w:shd w:val="clear" w:color="000000" w:fill="FFFFFF"/>
            <w:noWrap/>
            <w:vAlign w:val="center"/>
            <w:hideMark/>
          </w:tcPr>
          <w:p w14:paraId="65B2A59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1186F4B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0166AAB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(0.014)</w:t>
            </w:r>
          </w:p>
        </w:tc>
      </w:tr>
      <w:tr w:rsidR="008C674F" w:rsidRPr="00166607" w14:paraId="15D426EA" w14:textId="77777777" w:rsidTr="008C674F">
        <w:trPr>
          <w:trHeight w:val="280"/>
        </w:trPr>
        <w:tc>
          <w:tcPr>
            <w:tcW w:w="3975" w:type="dxa"/>
            <w:tcBorders>
              <w:top w:val="nil"/>
              <w:left w:val="nil"/>
              <w:bottom w:val="nil"/>
              <w:right w:val="nil"/>
            </w:tcBorders>
            <w:shd w:val="clear" w:color="000000" w:fill="FFFFFF"/>
            <w:noWrap/>
            <w:vAlign w:val="center"/>
            <w:hideMark/>
          </w:tcPr>
          <w:p w14:paraId="2049E416"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vocational college as of 2012</w:t>
            </w:r>
          </w:p>
        </w:tc>
        <w:tc>
          <w:tcPr>
            <w:tcW w:w="1170" w:type="dxa"/>
            <w:tcBorders>
              <w:top w:val="nil"/>
              <w:left w:val="nil"/>
              <w:bottom w:val="nil"/>
              <w:right w:val="nil"/>
            </w:tcBorders>
            <w:shd w:val="clear" w:color="000000" w:fill="FFFFFF"/>
            <w:noWrap/>
            <w:vAlign w:val="center"/>
            <w:hideMark/>
          </w:tcPr>
          <w:p w14:paraId="4DBFEE8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c>
          <w:tcPr>
            <w:tcW w:w="1400" w:type="dxa"/>
            <w:tcBorders>
              <w:top w:val="nil"/>
              <w:left w:val="nil"/>
              <w:bottom w:val="nil"/>
              <w:right w:val="nil"/>
            </w:tcBorders>
            <w:shd w:val="clear" w:color="000000" w:fill="FFFFFF"/>
            <w:noWrap/>
            <w:vAlign w:val="center"/>
            <w:hideMark/>
          </w:tcPr>
          <w:p w14:paraId="572E259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0.007</w:t>
            </w:r>
          </w:p>
        </w:tc>
        <w:tc>
          <w:tcPr>
            <w:tcW w:w="320" w:type="dxa"/>
            <w:tcBorders>
              <w:top w:val="nil"/>
              <w:left w:val="nil"/>
              <w:bottom w:val="nil"/>
              <w:right w:val="nil"/>
            </w:tcBorders>
            <w:shd w:val="clear" w:color="000000" w:fill="FFFFFF"/>
            <w:noWrap/>
            <w:vAlign w:val="center"/>
            <w:hideMark/>
          </w:tcPr>
          <w:p w14:paraId="206480A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4AA7362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0.007</w:t>
            </w:r>
          </w:p>
        </w:tc>
        <w:tc>
          <w:tcPr>
            <w:tcW w:w="1400" w:type="dxa"/>
            <w:tcBorders>
              <w:top w:val="nil"/>
              <w:left w:val="nil"/>
              <w:bottom w:val="nil"/>
              <w:right w:val="nil"/>
            </w:tcBorders>
            <w:shd w:val="clear" w:color="000000" w:fill="FFFFFF"/>
            <w:noWrap/>
            <w:vAlign w:val="center"/>
            <w:hideMark/>
          </w:tcPr>
          <w:p w14:paraId="0BD4EFE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0.008</w:t>
            </w:r>
          </w:p>
        </w:tc>
        <w:tc>
          <w:tcPr>
            <w:tcW w:w="320" w:type="dxa"/>
            <w:tcBorders>
              <w:top w:val="nil"/>
              <w:left w:val="nil"/>
              <w:bottom w:val="nil"/>
              <w:right w:val="nil"/>
            </w:tcBorders>
            <w:shd w:val="clear" w:color="000000" w:fill="FFFFFF"/>
            <w:noWrap/>
            <w:vAlign w:val="center"/>
            <w:hideMark/>
          </w:tcPr>
          <w:p w14:paraId="0303345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2CFB26B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0.000</w:t>
            </w:r>
          </w:p>
        </w:tc>
        <w:tc>
          <w:tcPr>
            <w:tcW w:w="1400" w:type="dxa"/>
            <w:tcBorders>
              <w:top w:val="nil"/>
              <w:left w:val="nil"/>
              <w:bottom w:val="nil"/>
              <w:right w:val="nil"/>
            </w:tcBorders>
            <w:shd w:val="clear" w:color="000000" w:fill="FFFFFF"/>
            <w:noWrap/>
            <w:vAlign w:val="center"/>
            <w:hideMark/>
          </w:tcPr>
          <w:p w14:paraId="3A09677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0.011</w:t>
            </w:r>
          </w:p>
        </w:tc>
      </w:tr>
      <w:tr w:rsidR="008C674F" w:rsidRPr="00166607" w14:paraId="76538C67" w14:textId="77777777" w:rsidTr="008C674F">
        <w:trPr>
          <w:trHeight w:val="280"/>
        </w:trPr>
        <w:tc>
          <w:tcPr>
            <w:tcW w:w="3975" w:type="dxa"/>
            <w:tcBorders>
              <w:top w:val="nil"/>
              <w:left w:val="nil"/>
              <w:bottom w:val="nil"/>
              <w:right w:val="nil"/>
            </w:tcBorders>
            <w:shd w:val="clear" w:color="000000" w:fill="FFFFFF"/>
            <w:noWrap/>
            <w:vAlign w:val="center"/>
            <w:hideMark/>
          </w:tcPr>
          <w:p w14:paraId="06E5A632"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33256EB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3E14E57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(0.004)*</w:t>
            </w:r>
          </w:p>
        </w:tc>
        <w:tc>
          <w:tcPr>
            <w:tcW w:w="320" w:type="dxa"/>
            <w:tcBorders>
              <w:top w:val="nil"/>
              <w:left w:val="nil"/>
              <w:bottom w:val="nil"/>
              <w:right w:val="nil"/>
            </w:tcBorders>
            <w:shd w:val="clear" w:color="000000" w:fill="FFFFFF"/>
            <w:noWrap/>
            <w:vAlign w:val="center"/>
            <w:hideMark/>
          </w:tcPr>
          <w:p w14:paraId="42B45D5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1C6E0BF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44CE5E3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(0.007)</w:t>
            </w:r>
          </w:p>
        </w:tc>
        <w:tc>
          <w:tcPr>
            <w:tcW w:w="320" w:type="dxa"/>
            <w:tcBorders>
              <w:top w:val="nil"/>
              <w:left w:val="nil"/>
              <w:bottom w:val="nil"/>
              <w:right w:val="nil"/>
            </w:tcBorders>
            <w:shd w:val="clear" w:color="000000" w:fill="FFFFFF"/>
            <w:noWrap/>
            <w:vAlign w:val="center"/>
            <w:hideMark/>
          </w:tcPr>
          <w:p w14:paraId="3C007EF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7A141C5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7090993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r>
      <w:tr w:rsidR="008C674F" w:rsidRPr="00166607" w14:paraId="0F155C7F" w14:textId="77777777" w:rsidTr="008C674F">
        <w:trPr>
          <w:trHeight w:val="280"/>
        </w:trPr>
        <w:tc>
          <w:tcPr>
            <w:tcW w:w="3975" w:type="dxa"/>
            <w:tcBorders>
              <w:top w:val="nil"/>
              <w:left w:val="nil"/>
              <w:bottom w:val="nil"/>
              <w:right w:val="nil"/>
            </w:tcBorders>
            <w:shd w:val="clear" w:color="000000" w:fill="FFFFFF"/>
            <w:noWrap/>
            <w:vAlign w:val="center"/>
            <w:hideMark/>
          </w:tcPr>
          <w:p w14:paraId="7E3E4420"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university as of 2012</w:t>
            </w:r>
          </w:p>
        </w:tc>
        <w:tc>
          <w:tcPr>
            <w:tcW w:w="1170" w:type="dxa"/>
            <w:tcBorders>
              <w:top w:val="nil"/>
              <w:left w:val="nil"/>
              <w:bottom w:val="nil"/>
              <w:right w:val="nil"/>
            </w:tcBorders>
            <w:shd w:val="clear" w:color="000000" w:fill="FFFFFF"/>
            <w:noWrap/>
            <w:vAlign w:val="center"/>
            <w:hideMark/>
          </w:tcPr>
          <w:p w14:paraId="35C8717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0.027</w:t>
            </w:r>
          </w:p>
        </w:tc>
        <w:tc>
          <w:tcPr>
            <w:tcW w:w="1400" w:type="dxa"/>
            <w:tcBorders>
              <w:top w:val="nil"/>
              <w:left w:val="nil"/>
              <w:bottom w:val="nil"/>
              <w:right w:val="nil"/>
            </w:tcBorders>
            <w:shd w:val="clear" w:color="000000" w:fill="FFFFFF"/>
            <w:noWrap/>
            <w:vAlign w:val="center"/>
            <w:hideMark/>
          </w:tcPr>
          <w:p w14:paraId="65B4D29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0.011</w:t>
            </w:r>
          </w:p>
        </w:tc>
        <w:tc>
          <w:tcPr>
            <w:tcW w:w="320" w:type="dxa"/>
            <w:tcBorders>
              <w:top w:val="nil"/>
              <w:left w:val="nil"/>
              <w:bottom w:val="nil"/>
              <w:right w:val="nil"/>
            </w:tcBorders>
            <w:shd w:val="clear" w:color="000000" w:fill="FFFFFF"/>
            <w:noWrap/>
            <w:vAlign w:val="center"/>
            <w:hideMark/>
          </w:tcPr>
          <w:p w14:paraId="64FFE33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47BB9DB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w:t>
            </w:r>
          </w:p>
        </w:tc>
        <w:tc>
          <w:tcPr>
            <w:tcW w:w="1400" w:type="dxa"/>
            <w:tcBorders>
              <w:top w:val="nil"/>
              <w:left w:val="nil"/>
              <w:bottom w:val="nil"/>
              <w:right w:val="nil"/>
            </w:tcBorders>
            <w:shd w:val="clear" w:color="000000" w:fill="FFFFFF"/>
            <w:noWrap/>
            <w:vAlign w:val="center"/>
            <w:hideMark/>
          </w:tcPr>
          <w:p w14:paraId="039DC02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0.021</w:t>
            </w:r>
          </w:p>
        </w:tc>
        <w:tc>
          <w:tcPr>
            <w:tcW w:w="320" w:type="dxa"/>
            <w:tcBorders>
              <w:top w:val="nil"/>
              <w:left w:val="nil"/>
              <w:bottom w:val="nil"/>
              <w:right w:val="nil"/>
            </w:tcBorders>
            <w:shd w:val="clear" w:color="000000" w:fill="FFFFFF"/>
            <w:noWrap/>
            <w:vAlign w:val="center"/>
            <w:hideMark/>
          </w:tcPr>
          <w:p w14:paraId="55E0A59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263DE93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0.029</w:t>
            </w:r>
          </w:p>
        </w:tc>
        <w:tc>
          <w:tcPr>
            <w:tcW w:w="1400" w:type="dxa"/>
            <w:tcBorders>
              <w:top w:val="nil"/>
              <w:left w:val="nil"/>
              <w:bottom w:val="nil"/>
              <w:right w:val="nil"/>
            </w:tcBorders>
            <w:shd w:val="clear" w:color="000000" w:fill="FFFFFF"/>
            <w:noWrap/>
            <w:vAlign w:val="center"/>
            <w:hideMark/>
          </w:tcPr>
          <w:p w14:paraId="302824B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0.009</w:t>
            </w:r>
          </w:p>
        </w:tc>
      </w:tr>
      <w:tr w:rsidR="008C674F" w:rsidRPr="00166607" w14:paraId="4E0A6C5B" w14:textId="77777777" w:rsidTr="008C674F">
        <w:trPr>
          <w:trHeight w:val="280"/>
        </w:trPr>
        <w:tc>
          <w:tcPr>
            <w:tcW w:w="3975" w:type="dxa"/>
            <w:tcBorders>
              <w:top w:val="nil"/>
              <w:left w:val="nil"/>
              <w:bottom w:val="nil"/>
              <w:right w:val="nil"/>
            </w:tcBorders>
            <w:shd w:val="clear" w:color="000000" w:fill="FFFFFF"/>
            <w:noWrap/>
            <w:vAlign w:val="center"/>
            <w:hideMark/>
          </w:tcPr>
          <w:p w14:paraId="418A29B6"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6C6F001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7963251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(0.008)</w:t>
            </w:r>
          </w:p>
        </w:tc>
        <w:tc>
          <w:tcPr>
            <w:tcW w:w="320" w:type="dxa"/>
            <w:tcBorders>
              <w:top w:val="nil"/>
              <w:left w:val="nil"/>
              <w:bottom w:val="nil"/>
              <w:right w:val="nil"/>
            </w:tcBorders>
            <w:shd w:val="clear" w:color="000000" w:fill="FFFFFF"/>
            <w:noWrap/>
            <w:vAlign w:val="center"/>
            <w:hideMark/>
          </w:tcPr>
          <w:p w14:paraId="6B926F6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6BC93F2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2288889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(0.011)*</w:t>
            </w:r>
          </w:p>
        </w:tc>
        <w:tc>
          <w:tcPr>
            <w:tcW w:w="320" w:type="dxa"/>
            <w:tcBorders>
              <w:top w:val="nil"/>
              <w:left w:val="nil"/>
              <w:bottom w:val="nil"/>
              <w:right w:val="nil"/>
            </w:tcBorders>
            <w:shd w:val="clear" w:color="000000" w:fill="FFFFFF"/>
            <w:noWrap/>
            <w:vAlign w:val="center"/>
            <w:hideMark/>
          </w:tcPr>
          <w:p w14:paraId="6AEC14F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7DEC3B7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6AB21CD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(0.014)</w:t>
            </w:r>
          </w:p>
        </w:tc>
      </w:tr>
      <w:tr w:rsidR="008C674F" w:rsidRPr="00166607" w14:paraId="48F457F2" w14:textId="77777777" w:rsidTr="008C674F">
        <w:trPr>
          <w:trHeight w:val="280"/>
        </w:trPr>
        <w:tc>
          <w:tcPr>
            <w:tcW w:w="3975" w:type="dxa"/>
            <w:tcBorders>
              <w:top w:val="nil"/>
              <w:left w:val="nil"/>
              <w:bottom w:val="nil"/>
              <w:right w:val="nil"/>
            </w:tcBorders>
            <w:shd w:val="clear" w:color="000000" w:fill="FFFFFF"/>
            <w:noWrap/>
            <w:vAlign w:val="center"/>
            <w:hideMark/>
          </w:tcPr>
          <w:p w14:paraId="00EBB4A2"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private institution as of 2012</w:t>
            </w:r>
          </w:p>
        </w:tc>
        <w:tc>
          <w:tcPr>
            <w:tcW w:w="1170" w:type="dxa"/>
            <w:tcBorders>
              <w:top w:val="nil"/>
              <w:left w:val="nil"/>
              <w:bottom w:val="nil"/>
              <w:right w:val="nil"/>
            </w:tcBorders>
            <w:shd w:val="clear" w:color="000000" w:fill="FFFFFF"/>
            <w:noWrap/>
            <w:vAlign w:val="center"/>
            <w:hideMark/>
          </w:tcPr>
          <w:p w14:paraId="6D7D489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0.027</w:t>
            </w:r>
          </w:p>
        </w:tc>
        <w:tc>
          <w:tcPr>
            <w:tcW w:w="1400" w:type="dxa"/>
            <w:tcBorders>
              <w:top w:val="nil"/>
              <w:left w:val="nil"/>
              <w:bottom w:val="nil"/>
              <w:right w:val="nil"/>
            </w:tcBorders>
            <w:shd w:val="clear" w:color="000000" w:fill="FFFFFF"/>
            <w:noWrap/>
            <w:vAlign w:val="center"/>
            <w:hideMark/>
          </w:tcPr>
          <w:p w14:paraId="7A56F3B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0.012</w:t>
            </w:r>
          </w:p>
        </w:tc>
        <w:tc>
          <w:tcPr>
            <w:tcW w:w="320" w:type="dxa"/>
            <w:tcBorders>
              <w:top w:val="nil"/>
              <w:left w:val="nil"/>
              <w:bottom w:val="nil"/>
              <w:right w:val="nil"/>
            </w:tcBorders>
            <w:shd w:val="clear" w:color="000000" w:fill="FFFFFF"/>
            <w:noWrap/>
            <w:vAlign w:val="center"/>
            <w:hideMark/>
          </w:tcPr>
          <w:p w14:paraId="74CFB81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5FD5849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0.022</w:t>
            </w:r>
          </w:p>
        </w:tc>
        <w:tc>
          <w:tcPr>
            <w:tcW w:w="1400" w:type="dxa"/>
            <w:tcBorders>
              <w:top w:val="nil"/>
              <w:left w:val="nil"/>
              <w:bottom w:val="nil"/>
              <w:right w:val="nil"/>
            </w:tcBorders>
            <w:shd w:val="clear" w:color="000000" w:fill="FFFFFF"/>
            <w:noWrap/>
            <w:vAlign w:val="center"/>
            <w:hideMark/>
          </w:tcPr>
          <w:p w14:paraId="1D4CB76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0.025</w:t>
            </w:r>
          </w:p>
        </w:tc>
        <w:tc>
          <w:tcPr>
            <w:tcW w:w="320" w:type="dxa"/>
            <w:tcBorders>
              <w:top w:val="nil"/>
              <w:left w:val="nil"/>
              <w:bottom w:val="nil"/>
              <w:right w:val="nil"/>
            </w:tcBorders>
            <w:shd w:val="clear" w:color="000000" w:fill="FFFFFF"/>
            <w:noWrap/>
            <w:vAlign w:val="center"/>
            <w:hideMark/>
          </w:tcPr>
          <w:p w14:paraId="2323B6E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2C2C1A9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0.029</w:t>
            </w:r>
          </w:p>
        </w:tc>
        <w:tc>
          <w:tcPr>
            <w:tcW w:w="1400" w:type="dxa"/>
            <w:tcBorders>
              <w:top w:val="nil"/>
              <w:left w:val="nil"/>
              <w:bottom w:val="nil"/>
              <w:right w:val="nil"/>
            </w:tcBorders>
            <w:shd w:val="clear" w:color="000000" w:fill="FFFFFF"/>
            <w:noWrap/>
            <w:vAlign w:val="center"/>
            <w:hideMark/>
          </w:tcPr>
          <w:p w14:paraId="330459C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0.003</w:t>
            </w:r>
          </w:p>
        </w:tc>
      </w:tr>
      <w:tr w:rsidR="008C674F" w:rsidRPr="00166607" w14:paraId="6D09CBB1" w14:textId="77777777" w:rsidTr="008C674F">
        <w:trPr>
          <w:trHeight w:val="280"/>
        </w:trPr>
        <w:tc>
          <w:tcPr>
            <w:tcW w:w="3975" w:type="dxa"/>
            <w:tcBorders>
              <w:top w:val="nil"/>
              <w:left w:val="nil"/>
              <w:bottom w:val="nil"/>
              <w:right w:val="nil"/>
            </w:tcBorders>
            <w:shd w:val="clear" w:color="000000" w:fill="FFFFFF"/>
            <w:noWrap/>
            <w:vAlign w:val="center"/>
            <w:hideMark/>
          </w:tcPr>
          <w:p w14:paraId="60DEAB0A"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59548D7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1BC3676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(0.008)</w:t>
            </w:r>
          </w:p>
        </w:tc>
        <w:tc>
          <w:tcPr>
            <w:tcW w:w="320" w:type="dxa"/>
            <w:tcBorders>
              <w:top w:val="nil"/>
              <w:left w:val="nil"/>
              <w:bottom w:val="nil"/>
              <w:right w:val="nil"/>
            </w:tcBorders>
            <w:shd w:val="clear" w:color="000000" w:fill="FFFFFF"/>
            <w:noWrap/>
            <w:vAlign w:val="center"/>
            <w:hideMark/>
          </w:tcPr>
          <w:p w14:paraId="32634A4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2624D6B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6E4EE7C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(0.011)**</w:t>
            </w:r>
          </w:p>
        </w:tc>
        <w:tc>
          <w:tcPr>
            <w:tcW w:w="320" w:type="dxa"/>
            <w:tcBorders>
              <w:top w:val="nil"/>
              <w:left w:val="nil"/>
              <w:bottom w:val="nil"/>
              <w:right w:val="nil"/>
            </w:tcBorders>
            <w:shd w:val="clear" w:color="000000" w:fill="FFFFFF"/>
            <w:noWrap/>
            <w:vAlign w:val="center"/>
            <w:hideMark/>
          </w:tcPr>
          <w:p w14:paraId="641F86D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2884477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75B6488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(0.013)</w:t>
            </w:r>
          </w:p>
        </w:tc>
      </w:tr>
      <w:tr w:rsidR="008C674F" w:rsidRPr="00166607" w14:paraId="75EC0CD3" w14:textId="77777777" w:rsidTr="008C674F">
        <w:trPr>
          <w:trHeight w:val="280"/>
        </w:trPr>
        <w:tc>
          <w:tcPr>
            <w:tcW w:w="3975" w:type="dxa"/>
            <w:tcBorders>
              <w:top w:val="nil"/>
              <w:left w:val="nil"/>
              <w:bottom w:val="nil"/>
              <w:right w:val="nil"/>
            </w:tcBorders>
            <w:shd w:val="clear" w:color="000000" w:fill="FFFFFF"/>
            <w:noWrap/>
            <w:vAlign w:val="center"/>
            <w:hideMark/>
          </w:tcPr>
          <w:p w14:paraId="2BD8455B"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Enrolled in a public institution as of 2012</w:t>
            </w:r>
          </w:p>
        </w:tc>
        <w:tc>
          <w:tcPr>
            <w:tcW w:w="1170" w:type="dxa"/>
            <w:tcBorders>
              <w:top w:val="nil"/>
              <w:left w:val="nil"/>
              <w:bottom w:val="nil"/>
              <w:right w:val="nil"/>
            </w:tcBorders>
            <w:shd w:val="clear" w:color="000000" w:fill="FFFFFF"/>
            <w:noWrap/>
            <w:vAlign w:val="center"/>
            <w:hideMark/>
          </w:tcPr>
          <w:p w14:paraId="22E977D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c>
          <w:tcPr>
            <w:tcW w:w="1400" w:type="dxa"/>
            <w:tcBorders>
              <w:top w:val="nil"/>
              <w:left w:val="nil"/>
              <w:bottom w:val="nil"/>
              <w:right w:val="nil"/>
            </w:tcBorders>
            <w:shd w:val="clear" w:color="000000" w:fill="FFFFFF"/>
            <w:noWrap/>
            <w:vAlign w:val="center"/>
            <w:hideMark/>
          </w:tcPr>
          <w:p w14:paraId="71A8683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0.008</w:t>
            </w:r>
          </w:p>
        </w:tc>
        <w:tc>
          <w:tcPr>
            <w:tcW w:w="320" w:type="dxa"/>
            <w:tcBorders>
              <w:top w:val="nil"/>
              <w:left w:val="nil"/>
              <w:bottom w:val="nil"/>
              <w:right w:val="nil"/>
            </w:tcBorders>
            <w:shd w:val="clear" w:color="000000" w:fill="FFFFFF"/>
            <w:noWrap/>
            <w:vAlign w:val="center"/>
            <w:hideMark/>
          </w:tcPr>
          <w:p w14:paraId="64B4289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6E86958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c>
          <w:tcPr>
            <w:tcW w:w="1400" w:type="dxa"/>
            <w:tcBorders>
              <w:top w:val="nil"/>
              <w:left w:val="nil"/>
              <w:bottom w:val="nil"/>
              <w:right w:val="nil"/>
            </w:tcBorders>
            <w:shd w:val="clear" w:color="000000" w:fill="FFFFFF"/>
            <w:noWrap/>
            <w:vAlign w:val="center"/>
            <w:hideMark/>
          </w:tcPr>
          <w:p w14:paraId="3C243AD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0.008</w:t>
            </w:r>
          </w:p>
        </w:tc>
        <w:tc>
          <w:tcPr>
            <w:tcW w:w="320" w:type="dxa"/>
            <w:tcBorders>
              <w:top w:val="nil"/>
              <w:left w:val="nil"/>
              <w:bottom w:val="nil"/>
              <w:right w:val="nil"/>
            </w:tcBorders>
            <w:shd w:val="clear" w:color="000000" w:fill="FFFFFF"/>
            <w:noWrap/>
            <w:vAlign w:val="center"/>
            <w:hideMark/>
          </w:tcPr>
          <w:p w14:paraId="54F2CE7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01E8263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0.000</w:t>
            </w:r>
          </w:p>
        </w:tc>
        <w:tc>
          <w:tcPr>
            <w:tcW w:w="1400" w:type="dxa"/>
            <w:tcBorders>
              <w:top w:val="nil"/>
              <w:left w:val="nil"/>
              <w:bottom w:val="nil"/>
              <w:right w:val="nil"/>
            </w:tcBorders>
            <w:shd w:val="clear" w:color="000000" w:fill="FFFFFF"/>
            <w:noWrap/>
            <w:vAlign w:val="center"/>
            <w:hideMark/>
          </w:tcPr>
          <w:p w14:paraId="420FDF0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0.018</w:t>
            </w:r>
          </w:p>
        </w:tc>
      </w:tr>
      <w:tr w:rsidR="008C674F" w:rsidRPr="00166607" w14:paraId="40BCCC47" w14:textId="77777777" w:rsidTr="008C674F">
        <w:trPr>
          <w:trHeight w:val="280"/>
        </w:trPr>
        <w:tc>
          <w:tcPr>
            <w:tcW w:w="3975" w:type="dxa"/>
            <w:tcBorders>
              <w:top w:val="nil"/>
              <w:left w:val="nil"/>
              <w:bottom w:val="nil"/>
              <w:right w:val="nil"/>
            </w:tcBorders>
            <w:shd w:val="clear" w:color="000000" w:fill="FFFFFF"/>
            <w:noWrap/>
            <w:vAlign w:val="center"/>
            <w:hideMark/>
          </w:tcPr>
          <w:p w14:paraId="7BB4E01A"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6506438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3C5A46A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(0.004)*</w:t>
            </w:r>
          </w:p>
        </w:tc>
        <w:tc>
          <w:tcPr>
            <w:tcW w:w="320" w:type="dxa"/>
            <w:tcBorders>
              <w:top w:val="nil"/>
              <w:left w:val="nil"/>
              <w:bottom w:val="nil"/>
              <w:right w:val="nil"/>
            </w:tcBorders>
            <w:shd w:val="clear" w:color="000000" w:fill="FFFFFF"/>
            <w:noWrap/>
            <w:vAlign w:val="center"/>
            <w:hideMark/>
          </w:tcPr>
          <w:p w14:paraId="6E56152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7775EC0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01EDB72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(0.006)</w:t>
            </w:r>
          </w:p>
        </w:tc>
        <w:tc>
          <w:tcPr>
            <w:tcW w:w="320" w:type="dxa"/>
            <w:tcBorders>
              <w:top w:val="nil"/>
              <w:left w:val="nil"/>
              <w:bottom w:val="nil"/>
              <w:right w:val="nil"/>
            </w:tcBorders>
            <w:shd w:val="clear" w:color="000000" w:fill="FFFFFF"/>
            <w:noWrap/>
            <w:vAlign w:val="center"/>
            <w:hideMark/>
          </w:tcPr>
          <w:p w14:paraId="1798BD9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59AF3DC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32E2C56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(0.006)***</w:t>
            </w:r>
          </w:p>
        </w:tc>
      </w:tr>
      <w:tr w:rsidR="008C674F" w:rsidRPr="00166607" w14:paraId="614FBAA6" w14:textId="77777777" w:rsidTr="008C674F">
        <w:trPr>
          <w:trHeight w:val="280"/>
        </w:trPr>
        <w:tc>
          <w:tcPr>
            <w:tcW w:w="3975" w:type="dxa"/>
            <w:tcBorders>
              <w:top w:val="nil"/>
              <w:left w:val="nil"/>
              <w:bottom w:val="nil"/>
              <w:right w:val="nil"/>
            </w:tcBorders>
            <w:shd w:val="clear" w:color="000000" w:fill="FFFFFF"/>
            <w:noWrap/>
            <w:vAlign w:val="center"/>
            <w:hideMark/>
          </w:tcPr>
          <w:p w14:paraId="25F585EE"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Graduated from tertiary education as of 2012</w:t>
            </w:r>
          </w:p>
        </w:tc>
        <w:tc>
          <w:tcPr>
            <w:tcW w:w="1170" w:type="dxa"/>
            <w:tcBorders>
              <w:top w:val="nil"/>
              <w:left w:val="nil"/>
              <w:bottom w:val="nil"/>
              <w:right w:val="nil"/>
            </w:tcBorders>
            <w:shd w:val="clear" w:color="000000" w:fill="FFFFFF"/>
            <w:noWrap/>
            <w:vAlign w:val="center"/>
            <w:hideMark/>
          </w:tcPr>
          <w:p w14:paraId="571FAF8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0.043</w:t>
            </w:r>
          </w:p>
        </w:tc>
        <w:tc>
          <w:tcPr>
            <w:tcW w:w="1400" w:type="dxa"/>
            <w:tcBorders>
              <w:top w:val="nil"/>
              <w:left w:val="nil"/>
              <w:bottom w:val="nil"/>
              <w:right w:val="nil"/>
            </w:tcBorders>
            <w:shd w:val="clear" w:color="000000" w:fill="FFFFFF"/>
            <w:noWrap/>
            <w:vAlign w:val="center"/>
            <w:hideMark/>
          </w:tcPr>
          <w:p w14:paraId="759DFDD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0.000</w:t>
            </w:r>
          </w:p>
        </w:tc>
        <w:tc>
          <w:tcPr>
            <w:tcW w:w="320" w:type="dxa"/>
            <w:tcBorders>
              <w:top w:val="nil"/>
              <w:left w:val="nil"/>
              <w:bottom w:val="nil"/>
              <w:right w:val="nil"/>
            </w:tcBorders>
            <w:shd w:val="clear" w:color="000000" w:fill="FFFFFF"/>
            <w:noWrap/>
            <w:vAlign w:val="center"/>
            <w:hideMark/>
          </w:tcPr>
          <w:p w14:paraId="491F667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54A9A7F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0.054</w:t>
            </w:r>
          </w:p>
        </w:tc>
        <w:tc>
          <w:tcPr>
            <w:tcW w:w="1400" w:type="dxa"/>
            <w:tcBorders>
              <w:top w:val="nil"/>
              <w:left w:val="nil"/>
              <w:bottom w:val="nil"/>
              <w:right w:val="nil"/>
            </w:tcBorders>
            <w:shd w:val="clear" w:color="000000" w:fill="FFFFFF"/>
            <w:noWrap/>
            <w:vAlign w:val="center"/>
            <w:hideMark/>
          </w:tcPr>
          <w:p w14:paraId="0B9E4B7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w:t>
            </w:r>
          </w:p>
        </w:tc>
        <w:tc>
          <w:tcPr>
            <w:tcW w:w="320" w:type="dxa"/>
            <w:tcBorders>
              <w:top w:val="nil"/>
              <w:left w:val="nil"/>
              <w:bottom w:val="nil"/>
              <w:right w:val="nil"/>
            </w:tcBorders>
            <w:shd w:val="clear" w:color="000000" w:fill="FFFFFF"/>
            <w:noWrap/>
            <w:vAlign w:val="center"/>
            <w:hideMark/>
          </w:tcPr>
          <w:p w14:paraId="52C1AA5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6AB06F1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0.029</w:t>
            </w:r>
          </w:p>
        </w:tc>
        <w:tc>
          <w:tcPr>
            <w:tcW w:w="1400" w:type="dxa"/>
            <w:tcBorders>
              <w:top w:val="nil"/>
              <w:left w:val="nil"/>
              <w:bottom w:val="nil"/>
              <w:right w:val="nil"/>
            </w:tcBorders>
            <w:shd w:val="clear" w:color="000000" w:fill="FFFFFF"/>
            <w:noWrap/>
            <w:vAlign w:val="center"/>
            <w:hideMark/>
          </w:tcPr>
          <w:p w14:paraId="0DA3D5D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0.032</w:t>
            </w:r>
          </w:p>
        </w:tc>
      </w:tr>
      <w:tr w:rsidR="008C674F" w:rsidRPr="00166607" w14:paraId="78F8E0F8" w14:textId="77777777" w:rsidTr="008C674F">
        <w:trPr>
          <w:trHeight w:val="280"/>
        </w:trPr>
        <w:tc>
          <w:tcPr>
            <w:tcW w:w="3975" w:type="dxa"/>
            <w:tcBorders>
              <w:top w:val="nil"/>
              <w:left w:val="nil"/>
              <w:bottom w:val="nil"/>
              <w:right w:val="nil"/>
            </w:tcBorders>
            <w:shd w:val="clear" w:color="000000" w:fill="FFFFFF"/>
            <w:noWrap/>
            <w:vAlign w:val="center"/>
            <w:hideMark/>
          </w:tcPr>
          <w:p w14:paraId="4AB863D2"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1EDA504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38455C6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w:t>
            </w:r>
          </w:p>
        </w:tc>
        <w:tc>
          <w:tcPr>
            <w:tcW w:w="320" w:type="dxa"/>
            <w:tcBorders>
              <w:top w:val="nil"/>
              <w:left w:val="nil"/>
              <w:bottom w:val="nil"/>
              <w:right w:val="nil"/>
            </w:tcBorders>
            <w:shd w:val="clear" w:color="000000" w:fill="FFFFFF"/>
            <w:noWrap/>
            <w:vAlign w:val="center"/>
            <w:hideMark/>
          </w:tcPr>
          <w:p w14:paraId="57F5A06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0517348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664635B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(0.014)</w:t>
            </w:r>
          </w:p>
        </w:tc>
        <w:tc>
          <w:tcPr>
            <w:tcW w:w="320" w:type="dxa"/>
            <w:tcBorders>
              <w:top w:val="nil"/>
              <w:left w:val="nil"/>
              <w:bottom w:val="nil"/>
              <w:right w:val="nil"/>
            </w:tcBorders>
            <w:shd w:val="clear" w:color="000000" w:fill="FFFFFF"/>
            <w:noWrap/>
            <w:vAlign w:val="center"/>
            <w:hideMark/>
          </w:tcPr>
          <w:p w14:paraId="2E86B8A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01674B2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72BA87C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(0.015)**</w:t>
            </w:r>
          </w:p>
        </w:tc>
      </w:tr>
      <w:tr w:rsidR="008C674F" w:rsidRPr="00166607" w14:paraId="4B334922" w14:textId="77777777" w:rsidTr="008C674F">
        <w:trPr>
          <w:trHeight w:val="280"/>
        </w:trPr>
        <w:tc>
          <w:tcPr>
            <w:tcW w:w="3975" w:type="dxa"/>
            <w:tcBorders>
              <w:top w:val="nil"/>
              <w:left w:val="nil"/>
              <w:bottom w:val="nil"/>
              <w:right w:val="nil"/>
            </w:tcBorders>
            <w:shd w:val="clear" w:color="000000" w:fill="FFFFFF"/>
            <w:noWrap/>
            <w:vAlign w:val="center"/>
            <w:hideMark/>
          </w:tcPr>
          <w:p w14:paraId="7EDB8E7D"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Years of tertiary education</w:t>
            </w:r>
          </w:p>
        </w:tc>
        <w:tc>
          <w:tcPr>
            <w:tcW w:w="1170" w:type="dxa"/>
            <w:tcBorders>
              <w:top w:val="nil"/>
              <w:left w:val="nil"/>
              <w:bottom w:val="nil"/>
              <w:right w:val="nil"/>
            </w:tcBorders>
            <w:shd w:val="clear" w:color="000000" w:fill="FFFFFF"/>
            <w:noWrap/>
            <w:vAlign w:val="center"/>
            <w:hideMark/>
          </w:tcPr>
          <w:p w14:paraId="47F6501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0.375</w:t>
            </w:r>
          </w:p>
        </w:tc>
        <w:tc>
          <w:tcPr>
            <w:tcW w:w="1400" w:type="dxa"/>
            <w:tcBorders>
              <w:top w:val="nil"/>
              <w:left w:val="nil"/>
              <w:bottom w:val="nil"/>
              <w:right w:val="nil"/>
            </w:tcBorders>
            <w:shd w:val="clear" w:color="000000" w:fill="FFFFFF"/>
            <w:noWrap/>
            <w:vAlign w:val="center"/>
            <w:hideMark/>
          </w:tcPr>
          <w:p w14:paraId="4F6C485E"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0.033</w:t>
            </w:r>
          </w:p>
        </w:tc>
        <w:tc>
          <w:tcPr>
            <w:tcW w:w="320" w:type="dxa"/>
            <w:tcBorders>
              <w:top w:val="nil"/>
              <w:left w:val="nil"/>
              <w:bottom w:val="nil"/>
              <w:right w:val="nil"/>
            </w:tcBorders>
            <w:shd w:val="clear" w:color="000000" w:fill="FFFFFF"/>
            <w:noWrap/>
            <w:vAlign w:val="center"/>
            <w:hideMark/>
          </w:tcPr>
          <w:p w14:paraId="08212434"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7A76A18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0.402</w:t>
            </w:r>
          </w:p>
        </w:tc>
        <w:tc>
          <w:tcPr>
            <w:tcW w:w="1400" w:type="dxa"/>
            <w:tcBorders>
              <w:top w:val="nil"/>
              <w:left w:val="nil"/>
              <w:bottom w:val="nil"/>
              <w:right w:val="nil"/>
            </w:tcBorders>
            <w:shd w:val="clear" w:color="000000" w:fill="FFFFFF"/>
            <w:noWrap/>
            <w:vAlign w:val="center"/>
            <w:hideMark/>
          </w:tcPr>
          <w:p w14:paraId="341E97B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-0.074</w:t>
            </w:r>
          </w:p>
        </w:tc>
        <w:tc>
          <w:tcPr>
            <w:tcW w:w="320" w:type="dxa"/>
            <w:tcBorders>
              <w:top w:val="nil"/>
              <w:left w:val="nil"/>
              <w:bottom w:val="nil"/>
              <w:right w:val="nil"/>
            </w:tcBorders>
            <w:shd w:val="clear" w:color="000000" w:fill="FFFFFF"/>
            <w:noWrap/>
            <w:vAlign w:val="center"/>
            <w:hideMark/>
          </w:tcPr>
          <w:p w14:paraId="14AE6C9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0288D06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0.343</w:t>
            </w:r>
          </w:p>
        </w:tc>
        <w:tc>
          <w:tcPr>
            <w:tcW w:w="1400" w:type="dxa"/>
            <w:tcBorders>
              <w:top w:val="nil"/>
              <w:left w:val="nil"/>
              <w:bottom w:val="nil"/>
              <w:right w:val="nil"/>
            </w:tcBorders>
            <w:shd w:val="clear" w:color="000000" w:fill="FFFFFF"/>
            <w:noWrap/>
            <w:vAlign w:val="center"/>
            <w:hideMark/>
          </w:tcPr>
          <w:p w14:paraId="55AF8FF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0.217</w:t>
            </w:r>
          </w:p>
        </w:tc>
      </w:tr>
      <w:tr w:rsidR="008C674F" w:rsidRPr="00166607" w14:paraId="07760DB5" w14:textId="77777777" w:rsidTr="008C674F">
        <w:trPr>
          <w:trHeight w:val="280"/>
        </w:trPr>
        <w:tc>
          <w:tcPr>
            <w:tcW w:w="3975" w:type="dxa"/>
            <w:tcBorders>
              <w:top w:val="nil"/>
              <w:left w:val="nil"/>
              <w:bottom w:val="nil"/>
              <w:right w:val="nil"/>
            </w:tcBorders>
            <w:shd w:val="clear" w:color="000000" w:fill="FFFFFF"/>
            <w:noWrap/>
            <w:vAlign w:val="center"/>
            <w:hideMark/>
          </w:tcPr>
          <w:p w14:paraId="098969A2"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77A61BE1"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(1.124)</w:t>
            </w:r>
          </w:p>
        </w:tc>
        <w:tc>
          <w:tcPr>
            <w:tcW w:w="1400" w:type="dxa"/>
            <w:tcBorders>
              <w:top w:val="nil"/>
              <w:left w:val="nil"/>
              <w:bottom w:val="nil"/>
              <w:right w:val="nil"/>
            </w:tcBorders>
            <w:shd w:val="clear" w:color="000000" w:fill="FFFFFF"/>
            <w:noWrap/>
            <w:vAlign w:val="center"/>
            <w:hideMark/>
          </w:tcPr>
          <w:p w14:paraId="3A88712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(0.054)</w:t>
            </w:r>
          </w:p>
        </w:tc>
        <w:tc>
          <w:tcPr>
            <w:tcW w:w="320" w:type="dxa"/>
            <w:tcBorders>
              <w:top w:val="nil"/>
              <w:left w:val="nil"/>
              <w:bottom w:val="nil"/>
              <w:right w:val="nil"/>
            </w:tcBorders>
            <w:shd w:val="clear" w:color="000000" w:fill="FFFFFF"/>
            <w:noWrap/>
            <w:vAlign w:val="center"/>
            <w:hideMark/>
          </w:tcPr>
          <w:p w14:paraId="1F6922D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1F6B0EE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(1.177)</w:t>
            </w:r>
          </w:p>
        </w:tc>
        <w:tc>
          <w:tcPr>
            <w:tcW w:w="1400" w:type="dxa"/>
            <w:tcBorders>
              <w:top w:val="nil"/>
              <w:left w:val="nil"/>
              <w:bottom w:val="nil"/>
              <w:right w:val="nil"/>
            </w:tcBorders>
            <w:shd w:val="clear" w:color="000000" w:fill="FFFFFF"/>
            <w:noWrap/>
            <w:vAlign w:val="center"/>
            <w:hideMark/>
          </w:tcPr>
          <w:p w14:paraId="6927FB4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(0.071)</w:t>
            </w:r>
          </w:p>
        </w:tc>
        <w:tc>
          <w:tcPr>
            <w:tcW w:w="320" w:type="dxa"/>
            <w:tcBorders>
              <w:top w:val="nil"/>
              <w:left w:val="nil"/>
              <w:bottom w:val="nil"/>
              <w:right w:val="nil"/>
            </w:tcBorders>
            <w:shd w:val="clear" w:color="000000" w:fill="FFFFFF"/>
            <w:noWrap/>
            <w:vAlign w:val="center"/>
            <w:hideMark/>
          </w:tcPr>
          <w:p w14:paraId="3DE0A01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6D69D05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(1.076)</w:t>
            </w:r>
          </w:p>
        </w:tc>
        <w:tc>
          <w:tcPr>
            <w:tcW w:w="1400" w:type="dxa"/>
            <w:tcBorders>
              <w:top w:val="nil"/>
              <w:left w:val="nil"/>
              <w:bottom w:val="nil"/>
              <w:right w:val="nil"/>
            </w:tcBorders>
            <w:shd w:val="clear" w:color="000000" w:fill="FFFFFF"/>
            <w:noWrap/>
            <w:vAlign w:val="center"/>
            <w:hideMark/>
          </w:tcPr>
          <w:p w14:paraId="0F6A98D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(0.091)**</w:t>
            </w:r>
          </w:p>
        </w:tc>
      </w:tr>
      <w:tr w:rsidR="008C674F" w:rsidRPr="00166607" w14:paraId="00111C70" w14:textId="77777777" w:rsidTr="008C674F">
        <w:trPr>
          <w:trHeight w:val="280"/>
        </w:trPr>
        <w:tc>
          <w:tcPr>
            <w:tcW w:w="3975" w:type="dxa"/>
            <w:tcBorders>
              <w:top w:val="nil"/>
              <w:left w:val="nil"/>
              <w:bottom w:val="nil"/>
              <w:right w:val="nil"/>
            </w:tcBorders>
            <w:shd w:val="clear" w:color="000000" w:fill="FFFFFF"/>
            <w:noWrap/>
            <w:vAlign w:val="center"/>
            <w:hideMark/>
          </w:tcPr>
          <w:p w14:paraId="56F88290"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Ever received government financial aid</w:t>
            </w:r>
          </w:p>
        </w:tc>
        <w:tc>
          <w:tcPr>
            <w:tcW w:w="1170" w:type="dxa"/>
            <w:tcBorders>
              <w:top w:val="nil"/>
              <w:left w:val="nil"/>
              <w:bottom w:val="nil"/>
              <w:right w:val="nil"/>
            </w:tcBorders>
            <w:shd w:val="clear" w:color="000000" w:fill="FFFFFF"/>
            <w:noWrap/>
            <w:vAlign w:val="center"/>
            <w:hideMark/>
          </w:tcPr>
          <w:p w14:paraId="16B5B5CB"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0.011</w:t>
            </w:r>
          </w:p>
        </w:tc>
        <w:tc>
          <w:tcPr>
            <w:tcW w:w="1400" w:type="dxa"/>
            <w:tcBorders>
              <w:top w:val="nil"/>
              <w:left w:val="nil"/>
              <w:bottom w:val="nil"/>
              <w:right w:val="nil"/>
            </w:tcBorders>
            <w:shd w:val="clear" w:color="000000" w:fill="FFFFFF"/>
            <w:noWrap/>
            <w:vAlign w:val="center"/>
            <w:hideMark/>
          </w:tcPr>
          <w:p w14:paraId="540BDA4D"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0.003</w:t>
            </w:r>
          </w:p>
        </w:tc>
        <w:tc>
          <w:tcPr>
            <w:tcW w:w="320" w:type="dxa"/>
            <w:tcBorders>
              <w:top w:val="nil"/>
              <w:left w:val="nil"/>
              <w:bottom w:val="nil"/>
              <w:right w:val="nil"/>
            </w:tcBorders>
            <w:shd w:val="clear" w:color="000000" w:fill="FFFFFF"/>
            <w:noWrap/>
            <w:vAlign w:val="center"/>
            <w:hideMark/>
          </w:tcPr>
          <w:p w14:paraId="65C2A69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777E014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0.012</w:t>
            </w:r>
          </w:p>
        </w:tc>
        <w:tc>
          <w:tcPr>
            <w:tcW w:w="1400" w:type="dxa"/>
            <w:tcBorders>
              <w:top w:val="nil"/>
              <w:left w:val="nil"/>
              <w:bottom w:val="nil"/>
              <w:right w:val="nil"/>
            </w:tcBorders>
            <w:shd w:val="clear" w:color="000000" w:fill="FFFFFF"/>
            <w:noWrap/>
            <w:vAlign w:val="center"/>
            <w:hideMark/>
          </w:tcPr>
          <w:p w14:paraId="380364B2"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-0.003</w:t>
            </w:r>
          </w:p>
        </w:tc>
        <w:tc>
          <w:tcPr>
            <w:tcW w:w="320" w:type="dxa"/>
            <w:tcBorders>
              <w:top w:val="nil"/>
              <w:left w:val="nil"/>
              <w:bottom w:val="nil"/>
              <w:right w:val="nil"/>
            </w:tcBorders>
            <w:shd w:val="clear" w:color="000000" w:fill="FFFFFF"/>
            <w:noWrap/>
            <w:vAlign w:val="center"/>
            <w:hideMark/>
          </w:tcPr>
          <w:p w14:paraId="753AD62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6D36A00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0.011</w:t>
            </w:r>
          </w:p>
        </w:tc>
        <w:tc>
          <w:tcPr>
            <w:tcW w:w="1400" w:type="dxa"/>
            <w:tcBorders>
              <w:top w:val="nil"/>
              <w:left w:val="nil"/>
              <w:bottom w:val="nil"/>
              <w:right w:val="nil"/>
            </w:tcBorders>
            <w:shd w:val="clear" w:color="000000" w:fill="FFFFFF"/>
            <w:noWrap/>
            <w:vAlign w:val="center"/>
            <w:hideMark/>
          </w:tcPr>
          <w:p w14:paraId="63A65B8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0.011</w:t>
            </w:r>
          </w:p>
        </w:tc>
      </w:tr>
      <w:tr w:rsidR="008C674F" w:rsidRPr="00166607" w14:paraId="703E06F1" w14:textId="77777777" w:rsidTr="008C674F">
        <w:trPr>
          <w:trHeight w:val="280"/>
        </w:trPr>
        <w:tc>
          <w:tcPr>
            <w:tcW w:w="3975" w:type="dxa"/>
            <w:tcBorders>
              <w:top w:val="nil"/>
              <w:left w:val="nil"/>
              <w:bottom w:val="nil"/>
              <w:right w:val="nil"/>
            </w:tcBorders>
            <w:shd w:val="clear" w:color="000000" w:fill="FFFFFF"/>
            <w:vAlign w:val="center"/>
            <w:hideMark/>
          </w:tcPr>
          <w:p w14:paraId="2B7CAD7C" w14:textId="77777777" w:rsidR="00484342" w:rsidRPr="00166607" w:rsidRDefault="00484342" w:rsidP="00484342">
            <w:pP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70" w:type="dxa"/>
            <w:tcBorders>
              <w:top w:val="nil"/>
              <w:left w:val="nil"/>
              <w:bottom w:val="nil"/>
              <w:right w:val="nil"/>
            </w:tcBorders>
            <w:shd w:val="clear" w:color="000000" w:fill="FFFFFF"/>
            <w:noWrap/>
            <w:vAlign w:val="center"/>
            <w:hideMark/>
          </w:tcPr>
          <w:p w14:paraId="69183BBF"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61B903B9"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(0.005)</w:t>
            </w:r>
          </w:p>
        </w:tc>
        <w:tc>
          <w:tcPr>
            <w:tcW w:w="320" w:type="dxa"/>
            <w:tcBorders>
              <w:top w:val="nil"/>
              <w:left w:val="nil"/>
              <w:bottom w:val="nil"/>
              <w:right w:val="nil"/>
            </w:tcBorders>
            <w:shd w:val="clear" w:color="000000" w:fill="FFFFFF"/>
            <w:noWrap/>
            <w:vAlign w:val="center"/>
            <w:hideMark/>
          </w:tcPr>
          <w:p w14:paraId="11D0BB4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nil"/>
              <w:right w:val="nil"/>
            </w:tcBorders>
            <w:shd w:val="clear" w:color="000000" w:fill="FFFFFF"/>
            <w:noWrap/>
            <w:vAlign w:val="center"/>
            <w:hideMark/>
          </w:tcPr>
          <w:p w14:paraId="0FAD824A"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0E6C0F27"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(0.007)</w:t>
            </w:r>
          </w:p>
        </w:tc>
        <w:tc>
          <w:tcPr>
            <w:tcW w:w="320" w:type="dxa"/>
            <w:tcBorders>
              <w:top w:val="nil"/>
              <w:left w:val="nil"/>
              <w:bottom w:val="nil"/>
              <w:right w:val="nil"/>
            </w:tcBorders>
            <w:shd w:val="clear" w:color="000000" w:fill="FFFFFF"/>
            <w:noWrap/>
            <w:vAlign w:val="center"/>
            <w:hideMark/>
          </w:tcPr>
          <w:p w14:paraId="628DFC7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nil"/>
              <w:right w:val="nil"/>
            </w:tcBorders>
            <w:shd w:val="clear" w:color="000000" w:fill="FFFFFF"/>
            <w:noWrap/>
            <w:vAlign w:val="center"/>
            <w:hideMark/>
          </w:tcPr>
          <w:p w14:paraId="7C1B755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400" w:type="dxa"/>
            <w:tcBorders>
              <w:top w:val="nil"/>
              <w:left w:val="nil"/>
              <w:bottom w:val="nil"/>
              <w:right w:val="nil"/>
            </w:tcBorders>
            <w:shd w:val="clear" w:color="000000" w:fill="FFFFFF"/>
            <w:noWrap/>
            <w:vAlign w:val="center"/>
            <w:hideMark/>
          </w:tcPr>
          <w:p w14:paraId="44724E9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(0.009)</w:t>
            </w:r>
          </w:p>
        </w:tc>
      </w:tr>
      <w:tr w:rsidR="008C674F" w:rsidRPr="00166607" w14:paraId="3ED91558" w14:textId="77777777" w:rsidTr="008C674F">
        <w:trPr>
          <w:trHeight w:val="300"/>
        </w:trPr>
        <w:tc>
          <w:tcPr>
            <w:tcW w:w="3975" w:type="dxa"/>
            <w:tcBorders>
              <w:top w:val="nil"/>
              <w:left w:val="nil"/>
              <w:bottom w:val="double" w:sz="6" w:space="0" w:color="auto"/>
              <w:right w:val="nil"/>
            </w:tcBorders>
            <w:shd w:val="clear" w:color="000000" w:fill="FFFFFF"/>
            <w:vAlign w:val="center"/>
            <w:hideMark/>
          </w:tcPr>
          <w:p w14:paraId="169D30B5" w14:textId="77777777" w:rsidR="00484342" w:rsidRPr="00166607" w:rsidRDefault="00484342" w:rsidP="00484342">
            <w:pPr>
              <w:rPr>
                <w:rFonts w:ascii="Times New Roman" w:eastAsia="Times New Roman" w:hAnsi="Times New Roman"/>
                <w:i/>
                <w:iCs/>
                <w:color w:val="000000"/>
                <w:sz w:val="20"/>
                <w:szCs w:val="20"/>
              </w:rPr>
            </w:pPr>
            <w:r w:rsidRPr="00166607">
              <w:rPr>
                <w:rFonts w:ascii="Times New Roman" w:eastAsia="Times New Roman" w:hAnsi="Times New Roman"/>
                <w:i/>
                <w:iCs/>
                <w:color w:val="000000"/>
                <w:sz w:val="20"/>
                <w:szCs w:val="20"/>
              </w:rPr>
              <w:t>N</w:t>
            </w:r>
          </w:p>
        </w:tc>
        <w:tc>
          <w:tcPr>
            <w:tcW w:w="1170" w:type="dxa"/>
            <w:tcBorders>
              <w:top w:val="nil"/>
              <w:left w:val="nil"/>
              <w:bottom w:val="double" w:sz="6" w:space="0" w:color="auto"/>
              <w:right w:val="nil"/>
            </w:tcBorders>
            <w:shd w:val="clear" w:color="000000" w:fill="FFFFFF"/>
            <w:noWrap/>
            <w:vAlign w:val="center"/>
            <w:hideMark/>
          </w:tcPr>
          <w:p w14:paraId="27624BA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744</w:t>
            </w:r>
          </w:p>
        </w:tc>
        <w:tc>
          <w:tcPr>
            <w:tcW w:w="1400" w:type="dxa"/>
            <w:tcBorders>
              <w:top w:val="nil"/>
              <w:left w:val="nil"/>
              <w:bottom w:val="double" w:sz="6" w:space="0" w:color="auto"/>
              <w:right w:val="nil"/>
            </w:tcBorders>
            <w:shd w:val="clear" w:color="000000" w:fill="FFFFFF"/>
            <w:noWrap/>
            <w:vAlign w:val="center"/>
            <w:hideMark/>
          </w:tcPr>
          <w:p w14:paraId="00FBF1A0"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1816</w:t>
            </w:r>
          </w:p>
        </w:tc>
        <w:tc>
          <w:tcPr>
            <w:tcW w:w="320" w:type="dxa"/>
            <w:tcBorders>
              <w:top w:val="nil"/>
              <w:left w:val="nil"/>
              <w:bottom w:val="double" w:sz="6" w:space="0" w:color="auto"/>
              <w:right w:val="nil"/>
            </w:tcBorders>
            <w:shd w:val="clear" w:color="000000" w:fill="FFFFFF"/>
            <w:noWrap/>
            <w:vAlign w:val="center"/>
            <w:hideMark/>
          </w:tcPr>
          <w:p w14:paraId="5C7138F3"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160" w:type="dxa"/>
            <w:tcBorders>
              <w:top w:val="nil"/>
              <w:left w:val="nil"/>
              <w:bottom w:val="double" w:sz="6" w:space="0" w:color="auto"/>
              <w:right w:val="nil"/>
            </w:tcBorders>
            <w:shd w:val="clear" w:color="000000" w:fill="FFFFFF"/>
            <w:noWrap/>
            <w:vAlign w:val="center"/>
            <w:hideMark/>
          </w:tcPr>
          <w:p w14:paraId="7EA2BA76"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405</w:t>
            </w:r>
          </w:p>
        </w:tc>
        <w:tc>
          <w:tcPr>
            <w:tcW w:w="1400" w:type="dxa"/>
            <w:tcBorders>
              <w:top w:val="nil"/>
              <w:left w:val="nil"/>
              <w:bottom w:val="double" w:sz="6" w:space="0" w:color="auto"/>
              <w:right w:val="nil"/>
            </w:tcBorders>
            <w:shd w:val="clear" w:color="000000" w:fill="FFFFFF"/>
            <w:noWrap/>
            <w:vAlign w:val="center"/>
            <w:hideMark/>
          </w:tcPr>
          <w:p w14:paraId="43D833A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968</w:t>
            </w:r>
          </w:p>
        </w:tc>
        <w:tc>
          <w:tcPr>
            <w:tcW w:w="320" w:type="dxa"/>
            <w:tcBorders>
              <w:top w:val="nil"/>
              <w:left w:val="nil"/>
              <w:bottom w:val="double" w:sz="6" w:space="0" w:color="auto"/>
              <w:right w:val="nil"/>
            </w:tcBorders>
            <w:shd w:val="clear" w:color="000000" w:fill="FFFFFF"/>
            <w:noWrap/>
            <w:vAlign w:val="center"/>
            <w:hideMark/>
          </w:tcPr>
          <w:p w14:paraId="5842985C"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070" w:type="dxa"/>
            <w:tcBorders>
              <w:top w:val="nil"/>
              <w:left w:val="nil"/>
              <w:bottom w:val="double" w:sz="6" w:space="0" w:color="auto"/>
              <w:right w:val="nil"/>
            </w:tcBorders>
            <w:shd w:val="clear" w:color="000000" w:fill="FFFFFF"/>
            <w:noWrap/>
            <w:vAlign w:val="center"/>
            <w:hideMark/>
          </w:tcPr>
          <w:p w14:paraId="0DDBE395"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280</w:t>
            </w:r>
          </w:p>
        </w:tc>
        <w:tc>
          <w:tcPr>
            <w:tcW w:w="1400" w:type="dxa"/>
            <w:tcBorders>
              <w:top w:val="nil"/>
              <w:left w:val="nil"/>
              <w:bottom w:val="double" w:sz="6" w:space="0" w:color="auto"/>
              <w:right w:val="nil"/>
            </w:tcBorders>
            <w:shd w:val="clear" w:color="000000" w:fill="FFFFFF"/>
            <w:noWrap/>
            <w:vAlign w:val="center"/>
            <w:hideMark/>
          </w:tcPr>
          <w:p w14:paraId="47B67CA8" w14:textId="77777777" w:rsidR="00484342" w:rsidRPr="00166607" w:rsidRDefault="00484342" w:rsidP="00484342">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720</w:t>
            </w:r>
          </w:p>
        </w:tc>
      </w:tr>
    </w:tbl>
    <w:p w14:paraId="5C015538" w14:textId="75CCB6C1" w:rsidR="00484342" w:rsidRPr="00166607" w:rsidRDefault="008C674F" w:rsidP="000B1B5E">
      <w:pPr>
        <w:rPr>
          <w:rFonts w:ascii="Times New Roman" w:hAnsi="Times New Roman"/>
          <w:sz w:val="20"/>
          <w:szCs w:val="20"/>
        </w:rPr>
      </w:pPr>
      <w:r w:rsidRPr="00166607">
        <w:rPr>
          <w:rFonts w:ascii="Times New Roman" w:hAnsi="Times New Roman"/>
          <w:i/>
          <w:sz w:val="20"/>
          <w:szCs w:val="20"/>
        </w:rPr>
        <w:t xml:space="preserve">Notes: </w:t>
      </w:r>
      <w:r w:rsidRPr="00166607">
        <w:rPr>
          <w:rFonts w:ascii="Times New Roman" w:hAnsi="Times New Roman"/>
          <w:sz w:val="20"/>
          <w:szCs w:val="20"/>
        </w:rPr>
        <w:t>Table reports scholarship lottery loser’s means and estimated effects of winning a scholarship with application controls. Controls include age, male and whether the applicant had a phone number at the time of scholarship application. Estimates in columns 2,4 and 6 are from linear probability models. Numbers in parentheses are robust standard errors in columns of estimated scholarship effects. * significant 10%, ** significant 5%, *** significant 1%.</w:t>
      </w:r>
    </w:p>
    <w:p w14:paraId="06D8D44E" w14:textId="77777777" w:rsidR="00B324CB" w:rsidRPr="00166607" w:rsidRDefault="00B324CB" w:rsidP="000B1B5E">
      <w:pPr>
        <w:rPr>
          <w:rFonts w:ascii="Times New Roman" w:hAnsi="Times New Roman"/>
          <w:sz w:val="20"/>
          <w:szCs w:val="20"/>
        </w:rPr>
      </w:pPr>
    </w:p>
    <w:p w14:paraId="47557320" w14:textId="77777777" w:rsidR="00B324CB" w:rsidRPr="00166607" w:rsidRDefault="00B324CB" w:rsidP="000B1B5E">
      <w:pPr>
        <w:rPr>
          <w:rFonts w:ascii="Times New Roman" w:hAnsi="Times New Roman"/>
          <w:sz w:val="20"/>
          <w:szCs w:val="20"/>
        </w:rPr>
      </w:pPr>
    </w:p>
    <w:p w14:paraId="342E74B5" w14:textId="77777777" w:rsidR="00B324CB" w:rsidRPr="00166607" w:rsidRDefault="00B324CB" w:rsidP="000B1B5E">
      <w:pPr>
        <w:rPr>
          <w:rFonts w:ascii="Times New Roman" w:hAnsi="Times New Roman"/>
          <w:sz w:val="20"/>
          <w:szCs w:val="20"/>
        </w:rPr>
      </w:pPr>
    </w:p>
    <w:p w14:paraId="754014AC" w14:textId="77777777" w:rsidR="00B324CB" w:rsidRPr="00166607" w:rsidRDefault="00B324CB" w:rsidP="000B1B5E">
      <w:pPr>
        <w:rPr>
          <w:rFonts w:ascii="Times New Roman" w:hAnsi="Times New Roman"/>
          <w:sz w:val="20"/>
          <w:szCs w:val="20"/>
        </w:rPr>
      </w:pPr>
    </w:p>
    <w:p w14:paraId="36661148" w14:textId="77777777" w:rsidR="00B324CB" w:rsidRPr="00166607" w:rsidRDefault="00B324CB" w:rsidP="000B1B5E">
      <w:pPr>
        <w:rPr>
          <w:rFonts w:ascii="Times New Roman" w:hAnsi="Times New Roman"/>
          <w:sz w:val="20"/>
          <w:szCs w:val="20"/>
        </w:rPr>
      </w:pPr>
    </w:p>
    <w:p w14:paraId="04B1C84F" w14:textId="77777777" w:rsidR="00B324CB" w:rsidRPr="00166607" w:rsidRDefault="00B324CB" w:rsidP="000B1B5E">
      <w:pPr>
        <w:rPr>
          <w:rFonts w:ascii="Times New Roman" w:hAnsi="Times New Roman"/>
          <w:sz w:val="20"/>
          <w:szCs w:val="20"/>
        </w:rPr>
      </w:pPr>
    </w:p>
    <w:p w14:paraId="335E2750" w14:textId="77777777" w:rsidR="00B324CB" w:rsidRPr="00166607" w:rsidRDefault="00B324CB" w:rsidP="000B1B5E">
      <w:pPr>
        <w:rPr>
          <w:rFonts w:ascii="Times New Roman" w:hAnsi="Times New Roman"/>
          <w:sz w:val="20"/>
          <w:szCs w:val="20"/>
        </w:rPr>
      </w:pPr>
    </w:p>
    <w:p w14:paraId="1E21B68E" w14:textId="6C4B369C" w:rsidR="001C46D7" w:rsidRPr="00166607" w:rsidRDefault="00B324CB" w:rsidP="000B1B5E">
      <w:pPr>
        <w:rPr>
          <w:rFonts w:ascii="Times New Roman" w:hAnsi="Times New Roman"/>
        </w:rPr>
      </w:pPr>
      <w:r w:rsidRPr="00166607">
        <w:rPr>
          <w:rFonts w:ascii="Times New Roman" w:hAnsi="Times New Roman"/>
        </w:rPr>
        <w:t>Appendix B.  Scholarship impacts on government subsidy receipt</w:t>
      </w:r>
    </w:p>
    <w:tbl>
      <w:tblPr>
        <w:tblW w:w="12390" w:type="dxa"/>
        <w:tblInd w:w="93" w:type="dxa"/>
        <w:tblLook w:val="04A0" w:firstRow="1" w:lastRow="0" w:firstColumn="1" w:lastColumn="0" w:noHBand="0" w:noVBand="1"/>
      </w:tblPr>
      <w:tblGrid>
        <w:gridCol w:w="3600"/>
        <w:gridCol w:w="320"/>
        <w:gridCol w:w="1300"/>
        <w:gridCol w:w="1310"/>
        <w:gridCol w:w="320"/>
        <w:gridCol w:w="1300"/>
        <w:gridCol w:w="1310"/>
        <w:gridCol w:w="320"/>
        <w:gridCol w:w="1300"/>
        <w:gridCol w:w="1310"/>
      </w:tblGrid>
      <w:tr w:rsidR="001C46D7" w:rsidRPr="00166607" w14:paraId="126E519A" w14:textId="77777777" w:rsidTr="00313C8A">
        <w:trPr>
          <w:trHeight w:val="160"/>
        </w:trPr>
        <w:tc>
          <w:tcPr>
            <w:tcW w:w="3600" w:type="dxa"/>
            <w:tcBorders>
              <w:top w:val="nil"/>
              <w:left w:val="nil"/>
              <w:bottom w:val="nil"/>
              <w:right w:val="nil"/>
            </w:tcBorders>
            <w:shd w:val="clear" w:color="auto" w:fill="auto"/>
            <w:noWrap/>
            <w:vAlign w:val="bottom"/>
            <w:hideMark/>
          </w:tcPr>
          <w:p w14:paraId="4901FFED" w14:textId="77777777" w:rsidR="001C46D7" w:rsidRPr="00166607" w:rsidRDefault="001C46D7" w:rsidP="001C46D7">
            <w:pPr>
              <w:rPr>
                <w:rFonts w:ascii="Calibri" w:eastAsia="Times New Roman" w:hAnsi="Calibri"/>
                <w:color w:val="000000"/>
                <w:sz w:val="22"/>
                <w:szCs w:val="22"/>
              </w:rPr>
            </w:pPr>
          </w:p>
        </w:tc>
        <w:tc>
          <w:tcPr>
            <w:tcW w:w="320" w:type="dxa"/>
            <w:tcBorders>
              <w:top w:val="nil"/>
              <w:left w:val="nil"/>
              <w:bottom w:val="nil"/>
              <w:right w:val="nil"/>
            </w:tcBorders>
            <w:shd w:val="clear" w:color="auto" w:fill="auto"/>
            <w:noWrap/>
            <w:vAlign w:val="bottom"/>
            <w:hideMark/>
          </w:tcPr>
          <w:p w14:paraId="6CC3F339" w14:textId="77777777" w:rsidR="001C46D7" w:rsidRPr="00166607" w:rsidRDefault="001C46D7" w:rsidP="001C46D7">
            <w:pPr>
              <w:rPr>
                <w:rFonts w:ascii="Calibri" w:eastAsia="Times New Roman" w:hAnsi="Calibri"/>
                <w:color w:val="000000"/>
                <w:sz w:val="22"/>
                <w:szCs w:val="22"/>
              </w:rPr>
            </w:pPr>
          </w:p>
        </w:tc>
        <w:tc>
          <w:tcPr>
            <w:tcW w:w="1300" w:type="dxa"/>
            <w:tcBorders>
              <w:top w:val="nil"/>
              <w:left w:val="nil"/>
              <w:bottom w:val="nil"/>
              <w:right w:val="nil"/>
            </w:tcBorders>
            <w:shd w:val="clear" w:color="auto" w:fill="auto"/>
            <w:noWrap/>
            <w:vAlign w:val="bottom"/>
            <w:hideMark/>
          </w:tcPr>
          <w:p w14:paraId="3456C087" w14:textId="77777777" w:rsidR="001C46D7" w:rsidRPr="00166607" w:rsidRDefault="001C46D7" w:rsidP="001C46D7">
            <w:pPr>
              <w:rPr>
                <w:rFonts w:ascii="Calibri" w:eastAsia="Times New Roman" w:hAnsi="Calibri"/>
                <w:color w:val="000000"/>
                <w:sz w:val="22"/>
                <w:szCs w:val="22"/>
              </w:rPr>
            </w:pPr>
          </w:p>
        </w:tc>
        <w:tc>
          <w:tcPr>
            <w:tcW w:w="1310" w:type="dxa"/>
            <w:tcBorders>
              <w:top w:val="nil"/>
              <w:left w:val="nil"/>
              <w:bottom w:val="nil"/>
              <w:right w:val="nil"/>
            </w:tcBorders>
            <w:shd w:val="clear" w:color="auto" w:fill="auto"/>
            <w:noWrap/>
            <w:vAlign w:val="bottom"/>
            <w:hideMark/>
          </w:tcPr>
          <w:p w14:paraId="7F24C764" w14:textId="77777777" w:rsidR="001C46D7" w:rsidRPr="00166607" w:rsidRDefault="001C46D7" w:rsidP="001C46D7">
            <w:pPr>
              <w:rPr>
                <w:rFonts w:ascii="Calibri" w:eastAsia="Times New Roman" w:hAnsi="Calibri"/>
                <w:color w:val="000000"/>
                <w:sz w:val="22"/>
                <w:szCs w:val="22"/>
              </w:rPr>
            </w:pPr>
          </w:p>
        </w:tc>
        <w:tc>
          <w:tcPr>
            <w:tcW w:w="320" w:type="dxa"/>
            <w:tcBorders>
              <w:top w:val="nil"/>
              <w:left w:val="nil"/>
              <w:bottom w:val="nil"/>
              <w:right w:val="nil"/>
            </w:tcBorders>
            <w:shd w:val="clear" w:color="auto" w:fill="auto"/>
            <w:noWrap/>
            <w:vAlign w:val="bottom"/>
            <w:hideMark/>
          </w:tcPr>
          <w:p w14:paraId="41024B0D" w14:textId="77777777" w:rsidR="001C46D7" w:rsidRPr="00166607" w:rsidRDefault="001C46D7" w:rsidP="001C46D7">
            <w:pPr>
              <w:rPr>
                <w:rFonts w:ascii="Calibri" w:eastAsia="Times New Roman" w:hAnsi="Calibri"/>
                <w:color w:val="000000"/>
                <w:sz w:val="22"/>
                <w:szCs w:val="22"/>
              </w:rPr>
            </w:pPr>
          </w:p>
        </w:tc>
        <w:tc>
          <w:tcPr>
            <w:tcW w:w="1300" w:type="dxa"/>
            <w:tcBorders>
              <w:top w:val="nil"/>
              <w:left w:val="nil"/>
              <w:bottom w:val="nil"/>
              <w:right w:val="nil"/>
            </w:tcBorders>
            <w:shd w:val="clear" w:color="auto" w:fill="auto"/>
            <w:noWrap/>
            <w:vAlign w:val="bottom"/>
            <w:hideMark/>
          </w:tcPr>
          <w:p w14:paraId="10061827" w14:textId="77777777" w:rsidR="001C46D7" w:rsidRPr="00166607" w:rsidRDefault="001C46D7" w:rsidP="001C46D7">
            <w:pPr>
              <w:rPr>
                <w:rFonts w:ascii="Calibri" w:eastAsia="Times New Roman" w:hAnsi="Calibri"/>
                <w:color w:val="000000"/>
                <w:sz w:val="22"/>
                <w:szCs w:val="22"/>
              </w:rPr>
            </w:pPr>
          </w:p>
        </w:tc>
        <w:tc>
          <w:tcPr>
            <w:tcW w:w="1310" w:type="dxa"/>
            <w:tcBorders>
              <w:top w:val="nil"/>
              <w:left w:val="nil"/>
              <w:bottom w:val="nil"/>
              <w:right w:val="nil"/>
            </w:tcBorders>
            <w:shd w:val="clear" w:color="auto" w:fill="auto"/>
            <w:noWrap/>
            <w:vAlign w:val="bottom"/>
            <w:hideMark/>
          </w:tcPr>
          <w:p w14:paraId="54D94F42" w14:textId="77777777" w:rsidR="001C46D7" w:rsidRPr="00166607" w:rsidRDefault="001C46D7" w:rsidP="001C46D7">
            <w:pPr>
              <w:rPr>
                <w:rFonts w:ascii="Calibri" w:eastAsia="Times New Roman" w:hAnsi="Calibri"/>
                <w:color w:val="000000"/>
                <w:sz w:val="22"/>
                <w:szCs w:val="22"/>
              </w:rPr>
            </w:pPr>
          </w:p>
        </w:tc>
        <w:tc>
          <w:tcPr>
            <w:tcW w:w="320" w:type="dxa"/>
            <w:tcBorders>
              <w:top w:val="nil"/>
              <w:left w:val="nil"/>
              <w:bottom w:val="nil"/>
              <w:right w:val="nil"/>
            </w:tcBorders>
            <w:shd w:val="clear" w:color="auto" w:fill="auto"/>
            <w:noWrap/>
            <w:vAlign w:val="bottom"/>
            <w:hideMark/>
          </w:tcPr>
          <w:p w14:paraId="2FC26E92" w14:textId="77777777" w:rsidR="001C46D7" w:rsidRPr="00166607" w:rsidRDefault="001C46D7" w:rsidP="001C46D7">
            <w:pPr>
              <w:rPr>
                <w:rFonts w:ascii="Calibri" w:eastAsia="Times New Roman" w:hAnsi="Calibri"/>
                <w:color w:val="000000"/>
                <w:sz w:val="22"/>
                <w:szCs w:val="22"/>
              </w:rPr>
            </w:pPr>
          </w:p>
        </w:tc>
        <w:tc>
          <w:tcPr>
            <w:tcW w:w="1300" w:type="dxa"/>
            <w:tcBorders>
              <w:top w:val="nil"/>
              <w:left w:val="nil"/>
              <w:bottom w:val="nil"/>
              <w:right w:val="nil"/>
            </w:tcBorders>
            <w:shd w:val="clear" w:color="auto" w:fill="auto"/>
            <w:noWrap/>
            <w:vAlign w:val="bottom"/>
            <w:hideMark/>
          </w:tcPr>
          <w:p w14:paraId="5118977A" w14:textId="77777777" w:rsidR="001C46D7" w:rsidRPr="00166607" w:rsidRDefault="001C46D7" w:rsidP="001C46D7">
            <w:pPr>
              <w:rPr>
                <w:rFonts w:ascii="Calibri" w:eastAsia="Times New Roman" w:hAnsi="Calibri"/>
                <w:color w:val="000000"/>
                <w:sz w:val="22"/>
                <w:szCs w:val="22"/>
              </w:rPr>
            </w:pPr>
          </w:p>
        </w:tc>
        <w:tc>
          <w:tcPr>
            <w:tcW w:w="1310" w:type="dxa"/>
            <w:tcBorders>
              <w:top w:val="nil"/>
              <w:left w:val="nil"/>
              <w:bottom w:val="nil"/>
              <w:right w:val="nil"/>
            </w:tcBorders>
            <w:shd w:val="clear" w:color="auto" w:fill="auto"/>
            <w:noWrap/>
            <w:vAlign w:val="bottom"/>
            <w:hideMark/>
          </w:tcPr>
          <w:p w14:paraId="37780541" w14:textId="77777777" w:rsidR="001C46D7" w:rsidRPr="00166607" w:rsidRDefault="001C46D7" w:rsidP="001C46D7">
            <w:pPr>
              <w:rPr>
                <w:rFonts w:ascii="Calibri" w:eastAsia="Times New Roman" w:hAnsi="Calibri"/>
                <w:color w:val="000000"/>
                <w:sz w:val="22"/>
                <w:szCs w:val="22"/>
              </w:rPr>
            </w:pPr>
          </w:p>
        </w:tc>
      </w:tr>
      <w:tr w:rsidR="001C46D7" w:rsidRPr="00166607" w14:paraId="03428D0B" w14:textId="77777777" w:rsidTr="00313C8A">
        <w:trPr>
          <w:trHeight w:val="320"/>
        </w:trPr>
        <w:tc>
          <w:tcPr>
            <w:tcW w:w="3600" w:type="dxa"/>
            <w:tcBorders>
              <w:top w:val="double" w:sz="6" w:space="0" w:color="auto"/>
              <w:left w:val="nil"/>
              <w:bottom w:val="nil"/>
              <w:right w:val="nil"/>
            </w:tcBorders>
            <w:shd w:val="clear" w:color="000000" w:fill="FFFFFF"/>
            <w:vAlign w:val="center"/>
            <w:hideMark/>
          </w:tcPr>
          <w:p w14:paraId="2D3D4342"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320" w:type="dxa"/>
            <w:tcBorders>
              <w:top w:val="double" w:sz="6" w:space="0" w:color="auto"/>
              <w:left w:val="nil"/>
              <w:bottom w:val="nil"/>
              <w:right w:val="nil"/>
            </w:tcBorders>
            <w:shd w:val="clear" w:color="000000" w:fill="FFFFFF"/>
            <w:noWrap/>
            <w:vAlign w:val="center"/>
            <w:hideMark/>
          </w:tcPr>
          <w:p w14:paraId="224A0B4D" w14:textId="77777777" w:rsidR="001C46D7" w:rsidRPr="00166607" w:rsidRDefault="001C46D7" w:rsidP="001C46D7">
            <w:pPr>
              <w:rPr>
                <w:rFonts w:ascii="Times New Roman" w:eastAsia="Times New Roman" w:hAnsi="Times New Roman"/>
                <w:b/>
                <w:bCs/>
                <w:color w:val="000000"/>
                <w:sz w:val="22"/>
                <w:szCs w:val="22"/>
              </w:rPr>
            </w:pPr>
            <w:r w:rsidRPr="00166607">
              <w:rPr>
                <w:rFonts w:ascii="Times New Roman" w:eastAsia="Times New Roman" w:hAnsi="Times New Roman"/>
                <w:b/>
                <w:bCs/>
                <w:color w:val="000000"/>
                <w:sz w:val="22"/>
                <w:szCs w:val="22"/>
              </w:rPr>
              <w:t> </w:t>
            </w:r>
          </w:p>
        </w:tc>
        <w:tc>
          <w:tcPr>
            <w:tcW w:w="2610" w:type="dxa"/>
            <w:gridSpan w:val="2"/>
            <w:tcBorders>
              <w:top w:val="double" w:sz="6" w:space="0" w:color="auto"/>
              <w:left w:val="nil"/>
              <w:bottom w:val="single" w:sz="8" w:space="0" w:color="auto"/>
              <w:right w:val="nil"/>
            </w:tcBorders>
            <w:shd w:val="clear" w:color="000000" w:fill="FFFFFF"/>
            <w:noWrap/>
            <w:vAlign w:val="center"/>
            <w:hideMark/>
          </w:tcPr>
          <w:p w14:paraId="0DA05807"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All</w:t>
            </w:r>
          </w:p>
        </w:tc>
        <w:tc>
          <w:tcPr>
            <w:tcW w:w="320" w:type="dxa"/>
            <w:tcBorders>
              <w:top w:val="double" w:sz="6" w:space="0" w:color="auto"/>
              <w:left w:val="nil"/>
              <w:bottom w:val="nil"/>
              <w:right w:val="nil"/>
            </w:tcBorders>
            <w:shd w:val="clear" w:color="000000" w:fill="FFFFFF"/>
            <w:noWrap/>
            <w:vAlign w:val="center"/>
            <w:hideMark/>
          </w:tcPr>
          <w:p w14:paraId="5B5DA9DB"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2610" w:type="dxa"/>
            <w:gridSpan w:val="2"/>
            <w:tcBorders>
              <w:top w:val="double" w:sz="6" w:space="0" w:color="auto"/>
              <w:left w:val="nil"/>
              <w:bottom w:val="single" w:sz="8" w:space="0" w:color="auto"/>
              <w:right w:val="nil"/>
            </w:tcBorders>
            <w:shd w:val="clear" w:color="000000" w:fill="FFFFFF"/>
            <w:noWrap/>
            <w:vAlign w:val="center"/>
            <w:hideMark/>
          </w:tcPr>
          <w:p w14:paraId="334A21EF" w14:textId="77777777" w:rsidR="001C46D7" w:rsidRPr="00166607" w:rsidRDefault="001C46D7" w:rsidP="001C46D7">
            <w:pPr>
              <w:jc w:val="center"/>
              <w:rPr>
                <w:rFonts w:ascii="Times New Roman" w:eastAsia="Times New Roman" w:hAnsi="Times New Roman"/>
                <w:color w:val="000000"/>
                <w:sz w:val="22"/>
                <w:szCs w:val="20"/>
              </w:rPr>
            </w:pPr>
            <w:r w:rsidRPr="00166607">
              <w:rPr>
                <w:rFonts w:ascii="Times New Roman" w:eastAsia="Times New Roman" w:hAnsi="Times New Roman"/>
                <w:color w:val="000000"/>
                <w:sz w:val="22"/>
                <w:szCs w:val="20"/>
              </w:rPr>
              <w:t>Academic School Applicants</w:t>
            </w:r>
          </w:p>
        </w:tc>
        <w:tc>
          <w:tcPr>
            <w:tcW w:w="320" w:type="dxa"/>
            <w:tcBorders>
              <w:top w:val="double" w:sz="6" w:space="0" w:color="auto"/>
              <w:left w:val="nil"/>
              <w:bottom w:val="nil"/>
              <w:right w:val="nil"/>
            </w:tcBorders>
            <w:shd w:val="clear" w:color="000000" w:fill="FFFFFF"/>
            <w:noWrap/>
            <w:vAlign w:val="center"/>
            <w:hideMark/>
          </w:tcPr>
          <w:p w14:paraId="3E048C77" w14:textId="77777777" w:rsidR="001C46D7" w:rsidRPr="00166607" w:rsidRDefault="001C46D7" w:rsidP="001C46D7">
            <w:pPr>
              <w:jc w:val="center"/>
              <w:rPr>
                <w:rFonts w:ascii="Times New Roman" w:eastAsia="Times New Roman" w:hAnsi="Times New Roman"/>
                <w:color w:val="000000"/>
                <w:sz w:val="22"/>
                <w:szCs w:val="20"/>
              </w:rPr>
            </w:pPr>
            <w:r w:rsidRPr="00166607">
              <w:rPr>
                <w:rFonts w:ascii="Times New Roman" w:eastAsia="Times New Roman" w:hAnsi="Times New Roman"/>
                <w:color w:val="000000"/>
                <w:sz w:val="22"/>
                <w:szCs w:val="20"/>
              </w:rPr>
              <w:t> </w:t>
            </w:r>
          </w:p>
        </w:tc>
        <w:tc>
          <w:tcPr>
            <w:tcW w:w="2610" w:type="dxa"/>
            <w:gridSpan w:val="2"/>
            <w:tcBorders>
              <w:top w:val="double" w:sz="6" w:space="0" w:color="auto"/>
              <w:left w:val="nil"/>
              <w:bottom w:val="single" w:sz="8" w:space="0" w:color="auto"/>
              <w:right w:val="nil"/>
            </w:tcBorders>
            <w:shd w:val="clear" w:color="000000" w:fill="FFFFFF"/>
            <w:noWrap/>
            <w:vAlign w:val="center"/>
            <w:hideMark/>
          </w:tcPr>
          <w:p w14:paraId="4F8D8560" w14:textId="77777777" w:rsidR="001C46D7" w:rsidRPr="00166607" w:rsidRDefault="001C46D7" w:rsidP="001C46D7">
            <w:pPr>
              <w:jc w:val="center"/>
              <w:rPr>
                <w:rFonts w:ascii="Times New Roman" w:eastAsia="Times New Roman" w:hAnsi="Times New Roman"/>
                <w:color w:val="000000"/>
                <w:sz w:val="22"/>
                <w:szCs w:val="20"/>
              </w:rPr>
            </w:pPr>
            <w:r w:rsidRPr="00166607">
              <w:rPr>
                <w:rFonts w:ascii="Times New Roman" w:eastAsia="Times New Roman" w:hAnsi="Times New Roman"/>
                <w:color w:val="000000"/>
                <w:sz w:val="22"/>
                <w:szCs w:val="20"/>
              </w:rPr>
              <w:t>Vocational School Applicants</w:t>
            </w:r>
          </w:p>
        </w:tc>
      </w:tr>
      <w:tr w:rsidR="001C46D7" w:rsidRPr="00166607" w14:paraId="7B2E4228" w14:textId="77777777" w:rsidTr="00313C8A">
        <w:trPr>
          <w:trHeight w:val="1300"/>
        </w:trPr>
        <w:tc>
          <w:tcPr>
            <w:tcW w:w="3600" w:type="dxa"/>
            <w:tcBorders>
              <w:top w:val="nil"/>
              <w:left w:val="nil"/>
              <w:bottom w:val="nil"/>
              <w:right w:val="nil"/>
            </w:tcBorders>
            <w:shd w:val="clear" w:color="000000" w:fill="FFFFFF"/>
            <w:vAlign w:val="center"/>
            <w:hideMark/>
          </w:tcPr>
          <w:p w14:paraId="2B299851" w14:textId="77777777" w:rsidR="001C46D7" w:rsidRPr="00166607" w:rsidRDefault="001C46D7" w:rsidP="001C46D7">
            <w:pPr>
              <w:jc w:val="center"/>
              <w:rPr>
                <w:rFonts w:ascii="Times New Roman" w:eastAsia="Times New Roman" w:hAnsi="Times New Roman"/>
                <w:b/>
                <w:bCs/>
                <w:color w:val="000000"/>
                <w:sz w:val="22"/>
                <w:szCs w:val="22"/>
              </w:rPr>
            </w:pPr>
            <w:r w:rsidRPr="00166607">
              <w:rPr>
                <w:rFonts w:ascii="Times New Roman" w:eastAsia="Times New Roman" w:hAnsi="Times New Roman"/>
                <w:b/>
                <w:bCs/>
                <w:color w:val="000000"/>
                <w:sz w:val="22"/>
                <w:szCs w:val="22"/>
              </w:rPr>
              <w:t> </w:t>
            </w:r>
          </w:p>
        </w:tc>
        <w:tc>
          <w:tcPr>
            <w:tcW w:w="320" w:type="dxa"/>
            <w:tcBorders>
              <w:top w:val="nil"/>
              <w:left w:val="nil"/>
              <w:bottom w:val="nil"/>
              <w:right w:val="nil"/>
            </w:tcBorders>
            <w:shd w:val="clear" w:color="000000" w:fill="FFFFFF"/>
            <w:vAlign w:val="center"/>
            <w:hideMark/>
          </w:tcPr>
          <w:p w14:paraId="75C5338A" w14:textId="77777777" w:rsidR="001C46D7" w:rsidRPr="00166607" w:rsidRDefault="001C46D7" w:rsidP="001C46D7">
            <w:pPr>
              <w:jc w:val="center"/>
              <w:rPr>
                <w:rFonts w:ascii="Times New Roman" w:eastAsia="Times New Roman" w:hAnsi="Times New Roman"/>
                <w:b/>
                <w:bCs/>
                <w:color w:val="000000"/>
                <w:sz w:val="22"/>
                <w:szCs w:val="22"/>
              </w:rPr>
            </w:pPr>
            <w:r w:rsidRPr="00166607">
              <w:rPr>
                <w:rFonts w:ascii="Times New Roman" w:eastAsia="Times New Roman" w:hAnsi="Times New Roman"/>
                <w:b/>
                <w:bCs/>
                <w:color w:val="000000"/>
                <w:sz w:val="22"/>
                <w:szCs w:val="22"/>
              </w:rPr>
              <w:t> </w:t>
            </w:r>
          </w:p>
        </w:tc>
        <w:tc>
          <w:tcPr>
            <w:tcW w:w="1300" w:type="dxa"/>
            <w:tcBorders>
              <w:top w:val="nil"/>
              <w:left w:val="nil"/>
              <w:bottom w:val="nil"/>
              <w:right w:val="nil"/>
            </w:tcBorders>
            <w:shd w:val="clear" w:color="000000" w:fill="FFFFFF"/>
            <w:vAlign w:val="center"/>
            <w:hideMark/>
          </w:tcPr>
          <w:p w14:paraId="29573D5B" w14:textId="4E1A49DA"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Loser's Mean</w:t>
            </w:r>
          </w:p>
        </w:tc>
        <w:tc>
          <w:tcPr>
            <w:tcW w:w="1310" w:type="dxa"/>
            <w:tcBorders>
              <w:top w:val="nil"/>
              <w:left w:val="nil"/>
              <w:bottom w:val="nil"/>
              <w:right w:val="nil"/>
            </w:tcBorders>
            <w:shd w:val="clear" w:color="000000" w:fill="FFFFFF"/>
            <w:vAlign w:val="center"/>
            <w:hideMark/>
          </w:tcPr>
          <w:p w14:paraId="12D9883B"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Won a Scholarship, Application Controls    (s.e)</w:t>
            </w:r>
          </w:p>
        </w:tc>
        <w:tc>
          <w:tcPr>
            <w:tcW w:w="320" w:type="dxa"/>
            <w:tcBorders>
              <w:top w:val="nil"/>
              <w:left w:val="nil"/>
              <w:bottom w:val="nil"/>
              <w:right w:val="nil"/>
            </w:tcBorders>
            <w:shd w:val="clear" w:color="000000" w:fill="FFFFFF"/>
            <w:vAlign w:val="center"/>
            <w:hideMark/>
          </w:tcPr>
          <w:p w14:paraId="3E4BED71"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vAlign w:val="center"/>
            <w:hideMark/>
          </w:tcPr>
          <w:p w14:paraId="01E0CFC3" w14:textId="07985652"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Loser's Mean</w:t>
            </w:r>
          </w:p>
        </w:tc>
        <w:tc>
          <w:tcPr>
            <w:tcW w:w="1310" w:type="dxa"/>
            <w:tcBorders>
              <w:top w:val="nil"/>
              <w:left w:val="nil"/>
              <w:bottom w:val="nil"/>
              <w:right w:val="nil"/>
            </w:tcBorders>
            <w:shd w:val="clear" w:color="000000" w:fill="FFFFFF"/>
            <w:vAlign w:val="center"/>
            <w:hideMark/>
          </w:tcPr>
          <w:p w14:paraId="288F18CC"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Won a Scholarship, Application Controls    (s.e)</w:t>
            </w:r>
          </w:p>
        </w:tc>
        <w:tc>
          <w:tcPr>
            <w:tcW w:w="320" w:type="dxa"/>
            <w:tcBorders>
              <w:top w:val="nil"/>
              <w:left w:val="nil"/>
              <w:bottom w:val="nil"/>
              <w:right w:val="nil"/>
            </w:tcBorders>
            <w:shd w:val="clear" w:color="000000" w:fill="FFFFFF"/>
            <w:vAlign w:val="center"/>
            <w:hideMark/>
          </w:tcPr>
          <w:p w14:paraId="14B7235B"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vAlign w:val="center"/>
            <w:hideMark/>
          </w:tcPr>
          <w:p w14:paraId="50D40AFC" w14:textId="49DFE023"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Loser's Mean</w:t>
            </w:r>
          </w:p>
        </w:tc>
        <w:tc>
          <w:tcPr>
            <w:tcW w:w="1310" w:type="dxa"/>
            <w:tcBorders>
              <w:top w:val="nil"/>
              <w:left w:val="nil"/>
              <w:bottom w:val="nil"/>
              <w:right w:val="nil"/>
            </w:tcBorders>
            <w:shd w:val="clear" w:color="000000" w:fill="FFFFFF"/>
            <w:vAlign w:val="center"/>
            <w:hideMark/>
          </w:tcPr>
          <w:p w14:paraId="71B656D6"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Won a Scholarship, Application Controls    (s.e)</w:t>
            </w:r>
          </w:p>
        </w:tc>
      </w:tr>
      <w:tr w:rsidR="001C46D7" w:rsidRPr="00166607" w14:paraId="662EEA6E" w14:textId="77777777" w:rsidTr="00313C8A">
        <w:trPr>
          <w:trHeight w:val="280"/>
        </w:trPr>
        <w:tc>
          <w:tcPr>
            <w:tcW w:w="3600" w:type="dxa"/>
            <w:tcBorders>
              <w:top w:val="nil"/>
              <w:left w:val="nil"/>
              <w:bottom w:val="nil"/>
              <w:right w:val="nil"/>
            </w:tcBorders>
            <w:shd w:val="clear" w:color="000000" w:fill="FFFFFF"/>
            <w:vAlign w:val="center"/>
            <w:hideMark/>
          </w:tcPr>
          <w:p w14:paraId="38ACE075"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320" w:type="dxa"/>
            <w:tcBorders>
              <w:top w:val="nil"/>
              <w:left w:val="nil"/>
              <w:bottom w:val="nil"/>
              <w:right w:val="nil"/>
            </w:tcBorders>
            <w:shd w:val="clear" w:color="000000" w:fill="FFFFFF"/>
            <w:vAlign w:val="center"/>
            <w:hideMark/>
          </w:tcPr>
          <w:p w14:paraId="5B2BBFF2" w14:textId="77777777" w:rsidR="001C46D7" w:rsidRPr="00166607" w:rsidRDefault="001C46D7" w:rsidP="001C46D7">
            <w:pPr>
              <w:jc w:val="center"/>
              <w:rPr>
                <w:rFonts w:ascii="Times New Roman" w:eastAsia="Times New Roman" w:hAnsi="Times New Roman"/>
                <w:b/>
                <w:bCs/>
                <w:color w:val="000000"/>
                <w:sz w:val="22"/>
                <w:szCs w:val="22"/>
              </w:rPr>
            </w:pPr>
            <w:r w:rsidRPr="00166607">
              <w:rPr>
                <w:rFonts w:ascii="Times New Roman" w:eastAsia="Times New Roman" w:hAnsi="Times New Roman"/>
                <w:b/>
                <w:bCs/>
                <w:color w:val="000000"/>
                <w:sz w:val="22"/>
                <w:szCs w:val="22"/>
              </w:rPr>
              <w:t> </w:t>
            </w:r>
          </w:p>
        </w:tc>
        <w:tc>
          <w:tcPr>
            <w:tcW w:w="1300" w:type="dxa"/>
            <w:tcBorders>
              <w:top w:val="nil"/>
              <w:left w:val="nil"/>
              <w:bottom w:val="nil"/>
              <w:right w:val="nil"/>
            </w:tcBorders>
            <w:shd w:val="clear" w:color="000000" w:fill="FFFFFF"/>
            <w:vAlign w:val="center"/>
            <w:hideMark/>
          </w:tcPr>
          <w:p w14:paraId="386F7FC8"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vAlign w:val="center"/>
            <w:hideMark/>
          </w:tcPr>
          <w:p w14:paraId="2885DF78"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320" w:type="dxa"/>
            <w:tcBorders>
              <w:top w:val="nil"/>
              <w:left w:val="nil"/>
              <w:bottom w:val="nil"/>
              <w:right w:val="nil"/>
            </w:tcBorders>
            <w:shd w:val="clear" w:color="000000" w:fill="FFFFFF"/>
            <w:vAlign w:val="center"/>
            <w:hideMark/>
          </w:tcPr>
          <w:p w14:paraId="32DAC0D5"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vAlign w:val="center"/>
            <w:hideMark/>
          </w:tcPr>
          <w:p w14:paraId="0D2474BD"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vAlign w:val="center"/>
            <w:hideMark/>
          </w:tcPr>
          <w:p w14:paraId="4A9F2378"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320" w:type="dxa"/>
            <w:tcBorders>
              <w:top w:val="nil"/>
              <w:left w:val="nil"/>
              <w:bottom w:val="nil"/>
              <w:right w:val="nil"/>
            </w:tcBorders>
            <w:shd w:val="clear" w:color="000000" w:fill="FFFFFF"/>
            <w:vAlign w:val="center"/>
            <w:hideMark/>
          </w:tcPr>
          <w:p w14:paraId="56207DE5"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vAlign w:val="center"/>
            <w:hideMark/>
          </w:tcPr>
          <w:p w14:paraId="378AA916"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vAlign w:val="center"/>
            <w:hideMark/>
          </w:tcPr>
          <w:p w14:paraId="5D85843C"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r>
      <w:tr w:rsidR="00313C8A" w:rsidRPr="00166607" w14:paraId="74FBC882" w14:textId="77777777" w:rsidTr="00313C8A">
        <w:trPr>
          <w:trHeight w:val="300"/>
        </w:trPr>
        <w:tc>
          <w:tcPr>
            <w:tcW w:w="3600" w:type="dxa"/>
            <w:tcBorders>
              <w:top w:val="nil"/>
              <w:left w:val="nil"/>
              <w:bottom w:val="nil"/>
              <w:right w:val="nil"/>
            </w:tcBorders>
            <w:shd w:val="clear" w:color="000000" w:fill="FFFFFF"/>
            <w:vAlign w:val="center"/>
            <w:hideMark/>
          </w:tcPr>
          <w:p w14:paraId="30E468BC"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320" w:type="dxa"/>
            <w:tcBorders>
              <w:top w:val="nil"/>
              <w:left w:val="nil"/>
              <w:bottom w:val="nil"/>
              <w:right w:val="nil"/>
            </w:tcBorders>
            <w:shd w:val="clear" w:color="000000" w:fill="FFFFFF"/>
            <w:vAlign w:val="center"/>
            <w:hideMark/>
          </w:tcPr>
          <w:p w14:paraId="4592C7EB" w14:textId="77777777" w:rsidR="001C46D7" w:rsidRPr="00166607" w:rsidRDefault="001C46D7" w:rsidP="001C46D7">
            <w:pPr>
              <w:jc w:val="center"/>
              <w:rPr>
                <w:rFonts w:ascii="Times New Roman" w:eastAsia="Times New Roman" w:hAnsi="Times New Roman"/>
                <w:b/>
                <w:bCs/>
                <w:color w:val="000000"/>
                <w:sz w:val="22"/>
                <w:szCs w:val="22"/>
              </w:rPr>
            </w:pPr>
            <w:r w:rsidRPr="00166607">
              <w:rPr>
                <w:rFonts w:ascii="Times New Roman" w:eastAsia="Times New Roman" w:hAnsi="Times New Roman"/>
                <w:b/>
                <w:bCs/>
                <w:color w:val="000000"/>
                <w:sz w:val="22"/>
                <w:szCs w:val="22"/>
              </w:rPr>
              <w:t> </w:t>
            </w:r>
          </w:p>
        </w:tc>
        <w:tc>
          <w:tcPr>
            <w:tcW w:w="1300" w:type="dxa"/>
            <w:tcBorders>
              <w:top w:val="nil"/>
              <w:left w:val="nil"/>
              <w:bottom w:val="nil"/>
              <w:right w:val="nil"/>
            </w:tcBorders>
            <w:shd w:val="clear" w:color="000000" w:fill="FFFFFF"/>
            <w:noWrap/>
            <w:vAlign w:val="center"/>
            <w:hideMark/>
          </w:tcPr>
          <w:p w14:paraId="2B0C511F" w14:textId="77777777" w:rsidR="001C46D7" w:rsidRPr="00166607" w:rsidRDefault="001C46D7" w:rsidP="001C46D7">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(1)</w:t>
            </w:r>
          </w:p>
        </w:tc>
        <w:tc>
          <w:tcPr>
            <w:tcW w:w="1310" w:type="dxa"/>
            <w:tcBorders>
              <w:top w:val="nil"/>
              <w:left w:val="nil"/>
              <w:bottom w:val="nil"/>
              <w:right w:val="nil"/>
            </w:tcBorders>
            <w:shd w:val="clear" w:color="000000" w:fill="FFFFFF"/>
            <w:noWrap/>
            <w:vAlign w:val="center"/>
            <w:hideMark/>
          </w:tcPr>
          <w:p w14:paraId="1290E86F" w14:textId="77777777" w:rsidR="001C46D7" w:rsidRPr="00166607" w:rsidRDefault="001C46D7" w:rsidP="001C46D7">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(2)</w:t>
            </w:r>
          </w:p>
        </w:tc>
        <w:tc>
          <w:tcPr>
            <w:tcW w:w="320" w:type="dxa"/>
            <w:tcBorders>
              <w:top w:val="nil"/>
              <w:left w:val="nil"/>
              <w:bottom w:val="nil"/>
              <w:right w:val="nil"/>
            </w:tcBorders>
            <w:shd w:val="clear" w:color="000000" w:fill="FFFFFF"/>
            <w:noWrap/>
            <w:vAlign w:val="center"/>
            <w:hideMark/>
          </w:tcPr>
          <w:p w14:paraId="5C319974" w14:textId="77777777" w:rsidR="001C46D7" w:rsidRPr="00166607" w:rsidRDefault="001C46D7" w:rsidP="001C46D7">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 </w:t>
            </w:r>
          </w:p>
        </w:tc>
        <w:tc>
          <w:tcPr>
            <w:tcW w:w="1300" w:type="dxa"/>
            <w:tcBorders>
              <w:top w:val="nil"/>
              <w:left w:val="nil"/>
              <w:bottom w:val="nil"/>
              <w:right w:val="nil"/>
            </w:tcBorders>
            <w:shd w:val="clear" w:color="000000" w:fill="FFFFFF"/>
            <w:noWrap/>
            <w:vAlign w:val="center"/>
            <w:hideMark/>
          </w:tcPr>
          <w:p w14:paraId="75D8DAA4" w14:textId="77777777" w:rsidR="001C46D7" w:rsidRPr="00166607" w:rsidRDefault="001C46D7" w:rsidP="001C46D7">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(3)</w:t>
            </w:r>
          </w:p>
        </w:tc>
        <w:tc>
          <w:tcPr>
            <w:tcW w:w="1310" w:type="dxa"/>
            <w:tcBorders>
              <w:top w:val="nil"/>
              <w:left w:val="nil"/>
              <w:bottom w:val="nil"/>
              <w:right w:val="nil"/>
            </w:tcBorders>
            <w:shd w:val="clear" w:color="000000" w:fill="FFFFFF"/>
            <w:noWrap/>
            <w:vAlign w:val="center"/>
            <w:hideMark/>
          </w:tcPr>
          <w:p w14:paraId="1B48CE2D" w14:textId="77777777" w:rsidR="001C46D7" w:rsidRPr="00166607" w:rsidRDefault="001C46D7" w:rsidP="001C46D7">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(4)</w:t>
            </w:r>
          </w:p>
        </w:tc>
        <w:tc>
          <w:tcPr>
            <w:tcW w:w="320" w:type="dxa"/>
            <w:tcBorders>
              <w:top w:val="nil"/>
              <w:left w:val="nil"/>
              <w:bottom w:val="nil"/>
              <w:right w:val="nil"/>
            </w:tcBorders>
            <w:shd w:val="clear" w:color="auto" w:fill="auto"/>
            <w:noWrap/>
            <w:vAlign w:val="bottom"/>
            <w:hideMark/>
          </w:tcPr>
          <w:p w14:paraId="531A4CEB" w14:textId="77777777" w:rsidR="001C46D7" w:rsidRPr="00166607" w:rsidRDefault="001C46D7" w:rsidP="001C46D7">
            <w:pPr>
              <w:rPr>
                <w:rFonts w:ascii="Calibri" w:eastAsia="Times New Roman" w:hAnsi="Calibri"/>
                <w:color w:val="000000"/>
                <w:sz w:val="22"/>
                <w:szCs w:val="22"/>
              </w:rPr>
            </w:pPr>
          </w:p>
        </w:tc>
        <w:tc>
          <w:tcPr>
            <w:tcW w:w="1300" w:type="dxa"/>
            <w:tcBorders>
              <w:top w:val="nil"/>
              <w:left w:val="nil"/>
              <w:bottom w:val="single" w:sz="8" w:space="0" w:color="FFFFFF"/>
              <w:right w:val="nil"/>
            </w:tcBorders>
            <w:shd w:val="clear" w:color="000000" w:fill="FFFFFF"/>
            <w:noWrap/>
            <w:vAlign w:val="center"/>
            <w:hideMark/>
          </w:tcPr>
          <w:p w14:paraId="3305B288"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(5)</w:t>
            </w:r>
          </w:p>
        </w:tc>
        <w:tc>
          <w:tcPr>
            <w:tcW w:w="1310" w:type="dxa"/>
            <w:tcBorders>
              <w:top w:val="nil"/>
              <w:left w:val="nil"/>
              <w:bottom w:val="nil"/>
              <w:right w:val="nil"/>
            </w:tcBorders>
            <w:shd w:val="clear" w:color="000000" w:fill="FFFFFF"/>
            <w:noWrap/>
            <w:vAlign w:val="center"/>
            <w:hideMark/>
          </w:tcPr>
          <w:p w14:paraId="7C9ED91B" w14:textId="77777777" w:rsidR="001C46D7" w:rsidRPr="00166607" w:rsidRDefault="001C46D7" w:rsidP="001C46D7">
            <w:pPr>
              <w:jc w:val="center"/>
              <w:rPr>
                <w:rFonts w:ascii="Times New Roman" w:eastAsia="Times New Roman" w:hAnsi="Times New Roman"/>
                <w:color w:val="000000"/>
                <w:sz w:val="20"/>
                <w:szCs w:val="20"/>
              </w:rPr>
            </w:pPr>
            <w:r w:rsidRPr="00166607">
              <w:rPr>
                <w:rFonts w:ascii="Times New Roman" w:eastAsia="Times New Roman" w:hAnsi="Times New Roman"/>
                <w:color w:val="000000"/>
                <w:sz w:val="20"/>
                <w:szCs w:val="20"/>
              </w:rPr>
              <w:t>(6)</w:t>
            </w:r>
          </w:p>
        </w:tc>
      </w:tr>
      <w:tr w:rsidR="001C46D7" w:rsidRPr="00166607" w14:paraId="39032D0F" w14:textId="77777777" w:rsidTr="00313C8A">
        <w:trPr>
          <w:trHeight w:val="300"/>
        </w:trPr>
        <w:tc>
          <w:tcPr>
            <w:tcW w:w="12390" w:type="dxa"/>
            <w:gridSpan w:val="10"/>
            <w:tcBorders>
              <w:top w:val="nil"/>
              <w:left w:val="nil"/>
              <w:bottom w:val="single" w:sz="8" w:space="0" w:color="auto"/>
              <w:right w:val="nil"/>
            </w:tcBorders>
            <w:shd w:val="clear" w:color="000000" w:fill="FFFFFF"/>
            <w:vAlign w:val="center"/>
            <w:hideMark/>
          </w:tcPr>
          <w:p w14:paraId="7A480C0C" w14:textId="77777777" w:rsidR="001C46D7" w:rsidRPr="00166607" w:rsidRDefault="001C46D7" w:rsidP="001C46D7">
            <w:pPr>
              <w:jc w:val="center"/>
              <w:rPr>
                <w:rFonts w:ascii="Times New Roman" w:eastAsia="Times New Roman" w:hAnsi="Times New Roman"/>
                <w:i/>
                <w:iCs/>
                <w:color w:val="000000"/>
                <w:sz w:val="22"/>
                <w:szCs w:val="22"/>
              </w:rPr>
            </w:pPr>
            <w:r w:rsidRPr="00166607">
              <w:rPr>
                <w:rFonts w:ascii="Times New Roman" w:eastAsia="Times New Roman" w:hAnsi="Times New Roman"/>
                <w:i/>
                <w:iCs/>
                <w:color w:val="000000"/>
                <w:sz w:val="22"/>
                <w:szCs w:val="22"/>
              </w:rPr>
              <w:t> </w:t>
            </w:r>
          </w:p>
        </w:tc>
      </w:tr>
      <w:tr w:rsidR="00313C8A" w:rsidRPr="00166607" w14:paraId="45ADA813" w14:textId="77777777" w:rsidTr="00313C8A">
        <w:trPr>
          <w:trHeight w:val="280"/>
        </w:trPr>
        <w:tc>
          <w:tcPr>
            <w:tcW w:w="3600" w:type="dxa"/>
            <w:tcBorders>
              <w:top w:val="nil"/>
              <w:left w:val="nil"/>
              <w:bottom w:val="nil"/>
              <w:right w:val="nil"/>
            </w:tcBorders>
            <w:shd w:val="clear" w:color="000000" w:fill="FFFFFF"/>
            <w:vAlign w:val="center"/>
            <w:hideMark/>
          </w:tcPr>
          <w:p w14:paraId="49E4664D"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320" w:type="dxa"/>
            <w:tcBorders>
              <w:top w:val="nil"/>
              <w:left w:val="nil"/>
              <w:bottom w:val="nil"/>
              <w:right w:val="nil"/>
            </w:tcBorders>
            <w:shd w:val="clear" w:color="000000" w:fill="FFFFFF"/>
            <w:noWrap/>
            <w:vAlign w:val="center"/>
            <w:hideMark/>
          </w:tcPr>
          <w:p w14:paraId="5A35673F" w14:textId="77777777" w:rsidR="001C46D7" w:rsidRPr="00166607" w:rsidRDefault="001C46D7" w:rsidP="001C46D7">
            <w:pPr>
              <w:rPr>
                <w:rFonts w:ascii="Times New Roman" w:eastAsia="Times New Roman" w:hAnsi="Times New Roman"/>
                <w:b/>
                <w:bCs/>
                <w:color w:val="000000"/>
                <w:sz w:val="22"/>
                <w:szCs w:val="22"/>
              </w:rPr>
            </w:pPr>
            <w:r w:rsidRPr="00166607">
              <w:rPr>
                <w:rFonts w:ascii="Times New Roman" w:eastAsia="Times New Roman" w:hAnsi="Times New Roman"/>
                <w:b/>
                <w:bCs/>
                <w:color w:val="000000"/>
                <w:sz w:val="22"/>
                <w:szCs w:val="22"/>
              </w:rPr>
              <w:t> </w:t>
            </w:r>
          </w:p>
        </w:tc>
        <w:tc>
          <w:tcPr>
            <w:tcW w:w="1300" w:type="dxa"/>
            <w:tcBorders>
              <w:top w:val="nil"/>
              <w:left w:val="nil"/>
              <w:bottom w:val="nil"/>
              <w:right w:val="nil"/>
            </w:tcBorders>
            <w:shd w:val="clear" w:color="000000" w:fill="FFFFFF"/>
            <w:noWrap/>
            <w:vAlign w:val="center"/>
            <w:hideMark/>
          </w:tcPr>
          <w:p w14:paraId="4DC6BC78"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noWrap/>
            <w:vAlign w:val="center"/>
            <w:hideMark/>
          </w:tcPr>
          <w:p w14:paraId="5C39269A"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320" w:type="dxa"/>
            <w:tcBorders>
              <w:top w:val="nil"/>
              <w:left w:val="nil"/>
              <w:bottom w:val="nil"/>
              <w:right w:val="nil"/>
            </w:tcBorders>
            <w:shd w:val="clear" w:color="000000" w:fill="FFFFFF"/>
            <w:noWrap/>
            <w:vAlign w:val="center"/>
            <w:hideMark/>
          </w:tcPr>
          <w:p w14:paraId="178AC813"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422A4A7B"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noWrap/>
            <w:vAlign w:val="center"/>
            <w:hideMark/>
          </w:tcPr>
          <w:p w14:paraId="6B7838C2"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320" w:type="dxa"/>
            <w:tcBorders>
              <w:top w:val="nil"/>
              <w:left w:val="nil"/>
              <w:bottom w:val="nil"/>
              <w:right w:val="nil"/>
            </w:tcBorders>
            <w:shd w:val="clear" w:color="000000" w:fill="FFFFFF"/>
            <w:noWrap/>
            <w:vAlign w:val="center"/>
            <w:hideMark/>
          </w:tcPr>
          <w:p w14:paraId="7E264FC7"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1ECF7550"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noWrap/>
            <w:vAlign w:val="center"/>
            <w:hideMark/>
          </w:tcPr>
          <w:p w14:paraId="17D446D2"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r>
      <w:tr w:rsidR="00313C8A" w:rsidRPr="00166607" w14:paraId="6943147A" w14:textId="77777777" w:rsidTr="00313C8A">
        <w:trPr>
          <w:trHeight w:val="280"/>
        </w:trPr>
        <w:tc>
          <w:tcPr>
            <w:tcW w:w="3600" w:type="dxa"/>
            <w:tcBorders>
              <w:top w:val="nil"/>
              <w:left w:val="nil"/>
              <w:bottom w:val="nil"/>
              <w:right w:val="nil"/>
            </w:tcBorders>
            <w:shd w:val="clear" w:color="000000" w:fill="FFFFFF"/>
            <w:noWrap/>
            <w:vAlign w:val="center"/>
            <w:hideMark/>
          </w:tcPr>
          <w:p w14:paraId="3215CD2D"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Familias En Acción CCT program</w:t>
            </w:r>
          </w:p>
        </w:tc>
        <w:tc>
          <w:tcPr>
            <w:tcW w:w="320" w:type="dxa"/>
            <w:tcBorders>
              <w:top w:val="nil"/>
              <w:left w:val="nil"/>
              <w:bottom w:val="nil"/>
              <w:right w:val="nil"/>
            </w:tcBorders>
            <w:shd w:val="clear" w:color="000000" w:fill="FFFFFF"/>
            <w:noWrap/>
            <w:vAlign w:val="center"/>
            <w:hideMark/>
          </w:tcPr>
          <w:p w14:paraId="096CFCE3"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352E3328"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0.074</w:t>
            </w:r>
          </w:p>
        </w:tc>
        <w:tc>
          <w:tcPr>
            <w:tcW w:w="1310" w:type="dxa"/>
            <w:tcBorders>
              <w:top w:val="nil"/>
              <w:left w:val="nil"/>
              <w:bottom w:val="nil"/>
              <w:right w:val="nil"/>
            </w:tcBorders>
            <w:shd w:val="clear" w:color="000000" w:fill="FFFFFF"/>
            <w:noWrap/>
            <w:vAlign w:val="center"/>
            <w:hideMark/>
          </w:tcPr>
          <w:p w14:paraId="486D6331"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-0.003</w:t>
            </w:r>
          </w:p>
        </w:tc>
        <w:tc>
          <w:tcPr>
            <w:tcW w:w="320" w:type="dxa"/>
            <w:tcBorders>
              <w:top w:val="nil"/>
              <w:left w:val="nil"/>
              <w:bottom w:val="nil"/>
              <w:right w:val="nil"/>
            </w:tcBorders>
            <w:shd w:val="clear" w:color="000000" w:fill="FFFFFF"/>
            <w:noWrap/>
            <w:vAlign w:val="center"/>
            <w:hideMark/>
          </w:tcPr>
          <w:p w14:paraId="27832A97"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6E05A9E3"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0.072</w:t>
            </w:r>
          </w:p>
        </w:tc>
        <w:tc>
          <w:tcPr>
            <w:tcW w:w="1310" w:type="dxa"/>
            <w:tcBorders>
              <w:top w:val="nil"/>
              <w:left w:val="nil"/>
              <w:bottom w:val="nil"/>
              <w:right w:val="nil"/>
            </w:tcBorders>
            <w:shd w:val="clear" w:color="000000" w:fill="FFFFFF"/>
            <w:noWrap/>
            <w:vAlign w:val="center"/>
            <w:hideMark/>
          </w:tcPr>
          <w:p w14:paraId="6A534ACB"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0.001</w:t>
            </w:r>
          </w:p>
        </w:tc>
        <w:tc>
          <w:tcPr>
            <w:tcW w:w="320" w:type="dxa"/>
            <w:tcBorders>
              <w:top w:val="nil"/>
              <w:left w:val="nil"/>
              <w:bottom w:val="nil"/>
              <w:right w:val="nil"/>
            </w:tcBorders>
            <w:shd w:val="clear" w:color="000000" w:fill="FFFFFF"/>
            <w:noWrap/>
            <w:vAlign w:val="center"/>
            <w:hideMark/>
          </w:tcPr>
          <w:p w14:paraId="18694C27"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1A9B380E"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0.073</w:t>
            </w:r>
          </w:p>
        </w:tc>
        <w:tc>
          <w:tcPr>
            <w:tcW w:w="1310" w:type="dxa"/>
            <w:tcBorders>
              <w:top w:val="nil"/>
              <w:left w:val="nil"/>
              <w:bottom w:val="nil"/>
              <w:right w:val="nil"/>
            </w:tcBorders>
            <w:shd w:val="clear" w:color="000000" w:fill="FFFFFF"/>
            <w:noWrap/>
            <w:vAlign w:val="center"/>
            <w:hideMark/>
          </w:tcPr>
          <w:p w14:paraId="4FC23A4A"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-0.008</w:t>
            </w:r>
          </w:p>
        </w:tc>
      </w:tr>
      <w:tr w:rsidR="00313C8A" w:rsidRPr="00166607" w14:paraId="12F3EB49" w14:textId="77777777" w:rsidTr="00313C8A">
        <w:trPr>
          <w:trHeight w:val="280"/>
        </w:trPr>
        <w:tc>
          <w:tcPr>
            <w:tcW w:w="3600" w:type="dxa"/>
            <w:tcBorders>
              <w:top w:val="nil"/>
              <w:left w:val="nil"/>
              <w:bottom w:val="nil"/>
              <w:right w:val="nil"/>
            </w:tcBorders>
            <w:shd w:val="clear" w:color="000000" w:fill="FFFFFF"/>
            <w:noWrap/>
            <w:vAlign w:val="center"/>
            <w:hideMark/>
          </w:tcPr>
          <w:p w14:paraId="4D75863A"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320" w:type="dxa"/>
            <w:tcBorders>
              <w:top w:val="nil"/>
              <w:left w:val="nil"/>
              <w:bottom w:val="nil"/>
              <w:right w:val="nil"/>
            </w:tcBorders>
            <w:shd w:val="clear" w:color="000000" w:fill="FFFFFF"/>
            <w:noWrap/>
            <w:vAlign w:val="center"/>
            <w:hideMark/>
          </w:tcPr>
          <w:p w14:paraId="30AB4D37" w14:textId="77777777" w:rsidR="001C46D7" w:rsidRPr="00166607" w:rsidRDefault="001C46D7" w:rsidP="001C46D7">
            <w:pPr>
              <w:rPr>
                <w:rFonts w:ascii="Times New Roman" w:eastAsia="Times New Roman" w:hAnsi="Times New Roman"/>
                <w:b/>
                <w:bCs/>
                <w:color w:val="000000"/>
                <w:sz w:val="22"/>
                <w:szCs w:val="22"/>
              </w:rPr>
            </w:pPr>
            <w:r w:rsidRPr="00166607">
              <w:rPr>
                <w:rFonts w:ascii="Times New Roman" w:eastAsia="Times New Roman" w:hAnsi="Times New Roman"/>
                <w:b/>
                <w:bCs/>
                <w:color w:val="000000"/>
                <w:sz w:val="22"/>
                <w:szCs w:val="22"/>
              </w:rPr>
              <w:t> </w:t>
            </w:r>
          </w:p>
        </w:tc>
        <w:tc>
          <w:tcPr>
            <w:tcW w:w="1300" w:type="dxa"/>
            <w:tcBorders>
              <w:top w:val="nil"/>
              <w:left w:val="nil"/>
              <w:bottom w:val="nil"/>
              <w:right w:val="nil"/>
            </w:tcBorders>
            <w:shd w:val="clear" w:color="000000" w:fill="FFFFFF"/>
            <w:noWrap/>
            <w:vAlign w:val="center"/>
            <w:hideMark/>
          </w:tcPr>
          <w:p w14:paraId="36BE1145"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noWrap/>
            <w:vAlign w:val="center"/>
            <w:hideMark/>
          </w:tcPr>
          <w:p w14:paraId="34A95930"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(0.009)</w:t>
            </w:r>
          </w:p>
        </w:tc>
        <w:tc>
          <w:tcPr>
            <w:tcW w:w="320" w:type="dxa"/>
            <w:tcBorders>
              <w:top w:val="nil"/>
              <w:left w:val="nil"/>
              <w:bottom w:val="nil"/>
              <w:right w:val="nil"/>
            </w:tcBorders>
            <w:shd w:val="clear" w:color="000000" w:fill="FFFFFF"/>
            <w:noWrap/>
            <w:vAlign w:val="center"/>
            <w:hideMark/>
          </w:tcPr>
          <w:p w14:paraId="5FCF4719"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2DE780EB"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noWrap/>
            <w:vAlign w:val="center"/>
            <w:hideMark/>
          </w:tcPr>
          <w:p w14:paraId="2549945C"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(0.012)</w:t>
            </w:r>
          </w:p>
        </w:tc>
        <w:tc>
          <w:tcPr>
            <w:tcW w:w="320" w:type="dxa"/>
            <w:tcBorders>
              <w:top w:val="nil"/>
              <w:left w:val="nil"/>
              <w:bottom w:val="nil"/>
              <w:right w:val="nil"/>
            </w:tcBorders>
            <w:shd w:val="clear" w:color="000000" w:fill="FFFFFF"/>
            <w:noWrap/>
            <w:vAlign w:val="center"/>
            <w:hideMark/>
          </w:tcPr>
          <w:p w14:paraId="12CD50DC"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69A3CDAE"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noWrap/>
            <w:vAlign w:val="center"/>
            <w:hideMark/>
          </w:tcPr>
          <w:p w14:paraId="4C166A2C"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(0.013)</w:t>
            </w:r>
          </w:p>
        </w:tc>
      </w:tr>
      <w:tr w:rsidR="00313C8A" w:rsidRPr="00166607" w14:paraId="46EA3D92" w14:textId="77777777" w:rsidTr="00313C8A">
        <w:trPr>
          <w:trHeight w:val="280"/>
        </w:trPr>
        <w:tc>
          <w:tcPr>
            <w:tcW w:w="3600" w:type="dxa"/>
            <w:tcBorders>
              <w:top w:val="nil"/>
              <w:left w:val="nil"/>
              <w:bottom w:val="nil"/>
              <w:right w:val="nil"/>
            </w:tcBorders>
            <w:shd w:val="clear" w:color="000000" w:fill="FFFFFF"/>
            <w:noWrap/>
            <w:vAlign w:val="center"/>
            <w:hideMark/>
          </w:tcPr>
          <w:p w14:paraId="32960612"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Subsidized Health Care Level 1</w:t>
            </w:r>
          </w:p>
        </w:tc>
        <w:tc>
          <w:tcPr>
            <w:tcW w:w="320" w:type="dxa"/>
            <w:tcBorders>
              <w:top w:val="nil"/>
              <w:left w:val="nil"/>
              <w:bottom w:val="nil"/>
              <w:right w:val="nil"/>
            </w:tcBorders>
            <w:shd w:val="clear" w:color="000000" w:fill="FFFFFF"/>
            <w:noWrap/>
            <w:vAlign w:val="center"/>
            <w:hideMark/>
          </w:tcPr>
          <w:p w14:paraId="40739D02"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2E5B1F9B"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0.196</w:t>
            </w:r>
          </w:p>
        </w:tc>
        <w:tc>
          <w:tcPr>
            <w:tcW w:w="1310" w:type="dxa"/>
            <w:tcBorders>
              <w:top w:val="nil"/>
              <w:left w:val="nil"/>
              <w:bottom w:val="nil"/>
              <w:right w:val="nil"/>
            </w:tcBorders>
            <w:shd w:val="clear" w:color="000000" w:fill="FFFFFF"/>
            <w:noWrap/>
            <w:vAlign w:val="center"/>
            <w:hideMark/>
          </w:tcPr>
          <w:p w14:paraId="78D85AE4"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-0.012</w:t>
            </w:r>
          </w:p>
        </w:tc>
        <w:tc>
          <w:tcPr>
            <w:tcW w:w="320" w:type="dxa"/>
            <w:tcBorders>
              <w:top w:val="nil"/>
              <w:left w:val="nil"/>
              <w:bottom w:val="nil"/>
              <w:right w:val="nil"/>
            </w:tcBorders>
            <w:shd w:val="clear" w:color="000000" w:fill="FFFFFF"/>
            <w:noWrap/>
            <w:vAlign w:val="center"/>
            <w:hideMark/>
          </w:tcPr>
          <w:p w14:paraId="1F23D803"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3D22B63E"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0.196</w:t>
            </w:r>
          </w:p>
        </w:tc>
        <w:tc>
          <w:tcPr>
            <w:tcW w:w="1310" w:type="dxa"/>
            <w:tcBorders>
              <w:top w:val="nil"/>
              <w:left w:val="nil"/>
              <w:bottom w:val="nil"/>
              <w:right w:val="nil"/>
            </w:tcBorders>
            <w:shd w:val="clear" w:color="000000" w:fill="FFFFFF"/>
            <w:noWrap/>
            <w:vAlign w:val="center"/>
            <w:hideMark/>
          </w:tcPr>
          <w:p w14:paraId="77B6497A"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-0.024</w:t>
            </w:r>
          </w:p>
        </w:tc>
        <w:tc>
          <w:tcPr>
            <w:tcW w:w="320" w:type="dxa"/>
            <w:tcBorders>
              <w:top w:val="nil"/>
              <w:left w:val="nil"/>
              <w:bottom w:val="nil"/>
              <w:right w:val="nil"/>
            </w:tcBorders>
            <w:shd w:val="clear" w:color="000000" w:fill="FFFFFF"/>
            <w:noWrap/>
            <w:vAlign w:val="center"/>
            <w:hideMark/>
          </w:tcPr>
          <w:p w14:paraId="272DCF2C"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23719C95"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0.188</w:t>
            </w:r>
          </w:p>
        </w:tc>
        <w:tc>
          <w:tcPr>
            <w:tcW w:w="1310" w:type="dxa"/>
            <w:tcBorders>
              <w:top w:val="nil"/>
              <w:left w:val="nil"/>
              <w:bottom w:val="nil"/>
              <w:right w:val="nil"/>
            </w:tcBorders>
            <w:shd w:val="clear" w:color="000000" w:fill="FFFFFF"/>
            <w:noWrap/>
            <w:vAlign w:val="center"/>
            <w:hideMark/>
          </w:tcPr>
          <w:p w14:paraId="5890D28D"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-0.003</w:t>
            </w:r>
          </w:p>
        </w:tc>
      </w:tr>
      <w:tr w:rsidR="001C46D7" w:rsidRPr="00166607" w14:paraId="1CB93AF0" w14:textId="77777777" w:rsidTr="00313C8A">
        <w:trPr>
          <w:trHeight w:val="280"/>
        </w:trPr>
        <w:tc>
          <w:tcPr>
            <w:tcW w:w="3600" w:type="dxa"/>
            <w:tcBorders>
              <w:top w:val="nil"/>
              <w:left w:val="nil"/>
              <w:bottom w:val="nil"/>
              <w:right w:val="nil"/>
            </w:tcBorders>
            <w:shd w:val="clear" w:color="auto" w:fill="auto"/>
            <w:noWrap/>
            <w:vAlign w:val="bottom"/>
            <w:hideMark/>
          </w:tcPr>
          <w:p w14:paraId="2348D56B" w14:textId="77777777" w:rsidR="001C46D7" w:rsidRPr="00166607" w:rsidRDefault="001C46D7" w:rsidP="001C46D7">
            <w:pPr>
              <w:rPr>
                <w:rFonts w:eastAsia="Times New Roman"/>
                <w:color w:val="000000"/>
                <w:sz w:val="22"/>
                <w:szCs w:val="22"/>
              </w:rPr>
            </w:pPr>
          </w:p>
        </w:tc>
        <w:tc>
          <w:tcPr>
            <w:tcW w:w="320" w:type="dxa"/>
            <w:tcBorders>
              <w:top w:val="nil"/>
              <w:left w:val="nil"/>
              <w:bottom w:val="nil"/>
              <w:right w:val="nil"/>
            </w:tcBorders>
            <w:shd w:val="clear" w:color="000000" w:fill="FFFFFF"/>
            <w:noWrap/>
            <w:vAlign w:val="center"/>
            <w:hideMark/>
          </w:tcPr>
          <w:p w14:paraId="3C30395F" w14:textId="77777777" w:rsidR="001C46D7" w:rsidRPr="00166607" w:rsidRDefault="001C46D7" w:rsidP="001C46D7">
            <w:pPr>
              <w:rPr>
                <w:rFonts w:ascii="Times New Roman" w:eastAsia="Times New Roman" w:hAnsi="Times New Roman"/>
                <w:b/>
                <w:bCs/>
                <w:color w:val="000000"/>
                <w:sz w:val="22"/>
                <w:szCs w:val="22"/>
              </w:rPr>
            </w:pPr>
            <w:r w:rsidRPr="00166607">
              <w:rPr>
                <w:rFonts w:ascii="Times New Roman" w:eastAsia="Times New Roman" w:hAnsi="Times New Roman"/>
                <w:b/>
                <w:bCs/>
                <w:color w:val="000000"/>
                <w:sz w:val="22"/>
                <w:szCs w:val="22"/>
              </w:rPr>
              <w:t> </w:t>
            </w:r>
          </w:p>
        </w:tc>
        <w:tc>
          <w:tcPr>
            <w:tcW w:w="1300" w:type="dxa"/>
            <w:tcBorders>
              <w:top w:val="nil"/>
              <w:left w:val="nil"/>
              <w:bottom w:val="nil"/>
              <w:right w:val="nil"/>
            </w:tcBorders>
            <w:shd w:val="clear" w:color="000000" w:fill="FFFFFF"/>
            <w:noWrap/>
            <w:vAlign w:val="center"/>
            <w:hideMark/>
          </w:tcPr>
          <w:p w14:paraId="2115C0A3"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noWrap/>
            <w:vAlign w:val="center"/>
            <w:hideMark/>
          </w:tcPr>
          <w:p w14:paraId="5A8BFFDC"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(0.013)</w:t>
            </w:r>
          </w:p>
        </w:tc>
        <w:tc>
          <w:tcPr>
            <w:tcW w:w="320" w:type="dxa"/>
            <w:tcBorders>
              <w:top w:val="nil"/>
              <w:left w:val="nil"/>
              <w:bottom w:val="nil"/>
              <w:right w:val="nil"/>
            </w:tcBorders>
            <w:shd w:val="clear" w:color="000000" w:fill="FFFFFF"/>
            <w:noWrap/>
            <w:vAlign w:val="center"/>
            <w:hideMark/>
          </w:tcPr>
          <w:p w14:paraId="47E3822C"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7E05B75C"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noWrap/>
            <w:vAlign w:val="center"/>
            <w:hideMark/>
          </w:tcPr>
          <w:p w14:paraId="3C583B69"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(0.018)</w:t>
            </w:r>
          </w:p>
        </w:tc>
        <w:tc>
          <w:tcPr>
            <w:tcW w:w="320" w:type="dxa"/>
            <w:tcBorders>
              <w:top w:val="nil"/>
              <w:left w:val="nil"/>
              <w:bottom w:val="nil"/>
              <w:right w:val="nil"/>
            </w:tcBorders>
            <w:shd w:val="clear" w:color="000000" w:fill="FFFFFF"/>
            <w:noWrap/>
            <w:vAlign w:val="center"/>
            <w:hideMark/>
          </w:tcPr>
          <w:p w14:paraId="1FEBEFB5"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3957ADF3"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noWrap/>
            <w:vAlign w:val="center"/>
            <w:hideMark/>
          </w:tcPr>
          <w:p w14:paraId="73B909C8"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w:t>
            </w:r>
          </w:p>
        </w:tc>
      </w:tr>
      <w:tr w:rsidR="00313C8A" w:rsidRPr="00166607" w14:paraId="573134C6" w14:textId="77777777" w:rsidTr="00313C8A">
        <w:trPr>
          <w:trHeight w:val="280"/>
        </w:trPr>
        <w:tc>
          <w:tcPr>
            <w:tcW w:w="3600" w:type="dxa"/>
            <w:tcBorders>
              <w:top w:val="nil"/>
              <w:left w:val="nil"/>
              <w:bottom w:val="nil"/>
              <w:right w:val="nil"/>
            </w:tcBorders>
            <w:shd w:val="clear" w:color="000000" w:fill="FFFFFF"/>
            <w:noWrap/>
            <w:vAlign w:val="center"/>
            <w:hideMark/>
          </w:tcPr>
          <w:p w14:paraId="0916D7A4"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Subsidized Health Care Level 2</w:t>
            </w:r>
          </w:p>
        </w:tc>
        <w:tc>
          <w:tcPr>
            <w:tcW w:w="320" w:type="dxa"/>
            <w:tcBorders>
              <w:top w:val="nil"/>
              <w:left w:val="nil"/>
              <w:bottom w:val="nil"/>
              <w:right w:val="nil"/>
            </w:tcBorders>
            <w:shd w:val="clear" w:color="000000" w:fill="FFFFFF"/>
            <w:noWrap/>
            <w:vAlign w:val="center"/>
            <w:hideMark/>
          </w:tcPr>
          <w:p w14:paraId="4C5B68DF"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69D318FD"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0.243</w:t>
            </w:r>
          </w:p>
        </w:tc>
        <w:tc>
          <w:tcPr>
            <w:tcW w:w="1310" w:type="dxa"/>
            <w:tcBorders>
              <w:top w:val="nil"/>
              <w:left w:val="nil"/>
              <w:bottom w:val="nil"/>
              <w:right w:val="nil"/>
            </w:tcBorders>
            <w:shd w:val="clear" w:color="000000" w:fill="FFFFFF"/>
            <w:noWrap/>
            <w:vAlign w:val="center"/>
            <w:hideMark/>
          </w:tcPr>
          <w:p w14:paraId="627283EA" w14:textId="7193D3EE"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w:t>
            </w:r>
            <w:r w:rsidR="00C238CC" w:rsidRPr="00166607">
              <w:rPr>
                <w:rFonts w:ascii="Times New Roman" w:eastAsia="Times New Roman" w:hAnsi="Times New Roman"/>
                <w:color w:val="000000"/>
                <w:sz w:val="22"/>
                <w:szCs w:val="22"/>
              </w:rPr>
              <w:t>.000</w:t>
            </w:r>
          </w:p>
        </w:tc>
        <w:tc>
          <w:tcPr>
            <w:tcW w:w="320" w:type="dxa"/>
            <w:tcBorders>
              <w:top w:val="nil"/>
              <w:left w:val="nil"/>
              <w:bottom w:val="nil"/>
              <w:right w:val="nil"/>
            </w:tcBorders>
            <w:shd w:val="clear" w:color="000000" w:fill="FFFFFF"/>
            <w:noWrap/>
            <w:vAlign w:val="center"/>
            <w:hideMark/>
          </w:tcPr>
          <w:p w14:paraId="5E3B9853"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2F4F8CB5"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0.24</w:t>
            </w:r>
          </w:p>
        </w:tc>
        <w:tc>
          <w:tcPr>
            <w:tcW w:w="1310" w:type="dxa"/>
            <w:tcBorders>
              <w:top w:val="nil"/>
              <w:left w:val="nil"/>
              <w:bottom w:val="nil"/>
              <w:right w:val="nil"/>
            </w:tcBorders>
            <w:shd w:val="clear" w:color="000000" w:fill="FFFFFF"/>
            <w:noWrap/>
            <w:vAlign w:val="center"/>
            <w:hideMark/>
          </w:tcPr>
          <w:p w14:paraId="19D5CC74"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-0.008</w:t>
            </w:r>
          </w:p>
        </w:tc>
        <w:tc>
          <w:tcPr>
            <w:tcW w:w="320" w:type="dxa"/>
            <w:tcBorders>
              <w:top w:val="nil"/>
              <w:left w:val="nil"/>
              <w:bottom w:val="nil"/>
              <w:right w:val="nil"/>
            </w:tcBorders>
            <w:shd w:val="clear" w:color="000000" w:fill="FFFFFF"/>
            <w:noWrap/>
            <w:vAlign w:val="center"/>
            <w:hideMark/>
          </w:tcPr>
          <w:p w14:paraId="3A1149AB"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4444028F"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0.228</w:t>
            </w:r>
          </w:p>
        </w:tc>
        <w:tc>
          <w:tcPr>
            <w:tcW w:w="1310" w:type="dxa"/>
            <w:tcBorders>
              <w:top w:val="nil"/>
              <w:left w:val="nil"/>
              <w:bottom w:val="nil"/>
              <w:right w:val="nil"/>
            </w:tcBorders>
            <w:shd w:val="clear" w:color="000000" w:fill="FFFFFF"/>
            <w:noWrap/>
            <w:vAlign w:val="center"/>
            <w:hideMark/>
          </w:tcPr>
          <w:p w14:paraId="0022EED6"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0.014</w:t>
            </w:r>
          </w:p>
        </w:tc>
      </w:tr>
      <w:tr w:rsidR="00313C8A" w:rsidRPr="00166607" w14:paraId="5CA49470" w14:textId="77777777" w:rsidTr="00313C8A">
        <w:trPr>
          <w:trHeight w:val="280"/>
        </w:trPr>
        <w:tc>
          <w:tcPr>
            <w:tcW w:w="3600" w:type="dxa"/>
            <w:tcBorders>
              <w:top w:val="nil"/>
              <w:left w:val="nil"/>
              <w:bottom w:val="nil"/>
              <w:right w:val="nil"/>
            </w:tcBorders>
            <w:shd w:val="clear" w:color="000000" w:fill="FFFFFF"/>
            <w:noWrap/>
            <w:vAlign w:val="center"/>
            <w:hideMark/>
          </w:tcPr>
          <w:p w14:paraId="15C27024"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320" w:type="dxa"/>
            <w:tcBorders>
              <w:top w:val="nil"/>
              <w:left w:val="nil"/>
              <w:bottom w:val="nil"/>
              <w:right w:val="nil"/>
            </w:tcBorders>
            <w:shd w:val="clear" w:color="000000" w:fill="FFFFFF"/>
            <w:noWrap/>
            <w:vAlign w:val="center"/>
            <w:hideMark/>
          </w:tcPr>
          <w:p w14:paraId="5F54DFA1" w14:textId="77777777" w:rsidR="001C46D7" w:rsidRPr="00166607" w:rsidRDefault="001C46D7" w:rsidP="001C46D7">
            <w:pPr>
              <w:rPr>
                <w:rFonts w:ascii="Times New Roman" w:eastAsia="Times New Roman" w:hAnsi="Times New Roman"/>
                <w:b/>
                <w:bCs/>
                <w:color w:val="000000"/>
                <w:sz w:val="22"/>
                <w:szCs w:val="22"/>
              </w:rPr>
            </w:pPr>
            <w:r w:rsidRPr="00166607">
              <w:rPr>
                <w:rFonts w:ascii="Times New Roman" w:eastAsia="Times New Roman" w:hAnsi="Times New Roman"/>
                <w:b/>
                <w:bCs/>
                <w:color w:val="000000"/>
                <w:sz w:val="22"/>
                <w:szCs w:val="22"/>
              </w:rPr>
              <w:t> </w:t>
            </w:r>
          </w:p>
        </w:tc>
        <w:tc>
          <w:tcPr>
            <w:tcW w:w="1300" w:type="dxa"/>
            <w:tcBorders>
              <w:top w:val="nil"/>
              <w:left w:val="nil"/>
              <w:bottom w:val="nil"/>
              <w:right w:val="nil"/>
            </w:tcBorders>
            <w:shd w:val="clear" w:color="000000" w:fill="FFFFFF"/>
            <w:noWrap/>
            <w:vAlign w:val="center"/>
            <w:hideMark/>
          </w:tcPr>
          <w:p w14:paraId="5614196D"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noWrap/>
            <w:vAlign w:val="center"/>
            <w:hideMark/>
          </w:tcPr>
          <w:p w14:paraId="5C2040B0"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(0.014)</w:t>
            </w:r>
          </w:p>
        </w:tc>
        <w:tc>
          <w:tcPr>
            <w:tcW w:w="320" w:type="dxa"/>
            <w:tcBorders>
              <w:top w:val="nil"/>
              <w:left w:val="nil"/>
              <w:bottom w:val="nil"/>
              <w:right w:val="nil"/>
            </w:tcBorders>
            <w:shd w:val="clear" w:color="000000" w:fill="FFFFFF"/>
            <w:noWrap/>
            <w:vAlign w:val="center"/>
            <w:hideMark/>
          </w:tcPr>
          <w:p w14:paraId="5C5E94D3"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33804A47"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noWrap/>
            <w:vAlign w:val="center"/>
            <w:hideMark/>
          </w:tcPr>
          <w:p w14:paraId="5BAE67A6"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w:t>
            </w:r>
          </w:p>
        </w:tc>
        <w:tc>
          <w:tcPr>
            <w:tcW w:w="320" w:type="dxa"/>
            <w:tcBorders>
              <w:top w:val="nil"/>
              <w:left w:val="nil"/>
              <w:bottom w:val="nil"/>
              <w:right w:val="nil"/>
            </w:tcBorders>
            <w:shd w:val="clear" w:color="000000" w:fill="FFFFFF"/>
            <w:noWrap/>
            <w:vAlign w:val="center"/>
            <w:hideMark/>
          </w:tcPr>
          <w:p w14:paraId="4CCB2DAF"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29A47F5F"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nil"/>
              <w:right w:val="nil"/>
            </w:tcBorders>
            <w:shd w:val="clear" w:color="000000" w:fill="FFFFFF"/>
            <w:noWrap/>
            <w:vAlign w:val="center"/>
            <w:hideMark/>
          </w:tcPr>
          <w:p w14:paraId="26B72F76"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(0.022)</w:t>
            </w:r>
          </w:p>
        </w:tc>
      </w:tr>
      <w:tr w:rsidR="00313C8A" w:rsidRPr="00166607" w14:paraId="064AB3F1" w14:textId="77777777" w:rsidTr="00313C8A">
        <w:trPr>
          <w:trHeight w:val="280"/>
        </w:trPr>
        <w:tc>
          <w:tcPr>
            <w:tcW w:w="3600" w:type="dxa"/>
            <w:tcBorders>
              <w:top w:val="nil"/>
              <w:left w:val="nil"/>
              <w:bottom w:val="nil"/>
              <w:right w:val="nil"/>
            </w:tcBorders>
            <w:shd w:val="clear" w:color="000000" w:fill="FFFFFF"/>
            <w:noWrap/>
            <w:vAlign w:val="center"/>
            <w:hideMark/>
          </w:tcPr>
          <w:p w14:paraId="30DF6CF9"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Early childhood care (ICBF)</w:t>
            </w:r>
          </w:p>
        </w:tc>
        <w:tc>
          <w:tcPr>
            <w:tcW w:w="320" w:type="dxa"/>
            <w:tcBorders>
              <w:top w:val="nil"/>
              <w:left w:val="nil"/>
              <w:bottom w:val="nil"/>
              <w:right w:val="nil"/>
            </w:tcBorders>
            <w:shd w:val="clear" w:color="000000" w:fill="FFFFFF"/>
            <w:noWrap/>
            <w:vAlign w:val="center"/>
            <w:hideMark/>
          </w:tcPr>
          <w:p w14:paraId="06644F99" w14:textId="77777777" w:rsidR="001C46D7" w:rsidRPr="00166607" w:rsidRDefault="001C46D7" w:rsidP="001C46D7">
            <w:pPr>
              <w:rPr>
                <w:rFonts w:ascii="Times New Roman" w:eastAsia="Times New Roman" w:hAnsi="Times New Roman"/>
                <w:b/>
                <w:bCs/>
                <w:color w:val="000000"/>
                <w:sz w:val="22"/>
                <w:szCs w:val="22"/>
              </w:rPr>
            </w:pPr>
            <w:r w:rsidRPr="00166607">
              <w:rPr>
                <w:rFonts w:ascii="Times New Roman" w:eastAsia="Times New Roman" w:hAnsi="Times New Roman"/>
                <w:b/>
                <w:bCs/>
                <w:color w:val="000000"/>
                <w:sz w:val="22"/>
                <w:szCs w:val="22"/>
              </w:rPr>
              <w:t> </w:t>
            </w:r>
          </w:p>
        </w:tc>
        <w:tc>
          <w:tcPr>
            <w:tcW w:w="1300" w:type="dxa"/>
            <w:tcBorders>
              <w:top w:val="nil"/>
              <w:left w:val="nil"/>
              <w:bottom w:val="nil"/>
              <w:right w:val="nil"/>
            </w:tcBorders>
            <w:shd w:val="clear" w:color="000000" w:fill="FFFFFF"/>
            <w:noWrap/>
            <w:vAlign w:val="center"/>
            <w:hideMark/>
          </w:tcPr>
          <w:p w14:paraId="514E4A77"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0.27</w:t>
            </w:r>
          </w:p>
        </w:tc>
        <w:tc>
          <w:tcPr>
            <w:tcW w:w="1310" w:type="dxa"/>
            <w:tcBorders>
              <w:top w:val="nil"/>
              <w:left w:val="nil"/>
              <w:bottom w:val="nil"/>
              <w:right w:val="nil"/>
            </w:tcBorders>
            <w:shd w:val="clear" w:color="000000" w:fill="FFFFFF"/>
            <w:noWrap/>
            <w:vAlign w:val="center"/>
            <w:hideMark/>
          </w:tcPr>
          <w:p w14:paraId="438BA5AD"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-0.004</w:t>
            </w:r>
          </w:p>
        </w:tc>
        <w:tc>
          <w:tcPr>
            <w:tcW w:w="320" w:type="dxa"/>
            <w:tcBorders>
              <w:top w:val="nil"/>
              <w:left w:val="nil"/>
              <w:bottom w:val="nil"/>
              <w:right w:val="nil"/>
            </w:tcBorders>
            <w:shd w:val="clear" w:color="000000" w:fill="FFFFFF"/>
            <w:noWrap/>
            <w:vAlign w:val="center"/>
            <w:hideMark/>
          </w:tcPr>
          <w:p w14:paraId="5F5FADA5"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74957DF0"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0.265</w:t>
            </w:r>
          </w:p>
        </w:tc>
        <w:tc>
          <w:tcPr>
            <w:tcW w:w="1310" w:type="dxa"/>
            <w:tcBorders>
              <w:top w:val="nil"/>
              <w:left w:val="nil"/>
              <w:bottom w:val="nil"/>
              <w:right w:val="nil"/>
            </w:tcBorders>
            <w:shd w:val="clear" w:color="000000" w:fill="FFFFFF"/>
            <w:noWrap/>
            <w:vAlign w:val="center"/>
            <w:hideMark/>
          </w:tcPr>
          <w:p w14:paraId="260D48B7"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-0.006</w:t>
            </w:r>
          </w:p>
        </w:tc>
        <w:tc>
          <w:tcPr>
            <w:tcW w:w="320" w:type="dxa"/>
            <w:tcBorders>
              <w:top w:val="nil"/>
              <w:left w:val="nil"/>
              <w:bottom w:val="nil"/>
              <w:right w:val="nil"/>
            </w:tcBorders>
            <w:shd w:val="clear" w:color="000000" w:fill="FFFFFF"/>
            <w:noWrap/>
            <w:vAlign w:val="center"/>
            <w:hideMark/>
          </w:tcPr>
          <w:p w14:paraId="66AB56F1"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nil"/>
              <w:right w:val="nil"/>
            </w:tcBorders>
            <w:shd w:val="clear" w:color="000000" w:fill="FFFFFF"/>
            <w:noWrap/>
            <w:vAlign w:val="center"/>
            <w:hideMark/>
          </w:tcPr>
          <w:p w14:paraId="563339CF"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0.258</w:t>
            </w:r>
          </w:p>
        </w:tc>
        <w:tc>
          <w:tcPr>
            <w:tcW w:w="1310" w:type="dxa"/>
            <w:tcBorders>
              <w:top w:val="nil"/>
              <w:left w:val="nil"/>
              <w:bottom w:val="nil"/>
              <w:right w:val="nil"/>
            </w:tcBorders>
            <w:shd w:val="clear" w:color="000000" w:fill="FFFFFF"/>
            <w:noWrap/>
            <w:vAlign w:val="center"/>
            <w:hideMark/>
          </w:tcPr>
          <w:p w14:paraId="063DA760"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0.004</w:t>
            </w:r>
          </w:p>
        </w:tc>
      </w:tr>
      <w:tr w:rsidR="00313C8A" w:rsidRPr="00166607" w14:paraId="1F544612" w14:textId="77777777" w:rsidTr="00313C8A">
        <w:trPr>
          <w:trHeight w:val="300"/>
        </w:trPr>
        <w:tc>
          <w:tcPr>
            <w:tcW w:w="3600" w:type="dxa"/>
            <w:tcBorders>
              <w:top w:val="nil"/>
              <w:left w:val="nil"/>
              <w:bottom w:val="double" w:sz="6" w:space="0" w:color="auto"/>
              <w:right w:val="nil"/>
            </w:tcBorders>
            <w:shd w:val="clear" w:color="000000" w:fill="FFFFFF"/>
            <w:noWrap/>
            <w:vAlign w:val="center"/>
            <w:hideMark/>
          </w:tcPr>
          <w:p w14:paraId="7AE5E283" w14:textId="77777777" w:rsidR="001C46D7" w:rsidRPr="00166607" w:rsidRDefault="001C46D7" w:rsidP="001C46D7">
            <w:pP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320" w:type="dxa"/>
            <w:tcBorders>
              <w:top w:val="nil"/>
              <w:left w:val="nil"/>
              <w:bottom w:val="double" w:sz="6" w:space="0" w:color="auto"/>
              <w:right w:val="nil"/>
            </w:tcBorders>
            <w:shd w:val="clear" w:color="000000" w:fill="FFFFFF"/>
            <w:noWrap/>
            <w:vAlign w:val="center"/>
            <w:hideMark/>
          </w:tcPr>
          <w:p w14:paraId="602FC41C"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double" w:sz="6" w:space="0" w:color="auto"/>
              <w:right w:val="nil"/>
            </w:tcBorders>
            <w:shd w:val="clear" w:color="000000" w:fill="FFFFFF"/>
            <w:noWrap/>
            <w:vAlign w:val="center"/>
            <w:hideMark/>
          </w:tcPr>
          <w:p w14:paraId="23833E37"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double" w:sz="6" w:space="0" w:color="auto"/>
              <w:right w:val="nil"/>
            </w:tcBorders>
            <w:shd w:val="clear" w:color="000000" w:fill="FFFFFF"/>
            <w:noWrap/>
            <w:vAlign w:val="center"/>
            <w:hideMark/>
          </w:tcPr>
          <w:p w14:paraId="7CF687DD"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(0.015)</w:t>
            </w:r>
          </w:p>
        </w:tc>
        <w:tc>
          <w:tcPr>
            <w:tcW w:w="320" w:type="dxa"/>
            <w:tcBorders>
              <w:top w:val="nil"/>
              <w:left w:val="nil"/>
              <w:bottom w:val="double" w:sz="6" w:space="0" w:color="auto"/>
              <w:right w:val="nil"/>
            </w:tcBorders>
            <w:shd w:val="clear" w:color="000000" w:fill="FFFFFF"/>
            <w:noWrap/>
            <w:vAlign w:val="center"/>
            <w:hideMark/>
          </w:tcPr>
          <w:p w14:paraId="18C718DB"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double" w:sz="6" w:space="0" w:color="auto"/>
              <w:right w:val="nil"/>
            </w:tcBorders>
            <w:shd w:val="clear" w:color="000000" w:fill="FFFFFF"/>
            <w:noWrap/>
            <w:vAlign w:val="center"/>
            <w:hideMark/>
          </w:tcPr>
          <w:p w14:paraId="29114EDE"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double" w:sz="6" w:space="0" w:color="auto"/>
              <w:right w:val="nil"/>
            </w:tcBorders>
            <w:shd w:val="clear" w:color="000000" w:fill="FFFFFF"/>
            <w:noWrap/>
            <w:vAlign w:val="center"/>
            <w:hideMark/>
          </w:tcPr>
          <w:p w14:paraId="180B752A"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w:t>
            </w:r>
          </w:p>
        </w:tc>
        <w:tc>
          <w:tcPr>
            <w:tcW w:w="320" w:type="dxa"/>
            <w:tcBorders>
              <w:top w:val="nil"/>
              <w:left w:val="nil"/>
              <w:bottom w:val="double" w:sz="6" w:space="0" w:color="auto"/>
              <w:right w:val="nil"/>
            </w:tcBorders>
            <w:shd w:val="clear" w:color="000000" w:fill="FFFFFF"/>
            <w:noWrap/>
            <w:vAlign w:val="center"/>
            <w:hideMark/>
          </w:tcPr>
          <w:p w14:paraId="0A9A8FEC"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00" w:type="dxa"/>
            <w:tcBorders>
              <w:top w:val="nil"/>
              <w:left w:val="nil"/>
              <w:bottom w:val="double" w:sz="6" w:space="0" w:color="auto"/>
              <w:right w:val="nil"/>
            </w:tcBorders>
            <w:shd w:val="clear" w:color="000000" w:fill="FFFFFF"/>
            <w:noWrap/>
            <w:vAlign w:val="center"/>
            <w:hideMark/>
          </w:tcPr>
          <w:p w14:paraId="66900508"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 </w:t>
            </w:r>
          </w:p>
        </w:tc>
        <w:tc>
          <w:tcPr>
            <w:tcW w:w="1310" w:type="dxa"/>
            <w:tcBorders>
              <w:top w:val="nil"/>
              <w:left w:val="nil"/>
              <w:bottom w:val="double" w:sz="6" w:space="0" w:color="auto"/>
              <w:right w:val="nil"/>
            </w:tcBorders>
            <w:shd w:val="clear" w:color="000000" w:fill="FFFFFF"/>
            <w:noWrap/>
            <w:vAlign w:val="center"/>
            <w:hideMark/>
          </w:tcPr>
          <w:p w14:paraId="3E1DFBDE" w14:textId="77777777" w:rsidR="001C46D7" w:rsidRPr="00166607" w:rsidRDefault="001C46D7" w:rsidP="001C46D7">
            <w:pPr>
              <w:jc w:val="center"/>
              <w:rPr>
                <w:rFonts w:ascii="Times New Roman" w:eastAsia="Times New Roman" w:hAnsi="Times New Roman"/>
                <w:color w:val="000000"/>
                <w:sz w:val="22"/>
                <w:szCs w:val="22"/>
              </w:rPr>
            </w:pPr>
            <w:r w:rsidRPr="00166607">
              <w:rPr>
                <w:rFonts w:ascii="Times New Roman" w:eastAsia="Times New Roman" w:hAnsi="Times New Roman"/>
                <w:color w:val="000000"/>
                <w:sz w:val="22"/>
                <w:szCs w:val="22"/>
              </w:rPr>
              <w:t>(0.023)</w:t>
            </w:r>
          </w:p>
        </w:tc>
      </w:tr>
    </w:tbl>
    <w:p w14:paraId="44C612AF" w14:textId="10214130" w:rsidR="001C46D7" w:rsidRPr="00166607" w:rsidRDefault="00313C8A" w:rsidP="000B1B5E">
      <w:pPr>
        <w:rPr>
          <w:rFonts w:ascii="Times New Roman" w:hAnsi="Times New Roman"/>
        </w:rPr>
        <w:sectPr w:rsidR="001C46D7" w:rsidRPr="00166607" w:rsidSect="00402892">
          <w:endnotePr>
            <w:numFmt w:val="decimal"/>
          </w:endnotePr>
          <w:pgSz w:w="15840" w:h="12240" w:orient="landscape"/>
          <w:pgMar w:top="1584" w:right="1440" w:bottom="1584" w:left="1440" w:header="720" w:footer="720" w:gutter="0"/>
          <w:cols w:space="720"/>
          <w:docGrid w:linePitch="360"/>
        </w:sectPr>
      </w:pPr>
      <w:r w:rsidRPr="00166607">
        <w:rPr>
          <w:rFonts w:ascii="Times New Roman" w:hAnsi="Times New Roman"/>
          <w:i/>
          <w:sz w:val="20"/>
          <w:szCs w:val="20"/>
        </w:rPr>
        <w:t xml:space="preserve">Notes: </w:t>
      </w:r>
      <w:r w:rsidRPr="00166607">
        <w:rPr>
          <w:rFonts w:ascii="Times New Roman" w:hAnsi="Times New Roman"/>
          <w:sz w:val="20"/>
          <w:szCs w:val="20"/>
        </w:rPr>
        <w:t>Table reports scholarship lottery loser’s means and estimated effects of winning a scholarship with application controls. Controls include age, male and whether the applicant had a phone number at the time of scholarship application. Estimates in columns 2,4 and 6 are from linear probability models. Numbers in parentheses are robust standard errors in columns of estimated scholarship effects. Receipt of Familias en Acción CCT program is based on having SISBEN 2010 scores below the eligibility cutoff and children under the age of 18. Receipt of subsidized health care levels 1 and 2, and early childhood care is based on having SISBEN 2010 scores below the eligibility cutoff. Applicants who are not in SISBEN 2010 cannot receive these subsidies so for them receipt is zero.</w:t>
      </w:r>
    </w:p>
    <w:p w14:paraId="6D55E811" w14:textId="5F6893EE" w:rsidR="000B1B5E" w:rsidRPr="00166607" w:rsidRDefault="000B1B5E" w:rsidP="00402892">
      <w:pPr>
        <w:pStyle w:val="ListParagraph"/>
        <w:spacing w:line="360" w:lineRule="auto"/>
        <w:ind w:left="0"/>
      </w:pPr>
      <w:r w:rsidRPr="00166607">
        <w:rPr>
          <w:rFonts w:ascii="Times New Roman" w:hAnsi="Times New Roman"/>
        </w:rPr>
        <w:lastRenderedPageBreak/>
        <w:t xml:space="preserve">Appendix </w:t>
      </w:r>
      <w:r w:rsidR="005E5E69" w:rsidRPr="00166607">
        <w:rPr>
          <w:rFonts w:ascii="Times New Roman" w:hAnsi="Times New Roman"/>
        </w:rPr>
        <w:t>C</w:t>
      </w:r>
      <w:r w:rsidRPr="00166607">
        <w:rPr>
          <w:rFonts w:ascii="Times New Roman" w:hAnsi="Times New Roman"/>
        </w:rPr>
        <w:t>.  Calculation of cost-savings</w:t>
      </w:r>
      <w:r w:rsidR="008268C7" w:rsidRPr="00166607">
        <w:rPr>
          <w:rFonts w:ascii="Times New Roman" w:hAnsi="Times New Roman"/>
        </w:rPr>
        <w:t xml:space="preserve"> to the government</w:t>
      </w:r>
      <w:r w:rsidRPr="00166607">
        <w:rPr>
          <w:rFonts w:ascii="Times New Roman" w:hAnsi="Times New Roman"/>
        </w:rPr>
        <w:t xml:space="preserve"> from reduced grade repetition</w:t>
      </w:r>
    </w:p>
    <w:p w14:paraId="0AD2720B" w14:textId="77777777" w:rsidR="0075437E" w:rsidRPr="00166607" w:rsidRDefault="0075437E" w:rsidP="00402892">
      <w:pPr>
        <w:spacing w:line="360" w:lineRule="auto"/>
        <w:ind w:firstLine="720"/>
        <w:rPr>
          <w:rFonts w:ascii="Times New Roman" w:hAnsi="Times New Roman"/>
        </w:rPr>
      </w:pPr>
    </w:p>
    <w:p w14:paraId="768FAEEE" w14:textId="77777777" w:rsidR="001C4869" w:rsidRPr="00166607" w:rsidRDefault="001A18B2" w:rsidP="00402892">
      <w:pPr>
        <w:spacing w:line="360" w:lineRule="auto"/>
        <w:ind w:firstLine="720"/>
        <w:jc w:val="both"/>
        <w:rPr>
          <w:rFonts w:ascii="Times New Roman" w:hAnsi="Times New Roman"/>
        </w:rPr>
      </w:pPr>
      <w:r w:rsidRPr="00166607">
        <w:rPr>
          <w:rFonts w:ascii="Times New Roman" w:hAnsi="Times New Roman"/>
        </w:rPr>
        <w:t xml:space="preserve">This appendix explains how we calculate cost savings </w:t>
      </w:r>
      <w:r w:rsidR="008268C7" w:rsidRPr="00166607">
        <w:rPr>
          <w:rFonts w:ascii="Times New Roman" w:hAnsi="Times New Roman"/>
        </w:rPr>
        <w:t xml:space="preserve">to the government </w:t>
      </w:r>
      <w:r w:rsidRPr="00166607">
        <w:rPr>
          <w:rFonts w:ascii="Times New Roman" w:hAnsi="Times New Roman"/>
        </w:rPr>
        <w:t>from r</w:t>
      </w:r>
      <w:r w:rsidR="008268C7" w:rsidRPr="00166607">
        <w:rPr>
          <w:rFonts w:ascii="Times New Roman" w:hAnsi="Times New Roman"/>
        </w:rPr>
        <w:t>educed grade repetition.  We</w:t>
      </w:r>
      <w:r w:rsidRPr="00166607">
        <w:rPr>
          <w:rFonts w:ascii="Times New Roman" w:hAnsi="Times New Roman"/>
        </w:rPr>
        <w:t xml:space="preserve"> observe </w:t>
      </w:r>
      <w:r w:rsidR="008268C7" w:rsidRPr="00166607">
        <w:rPr>
          <w:rFonts w:ascii="Times New Roman" w:hAnsi="Times New Roman"/>
        </w:rPr>
        <w:t xml:space="preserve">public school attendance and </w:t>
      </w:r>
      <w:r w:rsidRPr="00166607">
        <w:rPr>
          <w:rFonts w:ascii="Times New Roman" w:hAnsi="Times New Roman"/>
        </w:rPr>
        <w:t xml:space="preserve">repetitions through grade 8 from </w:t>
      </w:r>
      <w:r w:rsidR="00055748" w:rsidRPr="00166607">
        <w:rPr>
          <w:rFonts w:ascii="Times New Roman" w:hAnsi="Times New Roman"/>
        </w:rPr>
        <w:t>Table 4</w:t>
      </w:r>
      <w:r w:rsidR="00E46343" w:rsidRPr="00166607">
        <w:rPr>
          <w:rFonts w:ascii="Times New Roman" w:hAnsi="Times New Roman"/>
        </w:rPr>
        <w:t xml:space="preserve"> in </w:t>
      </w:r>
      <w:r w:rsidRPr="00166607">
        <w:rPr>
          <w:rFonts w:ascii="Times New Roman" w:hAnsi="Times New Roman"/>
        </w:rPr>
        <w:t xml:space="preserve">Angrist et al. (2002) and whether the applicant finished secondary school on time, with delays or did not finish (Table 2 in main text).  </w:t>
      </w:r>
    </w:p>
    <w:p w14:paraId="084A82DF" w14:textId="6384FDB9" w:rsidR="001C4869" w:rsidRPr="00166607" w:rsidRDefault="001A18B2" w:rsidP="00402892">
      <w:pPr>
        <w:spacing w:line="360" w:lineRule="auto"/>
        <w:ind w:firstLine="720"/>
        <w:jc w:val="both"/>
        <w:rPr>
          <w:rFonts w:ascii="Times New Roman" w:hAnsi="Times New Roman"/>
        </w:rPr>
      </w:pPr>
      <w:r w:rsidRPr="00166607">
        <w:rPr>
          <w:rFonts w:ascii="Times New Roman" w:hAnsi="Times New Roman"/>
        </w:rPr>
        <w:t xml:space="preserve">To calculate the cost-savings from reduced grade repetition, we </w:t>
      </w:r>
      <w:r w:rsidR="008268C7" w:rsidRPr="00166607">
        <w:rPr>
          <w:rFonts w:ascii="Times New Roman" w:hAnsi="Times New Roman"/>
        </w:rPr>
        <w:t>assume that</w:t>
      </w:r>
      <w:r w:rsidRPr="00166607">
        <w:rPr>
          <w:rFonts w:ascii="Times New Roman" w:hAnsi="Times New Roman"/>
        </w:rPr>
        <w:t>: i)</w:t>
      </w:r>
      <w:r w:rsidR="008268C7" w:rsidRPr="00166607">
        <w:rPr>
          <w:rFonts w:ascii="Times New Roman" w:hAnsi="Times New Roman"/>
        </w:rPr>
        <w:t xml:space="preserve"> only public school repetitions cost the government money, ii)</w:t>
      </w:r>
      <w:r w:rsidRPr="00166607">
        <w:rPr>
          <w:rFonts w:ascii="Times New Roman" w:hAnsi="Times New Roman"/>
        </w:rPr>
        <w:t xml:space="preserve"> among applicants who finish on-schedule, there is no repetition; ii) among applicants who finish with delays, the delays are all a consequence of grade repetition and iii) among those who never finish secondary school</w:t>
      </w:r>
      <w:r w:rsidR="0075437E" w:rsidRPr="00166607">
        <w:rPr>
          <w:rFonts w:ascii="Times New Roman" w:hAnsi="Times New Roman"/>
        </w:rPr>
        <w:t>,</w:t>
      </w:r>
      <w:r w:rsidRPr="00166607">
        <w:rPr>
          <w:rFonts w:ascii="Times New Roman" w:hAnsi="Times New Roman"/>
        </w:rPr>
        <w:t xml:space="preserve"> </w:t>
      </w:r>
      <w:r w:rsidR="0075437E" w:rsidRPr="00166607">
        <w:rPr>
          <w:rFonts w:ascii="Times New Roman" w:hAnsi="Times New Roman"/>
        </w:rPr>
        <w:t>all dropouts occurred</w:t>
      </w:r>
      <w:r w:rsidRPr="00166607">
        <w:rPr>
          <w:rFonts w:ascii="Times New Roman" w:hAnsi="Times New Roman"/>
        </w:rPr>
        <w:t xml:space="preserve"> in 9</w:t>
      </w:r>
      <w:r w:rsidRPr="00166607">
        <w:rPr>
          <w:rFonts w:ascii="Times New Roman" w:hAnsi="Times New Roman"/>
          <w:vertAlign w:val="superscript"/>
        </w:rPr>
        <w:t>th</w:t>
      </w:r>
      <w:r w:rsidRPr="00166607">
        <w:rPr>
          <w:rFonts w:ascii="Times New Roman" w:hAnsi="Times New Roman"/>
        </w:rPr>
        <w:t xml:space="preserve"> grade, so that total repetitions for this group are the ones reported in Table </w:t>
      </w:r>
      <w:r w:rsidR="00055748" w:rsidRPr="00166607">
        <w:rPr>
          <w:rFonts w:ascii="Times New Roman" w:hAnsi="Times New Roman"/>
        </w:rPr>
        <w:t xml:space="preserve">4 columns 2 and 4 </w:t>
      </w:r>
      <w:r w:rsidR="008268C7" w:rsidRPr="00166607">
        <w:rPr>
          <w:rFonts w:ascii="Times New Roman" w:hAnsi="Times New Roman"/>
        </w:rPr>
        <w:t xml:space="preserve">of Angrist et al. 2002.  </w:t>
      </w:r>
      <w:r w:rsidR="0075437E" w:rsidRPr="00166607">
        <w:rPr>
          <w:rFonts w:ascii="Times New Roman" w:hAnsi="Times New Roman"/>
        </w:rPr>
        <w:t>This last assumption under</w:t>
      </w:r>
      <w:r w:rsidR="007570C8" w:rsidRPr="00166607">
        <w:rPr>
          <w:rFonts w:ascii="Times New Roman" w:hAnsi="Times New Roman"/>
        </w:rPr>
        <w:t>states the cost savings given that we ignore additional costs the government would have incurred if dropout had occurred later.</w:t>
      </w:r>
    </w:p>
    <w:p w14:paraId="3197C89B" w14:textId="3AF76607" w:rsidR="001C4869" w:rsidRPr="00166607" w:rsidRDefault="001B7914" w:rsidP="00402892">
      <w:pPr>
        <w:spacing w:line="360" w:lineRule="auto"/>
        <w:ind w:firstLine="720"/>
        <w:jc w:val="both"/>
        <w:rPr>
          <w:rFonts w:ascii="Times New Roman" w:hAnsi="Times New Roman"/>
        </w:rPr>
      </w:pPr>
      <w:r w:rsidRPr="00166607">
        <w:rPr>
          <w:rFonts w:ascii="Times New Roman" w:hAnsi="Times New Roman"/>
        </w:rPr>
        <w:t>There</w:t>
      </w:r>
      <w:r w:rsidR="001D519E" w:rsidRPr="00166607">
        <w:rPr>
          <w:rFonts w:ascii="Times New Roman" w:hAnsi="Times New Roman"/>
        </w:rPr>
        <w:t xml:space="preserve"> are three types of students: t</w:t>
      </w:r>
      <w:r w:rsidRPr="00166607">
        <w:rPr>
          <w:rFonts w:ascii="Times New Roman" w:hAnsi="Times New Roman"/>
        </w:rPr>
        <w:t xml:space="preserve">hose who finish on time; those who finish with delays; and those who never finish.  </w:t>
      </w:r>
      <w:r w:rsidR="001D519E" w:rsidRPr="00166607">
        <w:rPr>
          <w:rFonts w:ascii="Times New Roman" w:hAnsi="Times New Roman"/>
        </w:rPr>
        <w:t xml:space="preserve">For those who finish on time, the government receives no cost savings.  For those who pass with delays, the government saves from reduced grade repetition in the public sector.  We multiply public school costs by the fraction in public </w:t>
      </w:r>
      <w:r w:rsidR="007570C8" w:rsidRPr="00166607">
        <w:rPr>
          <w:rFonts w:ascii="Times New Roman" w:hAnsi="Times New Roman"/>
        </w:rPr>
        <w:t xml:space="preserve">schools </w:t>
      </w:r>
      <w:r w:rsidR="001D519E" w:rsidRPr="00166607">
        <w:rPr>
          <w:rFonts w:ascii="Times New Roman" w:hAnsi="Times New Roman"/>
        </w:rPr>
        <w:t xml:space="preserve">and by the overall reduction in grade repetitions to estimate these cost benefits.  For those who never graduate, we only record the savings from grade repetition after three years.  As before, we multiply public school costs by the fraction in public by the effect of the scholarship on repetitions after three years.  We use data from Angrist et al (2002) to compute these effects and the fractions in public.  </w:t>
      </w:r>
      <w:r w:rsidR="007570C8" w:rsidRPr="00166607">
        <w:rPr>
          <w:rFonts w:ascii="Times New Roman" w:hAnsi="Times New Roman"/>
        </w:rPr>
        <w:t>Again, we underestimate the likely savings given that we know that more attrition from private schools happened after 8</w:t>
      </w:r>
      <w:r w:rsidR="007570C8" w:rsidRPr="00166607">
        <w:rPr>
          <w:rFonts w:ascii="Times New Roman" w:hAnsi="Times New Roman"/>
          <w:vertAlign w:val="superscript"/>
        </w:rPr>
        <w:t>th</w:t>
      </w:r>
      <w:r w:rsidR="007570C8" w:rsidRPr="00166607">
        <w:rPr>
          <w:rFonts w:ascii="Times New Roman" w:hAnsi="Times New Roman"/>
        </w:rPr>
        <w:t xml:space="preserve"> grade and hence might have increased the probability that post-8</w:t>
      </w:r>
      <w:r w:rsidR="007570C8" w:rsidRPr="00166607">
        <w:rPr>
          <w:rFonts w:ascii="Times New Roman" w:hAnsi="Times New Roman"/>
          <w:vertAlign w:val="superscript"/>
        </w:rPr>
        <w:t>th</w:t>
      </w:r>
      <w:r w:rsidR="007570C8" w:rsidRPr="00166607">
        <w:rPr>
          <w:rFonts w:ascii="Times New Roman" w:hAnsi="Times New Roman"/>
        </w:rPr>
        <w:t xml:space="preserve"> grade retention occurred in public rather than private schools.  </w:t>
      </w:r>
    </w:p>
    <w:p w14:paraId="13B4B882" w14:textId="19BFF36D" w:rsidR="000B1B5E" w:rsidRPr="00166607" w:rsidRDefault="000B1B5E" w:rsidP="00402892">
      <w:pPr>
        <w:spacing w:line="360" w:lineRule="auto"/>
        <w:ind w:firstLine="720"/>
        <w:jc w:val="both"/>
        <w:rPr>
          <w:rFonts w:ascii="Times New Roman" w:hAnsi="Times New Roman"/>
        </w:rPr>
      </w:pPr>
      <w:r w:rsidRPr="00166607">
        <w:rPr>
          <w:rFonts w:ascii="Times New Roman" w:hAnsi="Times New Roman"/>
        </w:rPr>
        <w:t xml:space="preserve">Based on estimates from Table 2, Table </w:t>
      </w:r>
      <w:r w:rsidR="002B0F6E" w:rsidRPr="00166607">
        <w:rPr>
          <w:rFonts w:ascii="Times New Roman" w:hAnsi="Times New Roman"/>
        </w:rPr>
        <w:t>C</w:t>
      </w:r>
      <w:r w:rsidRPr="00166607">
        <w:rPr>
          <w:rFonts w:ascii="Times New Roman" w:hAnsi="Times New Roman"/>
        </w:rPr>
        <w:t>1 shows the distribution of secondary school completion outcomes for scholarship winners and losers, separately by gender:</w:t>
      </w:r>
    </w:p>
    <w:p w14:paraId="17170F19" w14:textId="0C8729C4" w:rsidR="000B1B5E" w:rsidRPr="00166607" w:rsidRDefault="00821CFC" w:rsidP="00402892">
      <w:pPr>
        <w:spacing w:line="360" w:lineRule="auto"/>
        <w:ind w:firstLine="720"/>
        <w:jc w:val="both"/>
        <w:rPr>
          <w:rFonts w:ascii="Times New Roman" w:hAnsi="Times New Roman"/>
        </w:rPr>
      </w:pPr>
      <w:r w:rsidRPr="00166607">
        <w:rPr>
          <w:rFonts w:ascii="Times New Roman" w:hAnsi="Times New Roman"/>
        </w:rPr>
        <w:t xml:space="preserve">For those who complete secondary school with delays, since we assume that the delay is all a consequence of grade repetition, the reduction in grade repetition as a consequence of winning the scholarship is 0.093 – 0.102 = -0.01 for females and 0.090 – 0.123 = -0.033 for </w:t>
      </w:r>
      <w:r w:rsidRPr="00166607">
        <w:rPr>
          <w:rFonts w:ascii="Times New Roman" w:hAnsi="Times New Roman"/>
        </w:rPr>
        <w:lastRenderedPageBreak/>
        <w:t xml:space="preserve">males. Annual cost-savings from reduced grade repetition in this group is annual per-pupil public school costs (from Table </w:t>
      </w:r>
      <w:r w:rsidR="00113745" w:rsidRPr="00166607">
        <w:rPr>
          <w:rFonts w:ascii="Times New Roman" w:hAnsi="Times New Roman"/>
        </w:rPr>
        <w:t>8</w:t>
      </w:r>
      <w:r w:rsidRPr="00166607">
        <w:rPr>
          <w:rFonts w:ascii="Times New Roman" w:hAnsi="Times New Roman"/>
        </w:rPr>
        <w:t>), times the fraction of lottery losers who attend public school, times reduction in the probability of grade repetition.  For females this is: $449.08 * 0.284 * (-0.01) = - $1.28 and for males it is $449.08 * 0.300 * (-0.03) = - $4.44.</w:t>
      </w:r>
      <w:r w:rsidR="000446CE" w:rsidRPr="00166607">
        <w:rPr>
          <w:rFonts w:ascii="Times New Roman" w:hAnsi="Times New Roman"/>
        </w:rPr>
        <w:t xml:space="preserve">  Note that the figures are reported as negative numbers indicating negative costs (i.e. cost savings).  </w:t>
      </w:r>
    </w:p>
    <w:p w14:paraId="52E0D03E" w14:textId="77777777" w:rsidR="00821CFC" w:rsidRPr="00166607" w:rsidRDefault="00821CFC" w:rsidP="00402892">
      <w:pPr>
        <w:spacing w:line="360" w:lineRule="auto"/>
        <w:rPr>
          <w:rFonts w:ascii="Times New Roman" w:hAnsi="Times New Roman"/>
        </w:rPr>
      </w:pPr>
    </w:p>
    <w:p w14:paraId="6AAAEA93" w14:textId="46252075" w:rsidR="000B1B5E" w:rsidRPr="00166607" w:rsidRDefault="000B1B5E" w:rsidP="00821CFC">
      <w:pPr>
        <w:rPr>
          <w:rFonts w:ascii="Times New Roman" w:hAnsi="Times New Roman"/>
        </w:rPr>
      </w:pPr>
      <w:r w:rsidRPr="00166607">
        <w:rPr>
          <w:rFonts w:ascii="Times New Roman" w:hAnsi="Times New Roman"/>
        </w:rPr>
        <w:t xml:space="preserve">Table </w:t>
      </w:r>
      <w:r w:rsidR="00DA4141" w:rsidRPr="00166607">
        <w:rPr>
          <w:rFonts w:ascii="Times New Roman" w:hAnsi="Times New Roman"/>
        </w:rPr>
        <w:t>C</w:t>
      </w:r>
      <w:r w:rsidRPr="00166607">
        <w:rPr>
          <w:rFonts w:ascii="Times New Roman" w:hAnsi="Times New Roman"/>
        </w:rPr>
        <w:t>1. Distribution of secondary school completion outcomes</w:t>
      </w:r>
    </w:p>
    <w:tbl>
      <w:tblPr>
        <w:tblW w:w="7641" w:type="dxa"/>
        <w:jc w:val="center"/>
        <w:tblLayout w:type="fixed"/>
        <w:tblLook w:val="04A0" w:firstRow="1" w:lastRow="0" w:firstColumn="1" w:lastColumn="0" w:noHBand="0" w:noVBand="1"/>
      </w:tblPr>
      <w:tblGrid>
        <w:gridCol w:w="2175"/>
        <w:gridCol w:w="1300"/>
        <w:gridCol w:w="1300"/>
        <w:gridCol w:w="266"/>
        <w:gridCol w:w="1300"/>
        <w:gridCol w:w="1300"/>
      </w:tblGrid>
      <w:tr w:rsidR="000B1B5E" w:rsidRPr="00166607" w14:paraId="2A6664FC" w14:textId="77777777" w:rsidTr="00A03110">
        <w:trPr>
          <w:trHeight w:val="120"/>
          <w:jc w:val="center"/>
        </w:trPr>
        <w:tc>
          <w:tcPr>
            <w:tcW w:w="2175" w:type="dxa"/>
            <w:tcBorders>
              <w:top w:val="nil"/>
              <w:left w:val="nil"/>
              <w:bottom w:val="double" w:sz="6" w:space="0" w:color="auto"/>
              <w:right w:val="nil"/>
            </w:tcBorders>
            <w:shd w:val="clear" w:color="000000" w:fill="FFFFFF"/>
            <w:noWrap/>
            <w:vAlign w:val="bottom"/>
            <w:hideMark/>
          </w:tcPr>
          <w:p w14:paraId="39F607F5"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double" w:sz="6" w:space="0" w:color="auto"/>
              <w:right w:val="nil"/>
            </w:tcBorders>
            <w:shd w:val="clear" w:color="000000" w:fill="FFFFFF"/>
            <w:noWrap/>
            <w:vAlign w:val="bottom"/>
            <w:hideMark/>
          </w:tcPr>
          <w:p w14:paraId="2E9C13D4"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double" w:sz="6" w:space="0" w:color="auto"/>
              <w:right w:val="nil"/>
            </w:tcBorders>
            <w:shd w:val="clear" w:color="000000" w:fill="FFFFFF"/>
            <w:noWrap/>
            <w:vAlign w:val="bottom"/>
            <w:hideMark/>
          </w:tcPr>
          <w:p w14:paraId="34B16CFB"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266" w:type="dxa"/>
            <w:tcBorders>
              <w:top w:val="nil"/>
              <w:left w:val="nil"/>
              <w:bottom w:val="double" w:sz="6" w:space="0" w:color="auto"/>
              <w:right w:val="nil"/>
            </w:tcBorders>
            <w:shd w:val="clear" w:color="000000" w:fill="FFFFFF"/>
            <w:noWrap/>
            <w:vAlign w:val="bottom"/>
            <w:hideMark/>
          </w:tcPr>
          <w:p w14:paraId="15AE9F2B"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double" w:sz="6" w:space="0" w:color="auto"/>
              <w:right w:val="nil"/>
            </w:tcBorders>
            <w:shd w:val="clear" w:color="000000" w:fill="FFFFFF"/>
            <w:noWrap/>
            <w:vAlign w:val="bottom"/>
            <w:hideMark/>
          </w:tcPr>
          <w:p w14:paraId="671D011F"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double" w:sz="6" w:space="0" w:color="auto"/>
              <w:right w:val="nil"/>
            </w:tcBorders>
            <w:shd w:val="clear" w:color="000000" w:fill="FFFFFF"/>
            <w:noWrap/>
            <w:vAlign w:val="bottom"/>
            <w:hideMark/>
          </w:tcPr>
          <w:p w14:paraId="5EC0ED8F"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r>
      <w:tr w:rsidR="000B1B5E" w:rsidRPr="00166607" w14:paraId="36E28AC6" w14:textId="77777777" w:rsidTr="00A03110">
        <w:trPr>
          <w:trHeight w:val="320"/>
          <w:jc w:val="center"/>
        </w:trPr>
        <w:tc>
          <w:tcPr>
            <w:tcW w:w="2175" w:type="dxa"/>
            <w:tcBorders>
              <w:top w:val="nil"/>
              <w:left w:val="nil"/>
              <w:bottom w:val="nil"/>
              <w:right w:val="nil"/>
            </w:tcBorders>
            <w:shd w:val="clear" w:color="000000" w:fill="FFFFFF"/>
            <w:noWrap/>
            <w:vAlign w:val="bottom"/>
            <w:hideMark/>
          </w:tcPr>
          <w:p w14:paraId="353CEFD0"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2600" w:type="dxa"/>
            <w:gridSpan w:val="2"/>
            <w:tcBorders>
              <w:top w:val="nil"/>
              <w:left w:val="nil"/>
              <w:bottom w:val="nil"/>
              <w:right w:val="nil"/>
            </w:tcBorders>
            <w:shd w:val="clear" w:color="000000" w:fill="FFFFFF"/>
            <w:noWrap/>
            <w:vAlign w:val="bottom"/>
            <w:hideMark/>
          </w:tcPr>
          <w:p w14:paraId="7DC8D759"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Losers</w:t>
            </w:r>
          </w:p>
        </w:tc>
        <w:tc>
          <w:tcPr>
            <w:tcW w:w="266" w:type="dxa"/>
            <w:tcBorders>
              <w:top w:val="nil"/>
              <w:left w:val="nil"/>
              <w:bottom w:val="nil"/>
              <w:right w:val="nil"/>
            </w:tcBorders>
            <w:shd w:val="clear" w:color="000000" w:fill="FFFFFF"/>
            <w:noWrap/>
            <w:vAlign w:val="bottom"/>
            <w:hideMark/>
          </w:tcPr>
          <w:p w14:paraId="1CFA7AE7"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2600" w:type="dxa"/>
            <w:gridSpan w:val="2"/>
            <w:tcBorders>
              <w:top w:val="nil"/>
              <w:left w:val="nil"/>
              <w:bottom w:val="nil"/>
              <w:right w:val="nil"/>
            </w:tcBorders>
            <w:shd w:val="clear" w:color="000000" w:fill="FFFFFF"/>
            <w:noWrap/>
            <w:vAlign w:val="bottom"/>
            <w:hideMark/>
          </w:tcPr>
          <w:p w14:paraId="5049B646"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Winners</w:t>
            </w:r>
          </w:p>
        </w:tc>
      </w:tr>
      <w:tr w:rsidR="000B1B5E" w:rsidRPr="00166607" w14:paraId="12C6F400" w14:textId="77777777" w:rsidTr="00A03110">
        <w:trPr>
          <w:trHeight w:val="300"/>
          <w:jc w:val="center"/>
        </w:trPr>
        <w:tc>
          <w:tcPr>
            <w:tcW w:w="2175" w:type="dxa"/>
            <w:tcBorders>
              <w:top w:val="nil"/>
              <w:left w:val="nil"/>
              <w:bottom w:val="nil"/>
              <w:right w:val="nil"/>
            </w:tcBorders>
            <w:shd w:val="clear" w:color="000000" w:fill="FFFFFF"/>
            <w:noWrap/>
            <w:vAlign w:val="bottom"/>
            <w:hideMark/>
          </w:tcPr>
          <w:p w14:paraId="2BF2A4A0"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single" w:sz="4" w:space="0" w:color="auto"/>
              <w:right w:val="nil"/>
            </w:tcBorders>
            <w:shd w:val="clear" w:color="000000" w:fill="FFFFFF"/>
            <w:noWrap/>
            <w:vAlign w:val="bottom"/>
            <w:hideMark/>
          </w:tcPr>
          <w:p w14:paraId="16A247AC"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Female</w:t>
            </w:r>
          </w:p>
        </w:tc>
        <w:tc>
          <w:tcPr>
            <w:tcW w:w="1300" w:type="dxa"/>
            <w:tcBorders>
              <w:top w:val="nil"/>
              <w:left w:val="nil"/>
              <w:bottom w:val="single" w:sz="4" w:space="0" w:color="auto"/>
              <w:right w:val="nil"/>
            </w:tcBorders>
            <w:shd w:val="clear" w:color="000000" w:fill="FFFFFF"/>
            <w:noWrap/>
            <w:vAlign w:val="bottom"/>
            <w:hideMark/>
          </w:tcPr>
          <w:p w14:paraId="6AA45824"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Male</w:t>
            </w:r>
          </w:p>
        </w:tc>
        <w:tc>
          <w:tcPr>
            <w:tcW w:w="266" w:type="dxa"/>
            <w:tcBorders>
              <w:top w:val="nil"/>
              <w:left w:val="nil"/>
              <w:bottom w:val="single" w:sz="4" w:space="0" w:color="auto"/>
              <w:right w:val="nil"/>
            </w:tcBorders>
            <w:shd w:val="clear" w:color="000000" w:fill="FFFFFF"/>
            <w:noWrap/>
            <w:vAlign w:val="bottom"/>
            <w:hideMark/>
          </w:tcPr>
          <w:p w14:paraId="3DD641EF"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single" w:sz="4" w:space="0" w:color="auto"/>
              <w:right w:val="nil"/>
            </w:tcBorders>
            <w:shd w:val="clear" w:color="000000" w:fill="FFFFFF"/>
            <w:noWrap/>
            <w:vAlign w:val="bottom"/>
            <w:hideMark/>
          </w:tcPr>
          <w:p w14:paraId="5FAC3408"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Female</w:t>
            </w:r>
          </w:p>
        </w:tc>
        <w:tc>
          <w:tcPr>
            <w:tcW w:w="1300" w:type="dxa"/>
            <w:tcBorders>
              <w:top w:val="nil"/>
              <w:left w:val="nil"/>
              <w:bottom w:val="single" w:sz="4" w:space="0" w:color="auto"/>
              <w:right w:val="nil"/>
            </w:tcBorders>
            <w:shd w:val="clear" w:color="000000" w:fill="FFFFFF"/>
            <w:noWrap/>
            <w:vAlign w:val="bottom"/>
            <w:hideMark/>
          </w:tcPr>
          <w:p w14:paraId="6C54F850"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Male</w:t>
            </w:r>
          </w:p>
        </w:tc>
      </w:tr>
      <w:tr w:rsidR="000B1B5E" w:rsidRPr="00166607" w14:paraId="3647BD4C" w14:textId="77777777" w:rsidTr="00A03110">
        <w:trPr>
          <w:trHeight w:val="600"/>
          <w:jc w:val="center"/>
        </w:trPr>
        <w:tc>
          <w:tcPr>
            <w:tcW w:w="2175" w:type="dxa"/>
            <w:tcBorders>
              <w:top w:val="nil"/>
              <w:left w:val="nil"/>
              <w:bottom w:val="nil"/>
              <w:right w:val="nil"/>
            </w:tcBorders>
            <w:shd w:val="clear" w:color="000000" w:fill="FFFFFF"/>
            <w:vAlign w:val="bottom"/>
            <w:hideMark/>
          </w:tcPr>
          <w:p w14:paraId="758B5CDE"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Completed secondary school on time</w:t>
            </w:r>
          </w:p>
        </w:tc>
        <w:tc>
          <w:tcPr>
            <w:tcW w:w="1300" w:type="dxa"/>
            <w:tcBorders>
              <w:top w:val="nil"/>
              <w:left w:val="nil"/>
              <w:bottom w:val="nil"/>
              <w:right w:val="nil"/>
            </w:tcBorders>
            <w:shd w:val="clear" w:color="000000" w:fill="FFFFFF"/>
            <w:noWrap/>
            <w:vAlign w:val="bottom"/>
            <w:hideMark/>
          </w:tcPr>
          <w:p w14:paraId="7E76ABAD" w14:textId="3F437AF7" w:rsidR="000B1B5E" w:rsidRPr="00166607" w:rsidRDefault="000C322F" w:rsidP="000C322F">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0.486</w:t>
            </w:r>
          </w:p>
        </w:tc>
        <w:tc>
          <w:tcPr>
            <w:tcW w:w="1300" w:type="dxa"/>
            <w:tcBorders>
              <w:top w:val="nil"/>
              <w:left w:val="nil"/>
              <w:bottom w:val="nil"/>
              <w:right w:val="nil"/>
            </w:tcBorders>
            <w:shd w:val="clear" w:color="000000" w:fill="FFFFFF"/>
            <w:noWrap/>
            <w:vAlign w:val="bottom"/>
            <w:hideMark/>
          </w:tcPr>
          <w:p w14:paraId="29A515F1" w14:textId="1AD136B1" w:rsidR="000B1B5E" w:rsidRPr="00166607" w:rsidRDefault="000C322F"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0.415</w:t>
            </w:r>
          </w:p>
        </w:tc>
        <w:tc>
          <w:tcPr>
            <w:tcW w:w="266" w:type="dxa"/>
            <w:tcBorders>
              <w:top w:val="nil"/>
              <w:left w:val="nil"/>
              <w:bottom w:val="nil"/>
              <w:right w:val="nil"/>
            </w:tcBorders>
            <w:shd w:val="clear" w:color="000000" w:fill="FFFFFF"/>
            <w:noWrap/>
            <w:vAlign w:val="bottom"/>
            <w:hideMark/>
          </w:tcPr>
          <w:p w14:paraId="3D478F66"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noWrap/>
            <w:vAlign w:val="bottom"/>
            <w:hideMark/>
          </w:tcPr>
          <w:p w14:paraId="7D551584" w14:textId="672BD96C"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0.5</w:t>
            </w:r>
            <w:r w:rsidR="000C322F" w:rsidRPr="00166607">
              <w:rPr>
                <w:rFonts w:ascii="Times New Roman" w:eastAsia="Times New Roman" w:hAnsi="Times New Roman"/>
                <w:color w:val="000000"/>
                <w:sz w:val="20"/>
              </w:rPr>
              <w:t>58</w:t>
            </w:r>
          </w:p>
        </w:tc>
        <w:tc>
          <w:tcPr>
            <w:tcW w:w="1300" w:type="dxa"/>
            <w:tcBorders>
              <w:top w:val="nil"/>
              <w:left w:val="nil"/>
              <w:bottom w:val="nil"/>
              <w:right w:val="nil"/>
            </w:tcBorders>
            <w:shd w:val="clear" w:color="000000" w:fill="FFFFFF"/>
            <w:noWrap/>
            <w:vAlign w:val="bottom"/>
            <w:hideMark/>
          </w:tcPr>
          <w:p w14:paraId="44276483" w14:textId="1840FC1F" w:rsidR="000B1B5E" w:rsidRPr="00166607" w:rsidRDefault="000B1B5E" w:rsidP="000C322F">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0.4</w:t>
            </w:r>
            <w:r w:rsidR="000C322F" w:rsidRPr="00166607">
              <w:rPr>
                <w:rFonts w:ascii="Times New Roman" w:eastAsia="Times New Roman" w:hAnsi="Times New Roman"/>
                <w:color w:val="000000"/>
                <w:sz w:val="20"/>
              </w:rPr>
              <w:t>95</w:t>
            </w:r>
          </w:p>
        </w:tc>
      </w:tr>
      <w:tr w:rsidR="000B1B5E" w:rsidRPr="00166607" w14:paraId="5F5F9196" w14:textId="77777777" w:rsidTr="00A03110">
        <w:trPr>
          <w:trHeight w:val="300"/>
          <w:jc w:val="center"/>
        </w:trPr>
        <w:tc>
          <w:tcPr>
            <w:tcW w:w="2175" w:type="dxa"/>
            <w:tcBorders>
              <w:top w:val="nil"/>
              <w:left w:val="nil"/>
              <w:bottom w:val="nil"/>
              <w:right w:val="nil"/>
            </w:tcBorders>
            <w:shd w:val="clear" w:color="000000" w:fill="FFFFFF"/>
            <w:vAlign w:val="bottom"/>
            <w:hideMark/>
          </w:tcPr>
          <w:p w14:paraId="7935DFED"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noWrap/>
            <w:vAlign w:val="bottom"/>
            <w:hideMark/>
          </w:tcPr>
          <w:p w14:paraId="22DC86B4"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noWrap/>
            <w:vAlign w:val="bottom"/>
            <w:hideMark/>
          </w:tcPr>
          <w:p w14:paraId="012867C2"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266" w:type="dxa"/>
            <w:tcBorders>
              <w:top w:val="nil"/>
              <w:left w:val="nil"/>
              <w:bottom w:val="nil"/>
              <w:right w:val="nil"/>
            </w:tcBorders>
            <w:shd w:val="clear" w:color="000000" w:fill="FFFFFF"/>
            <w:noWrap/>
            <w:vAlign w:val="bottom"/>
            <w:hideMark/>
          </w:tcPr>
          <w:p w14:paraId="06213215"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noWrap/>
            <w:vAlign w:val="bottom"/>
            <w:hideMark/>
          </w:tcPr>
          <w:p w14:paraId="428AF060"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noWrap/>
            <w:vAlign w:val="bottom"/>
            <w:hideMark/>
          </w:tcPr>
          <w:p w14:paraId="6734604F"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r>
      <w:tr w:rsidR="000B1B5E" w:rsidRPr="00166607" w14:paraId="2ADDEB06" w14:textId="77777777" w:rsidTr="00A03110">
        <w:trPr>
          <w:trHeight w:val="600"/>
          <w:jc w:val="center"/>
        </w:trPr>
        <w:tc>
          <w:tcPr>
            <w:tcW w:w="2175" w:type="dxa"/>
            <w:tcBorders>
              <w:top w:val="nil"/>
              <w:left w:val="nil"/>
              <w:bottom w:val="nil"/>
              <w:right w:val="nil"/>
            </w:tcBorders>
            <w:shd w:val="clear" w:color="000000" w:fill="FFFFFF"/>
            <w:vAlign w:val="bottom"/>
            <w:hideMark/>
          </w:tcPr>
          <w:p w14:paraId="70610DFE"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Completed secondary school with delays</w:t>
            </w:r>
          </w:p>
        </w:tc>
        <w:tc>
          <w:tcPr>
            <w:tcW w:w="1300" w:type="dxa"/>
            <w:tcBorders>
              <w:top w:val="nil"/>
              <w:left w:val="nil"/>
              <w:bottom w:val="nil"/>
              <w:right w:val="nil"/>
            </w:tcBorders>
            <w:shd w:val="clear" w:color="000000" w:fill="FFFFFF"/>
            <w:noWrap/>
            <w:vAlign w:val="bottom"/>
            <w:hideMark/>
          </w:tcPr>
          <w:p w14:paraId="5662B5B2" w14:textId="1014FCB8" w:rsidR="000B1B5E" w:rsidRPr="00166607" w:rsidRDefault="000B1B5E" w:rsidP="00020A8E">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0.10</w:t>
            </w:r>
            <w:r w:rsidR="00020A8E" w:rsidRPr="00166607">
              <w:rPr>
                <w:rFonts w:ascii="Times New Roman" w:eastAsia="Times New Roman" w:hAnsi="Times New Roman"/>
                <w:color w:val="000000"/>
                <w:sz w:val="20"/>
              </w:rPr>
              <w:t>5</w:t>
            </w:r>
          </w:p>
        </w:tc>
        <w:tc>
          <w:tcPr>
            <w:tcW w:w="1300" w:type="dxa"/>
            <w:tcBorders>
              <w:top w:val="nil"/>
              <w:left w:val="nil"/>
              <w:bottom w:val="nil"/>
              <w:right w:val="nil"/>
            </w:tcBorders>
            <w:shd w:val="clear" w:color="000000" w:fill="FFFFFF"/>
            <w:noWrap/>
            <w:vAlign w:val="bottom"/>
            <w:hideMark/>
          </w:tcPr>
          <w:p w14:paraId="23E14136"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0.123</w:t>
            </w:r>
          </w:p>
        </w:tc>
        <w:tc>
          <w:tcPr>
            <w:tcW w:w="266" w:type="dxa"/>
            <w:tcBorders>
              <w:top w:val="nil"/>
              <w:left w:val="nil"/>
              <w:bottom w:val="nil"/>
              <w:right w:val="nil"/>
            </w:tcBorders>
            <w:shd w:val="clear" w:color="000000" w:fill="FFFFFF"/>
            <w:noWrap/>
            <w:vAlign w:val="bottom"/>
            <w:hideMark/>
          </w:tcPr>
          <w:p w14:paraId="138F7C67"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noWrap/>
            <w:vAlign w:val="bottom"/>
            <w:hideMark/>
          </w:tcPr>
          <w:p w14:paraId="02A42F59" w14:textId="102FCEF3"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0.09</w:t>
            </w:r>
            <w:r w:rsidR="00020A8E" w:rsidRPr="00166607">
              <w:rPr>
                <w:rFonts w:ascii="Times New Roman" w:eastAsia="Times New Roman" w:hAnsi="Times New Roman"/>
                <w:color w:val="000000"/>
                <w:sz w:val="20"/>
              </w:rPr>
              <w:t>5</w:t>
            </w:r>
          </w:p>
        </w:tc>
        <w:tc>
          <w:tcPr>
            <w:tcW w:w="1300" w:type="dxa"/>
            <w:tcBorders>
              <w:top w:val="nil"/>
              <w:left w:val="nil"/>
              <w:bottom w:val="nil"/>
              <w:right w:val="nil"/>
            </w:tcBorders>
            <w:shd w:val="clear" w:color="000000" w:fill="FFFFFF"/>
            <w:noWrap/>
            <w:vAlign w:val="bottom"/>
            <w:hideMark/>
          </w:tcPr>
          <w:p w14:paraId="6FB91816" w14:textId="15230B49"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0.09</w:t>
            </w:r>
            <w:r w:rsidR="00020A8E" w:rsidRPr="00166607">
              <w:rPr>
                <w:rFonts w:ascii="Times New Roman" w:eastAsia="Times New Roman" w:hAnsi="Times New Roman"/>
                <w:color w:val="000000"/>
                <w:sz w:val="20"/>
              </w:rPr>
              <w:t>0</w:t>
            </w:r>
          </w:p>
        </w:tc>
      </w:tr>
      <w:tr w:rsidR="000B1B5E" w:rsidRPr="00166607" w14:paraId="11C16CC4" w14:textId="77777777" w:rsidTr="00A03110">
        <w:trPr>
          <w:trHeight w:val="300"/>
          <w:jc w:val="center"/>
        </w:trPr>
        <w:tc>
          <w:tcPr>
            <w:tcW w:w="2175" w:type="dxa"/>
            <w:tcBorders>
              <w:top w:val="nil"/>
              <w:left w:val="nil"/>
              <w:bottom w:val="nil"/>
              <w:right w:val="nil"/>
            </w:tcBorders>
            <w:shd w:val="clear" w:color="000000" w:fill="FFFFFF"/>
            <w:vAlign w:val="bottom"/>
            <w:hideMark/>
          </w:tcPr>
          <w:p w14:paraId="1E8E064B"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noWrap/>
            <w:vAlign w:val="bottom"/>
            <w:hideMark/>
          </w:tcPr>
          <w:p w14:paraId="49943F2A"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noWrap/>
            <w:vAlign w:val="bottom"/>
            <w:hideMark/>
          </w:tcPr>
          <w:p w14:paraId="574818E1"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266" w:type="dxa"/>
            <w:tcBorders>
              <w:top w:val="nil"/>
              <w:left w:val="nil"/>
              <w:bottom w:val="nil"/>
              <w:right w:val="nil"/>
            </w:tcBorders>
            <w:shd w:val="clear" w:color="000000" w:fill="FFFFFF"/>
            <w:noWrap/>
            <w:vAlign w:val="bottom"/>
            <w:hideMark/>
          </w:tcPr>
          <w:p w14:paraId="03EF5BCA"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noWrap/>
            <w:vAlign w:val="bottom"/>
            <w:hideMark/>
          </w:tcPr>
          <w:p w14:paraId="10A10504"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noWrap/>
            <w:vAlign w:val="bottom"/>
            <w:hideMark/>
          </w:tcPr>
          <w:p w14:paraId="0C4A1983"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r>
      <w:tr w:rsidR="000B1B5E" w:rsidRPr="00166607" w14:paraId="3C83DB13" w14:textId="77777777" w:rsidTr="00A03110">
        <w:trPr>
          <w:trHeight w:val="320"/>
          <w:jc w:val="center"/>
        </w:trPr>
        <w:tc>
          <w:tcPr>
            <w:tcW w:w="2175" w:type="dxa"/>
            <w:tcBorders>
              <w:top w:val="nil"/>
              <w:left w:val="nil"/>
              <w:bottom w:val="double" w:sz="6" w:space="0" w:color="auto"/>
              <w:right w:val="nil"/>
            </w:tcBorders>
            <w:shd w:val="clear" w:color="000000" w:fill="FFFFFF"/>
            <w:vAlign w:val="bottom"/>
            <w:hideMark/>
          </w:tcPr>
          <w:p w14:paraId="44765B31"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Never completed</w:t>
            </w:r>
          </w:p>
        </w:tc>
        <w:tc>
          <w:tcPr>
            <w:tcW w:w="1300" w:type="dxa"/>
            <w:tcBorders>
              <w:top w:val="nil"/>
              <w:left w:val="nil"/>
              <w:bottom w:val="double" w:sz="6" w:space="0" w:color="auto"/>
              <w:right w:val="nil"/>
            </w:tcBorders>
            <w:shd w:val="clear" w:color="000000" w:fill="FFFFFF"/>
            <w:noWrap/>
            <w:vAlign w:val="bottom"/>
            <w:hideMark/>
          </w:tcPr>
          <w:p w14:paraId="0B95454A" w14:textId="7C749C2C"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0.4</w:t>
            </w:r>
            <w:r w:rsidR="00020A8E" w:rsidRPr="00166607">
              <w:rPr>
                <w:rFonts w:ascii="Times New Roman" w:eastAsia="Times New Roman" w:hAnsi="Times New Roman"/>
                <w:color w:val="000000"/>
                <w:sz w:val="20"/>
              </w:rPr>
              <w:t>09</w:t>
            </w:r>
          </w:p>
        </w:tc>
        <w:tc>
          <w:tcPr>
            <w:tcW w:w="1300" w:type="dxa"/>
            <w:tcBorders>
              <w:top w:val="nil"/>
              <w:left w:val="nil"/>
              <w:bottom w:val="double" w:sz="6" w:space="0" w:color="auto"/>
              <w:right w:val="nil"/>
            </w:tcBorders>
            <w:shd w:val="clear" w:color="000000" w:fill="FFFFFF"/>
            <w:noWrap/>
            <w:vAlign w:val="bottom"/>
            <w:hideMark/>
          </w:tcPr>
          <w:p w14:paraId="788FDD3B" w14:textId="20984E14"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0.4</w:t>
            </w:r>
            <w:r w:rsidR="00020A8E" w:rsidRPr="00166607">
              <w:rPr>
                <w:rFonts w:ascii="Times New Roman" w:eastAsia="Times New Roman" w:hAnsi="Times New Roman"/>
                <w:color w:val="000000"/>
                <w:sz w:val="20"/>
              </w:rPr>
              <w:t>62</w:t>
            </w:r>
          </w:p>
        </w:tc>
        <w:tc>
          <w:tcPr>
            <w:tcW w:w="266" w:type="dxa"/>
            <w:tcBorders>
              <w:top w:val="nil"/>
              <w:left w:val="nil"/>
              <w:bottom w:val="double" w:sz="6" w:space="0" w:color="auto"/>
              <w:right w:val="nil"/>
            </w:tcBorders>
            <w:shd w:val="clear" w:color="000000" w:fill="FFFFFF"/>
            <w:noWrap/>
            <w:vAlign w:val="bottom"/>
            <w:hideMark/>
          </w:tcPr>
          <w:p w14:paraId="422706DC"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double" w:sz="6" w:space="0" w:color="auto"/>
              <w:right w:val="nil"/>
            </w:tcBorders>
            <w:shd w:val="clear" w:color="000000" w:fill="FFFFFF"/>
            <w:noWrap/>
            <w:vAlign w:val="bottom"/>
            <w:hideMark/>
          </w:tcPr>
          <w:p w14:paraId="6E3F0B72" w14:textId="0DF8261E"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0.3</w:t>
            </w:r>
            <w:r w:rsidR="00020A8E" w:rsidRPr="00166607">
              <w:rPr>
                <w:rFonts w:ascii="Times New Roman" w:eastAsia="Times New Roman" w:hAnsi="Times New Roman"/>
                <w:color w:val="000000"/>
                <w:sz w:val="20"/>
              </w:rPr>
              <w:t>47</w:t>
            </w:r>
          </w:p>
        </w:tc>
        <w:tc>
          <w:tcPr>
            <w:tcW w:w="1300" w:type="dxa"/>
            <w:tcBorders>
              <w:top w:val="nil"/>
              <w:left w:val="nil"/>
              <w:bottom w:val="double" w:sz="6" w:space="0" w:color="auto"/>
              <w:right w:val="nil"/>
            </w:tcBorders>
            <w:shd w:val="clear" w:color="000000" w:fill="FFFFFF"/>
            <w:noWrap/>
            <w:vAlign w:val="bottom"/>
            <w:hideMark/>
          </w:tcPr>
          <w:p w14:paraId="03A71957" w14:textId="03DB0001"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0.4</w:t>
            </w:r>
            <w:r w:rsidR="00020A8E" w:rsidRPr="00166607">
              <w:rPr>
                <w:rFonts w:ascii="Times New Roman" w:eastAsia="Times New Roman" w:hAnsi="Times New Roman"/>
                <w:color w:val="000000"/>
                <w:sz w:val="20"/>
              </w:rPr>
              <w:t>15</w:t>
            </w:r>
          </w:p>
        </w:tc>
      </w:tr>
    </w:tbl>
    <w:p w14:paraId="297831C9" w14:textId="63712EFC" w:rsidR="000B1B5E" w:rsidRPr="00166607" w:rsidRDefault="000B1B5E" w:rsidP="000B1B5E">
      <w:pPr>
        <w:rPr>
          <w:rFonts w:ascii="Times New Roman" w:hAnsi="Times New Roman"/>
        </w:rPr>
      </w:pPr>
      <w:r w:rsidRPr="00166607">
        <w:rPr>
          <w:rFonts w:ascii="Times New Roman" w:hAnsi="Times New Roman"/>
          <w:sz w:val="20"/>
        </w:rPr>
        <w:t xml:space="preserve">Notes: Completed with delays is completed with up to a </w:t>
      </w:r>
      <w:r w:rsidR="00BA76F3" w:rsidRPr="00166607">
        <w:rPr>
          <w:rFonts w:ascii="Times New Roman" w:hAnsi="Times New Roman"/>
          <w:sz w:val="20"/>
        </w:rPr>
        <w:t>six-year</w:t>
      </w:r>
      <w:r w:rsidRPr="00166607">
        <w:rPr>
          <w:rFonts w:ascii="Times New Roman" w:hAnsi="Times New Roman"/>
          <w:sz w:val="20"/>
        </w:rPr>
        <w:t xml:space="preserve"> delay. We assume that the fraction of applicants who never complete secondary school is 1 – (fraction who complete on time + fraction who complete with delays).</w:t>
      </w:r>
      <w:r w:rsidRPr="00166607">
        <w:rPr>
          <w:rFonts w:ascii="Times New Roman" w:hAnsi="Times New Roman"/>
        </w:rPr>
        <w:t xml:space="preserve">  </w:t>
      </w:r>
    </w:p>
    <w:p w14:paraId="555CFA30" w14:textId="0F7C671E" w:rsidR="001C4869" w:rsidRPr="00166607" w:rsidRDefault="001C4869" w:rsidP="000D442B">
      <w:pPr>
        <w:spacing w:line="360" w:lineRule="auto"/>
        <w:rPr>
          <w:rFonts w:ascii="Times New Roman" w:hAnsi="Times New Roman"/>
        </w:rPr>
      </w:pPr>
    </w:p>
    <w:p w14:paraId="6AF6F956" w14:textId="000693E1" w:rsidR="001C4869" w:rsidRPr="00166607" w:rsidRDefault="000B1B5E" w:rsidP="006A3216">
      <w:pPr>
        <w:spacing w:line="360" w:lineRule="auto"/>
        <w:ind w:firstLine="720"/>
        <w:jc w:val="both"/>
        <w:rPr>
          <w:rFonts w:ascii="Times New Roman" w:hAnsi="Times New Roman"/>
        </w:rPr>
      </w:pPr>
      <w:r w:rsidRPr="00166607">
        <w:rPr>
          <w:rFonts w:ascii="Times New Roman" w:hAnsi="Times New Roman"/>
        </w:rPr>
        <w:t xml:space="preserve">We need to multiply these annual amounts by the number of extra years that it takes for winners to graduate from secondary school among those that graduate with delays.  Table </w:t>
      </w:r>
      <w:r w:rsidR="00DA4141" w:rsidRPr="00166607">
        <w:rPr>
          <w:rFonts w:ascii="Times New Roman" w:hAnsi="Times New Roman"/>
        </w:rPr>
        <w:t>C</w:t>
      </w:r>
      <w:r w:rsidRPr="00166607">
        <w:rPr>
          <w:rFonts w:ascii="Times New Roman" w:hAnsi="Times New Roman"/>
        </w:rPr>
        <w:t xml:space="preserve">2 shows the distribution of delayed graduation, which we obtain from Table 2 in the main text.  Using the distribution of delayed graduation in Table </w:t>
      </w:r>
      <w:r w:rsidR="00DA4141" w:rsidRPr="00166607">
        <w:rPr>
          <w:rFonts w:ascii="Times New Roman" w:hAnsi="Times New Roman"/>
        </w:rPr>
        <w:t>C</w:t>
      </w:r>
      <w:r w:rsidRPr="00166607">
        <w:rPr>
          <w:rFonts w:ascii="Times New Roman" w:hAnsi="Times New Roman"/>
        </w:rPr>
        <w:t>2 and the annual cost-savings from reduced grade repetition, we get the cost savings from grade repetition among scholarship winners who complete secondary school with delays. For females this is: - [$</w:t>
      </w:r>
      <w:r w:rsidR="00353A29" w:rsidRPr="00166607">
        <w:rPr>
          <w:rFonts w:ascii="Times New Roman" w:hAnsi="Times New Roman"/>
        </w:rPr>
        <w:t>1.</w:t>
      </w:r>
      <w:r w:rsidR="00BB4935" w:rsidRPr="00166607">
        <w:rPr>
          <w:rFonts w:ascii="Times New Roman" w:hAnsi="Times New Roman"/>
        </w:rPr>
        <w:t>28</w:t>
      </w:r>
      <w:r w:rsidRPr="00166607">
        <w:rPr>
          <w:rFonts w:ascii="Times New Roman" w:hAnsi="Times New Roman"/>
        </w:rPr>
        <w:t>*2 years*0.6</w:t>
      </w:r>
      <w:r w:rsidR="00BB4935" w:rsidRPr="00166607">
        <w:rPr>
          <w:rFonts w:ascii="Times New Roman" w:hAnsi="Times New Roman"/>
        </w:rPr>
        <w:t>7</w:t>
      </w:r>
      <w:r w:rsidRPr="00166607">
        <w:rPr>
          <w:rFonts w:ascii="Times New Roman" w:hAnsi="Times New Roman"/>
        </w:rPr>
        <w:t xml:space="preserve"> (</w:t>
      </w:r>
      <w:r w:rsidR="000446CE" w:rsidRPr="00166607">
        <w:rPr>
          <w:rFonts w:ascii="Times New Roman" w:hAnsi="Times New Roman"/>
        </w:rPr>
        <w:t xml:space="preserve">conditional on delay, the </w:t>
      </w:r>
      <w:r w:rsidRPr="00166607">
        <w:rPr>
          <w:rFonts w:ascii="Times New Roman" w:hAnsi="Times New Roman"/>
        </w:rPr>
        <w:t xml:space="preserve">fraction who completes with </w:t>
      </w:r>
      <w:r w:rsidR="007570C8" w:rsidRPr="00166607">
        <w:rPr>
          <w:rFonts w:ascii="Times New Roman" w:hAnsi="Times New Roman"/>
        </w:rPr>
        <w:t>a</w:t>
      </w:r>
      <w:r w:rsidRPr="00166607">
        <w:rPr>
          <w:rFonts w:ascii="Times New Roman" w:hAnsi="Times New Roman"/>
        </w:rPr>
        <w:t xml:space="preserve"> two-year delay) + $</w:t>
      </w:r>
      <w:r w:rsidR="00353A29" w:rsidRPr="00166607">
        <w:rPr>
          <w:rFonts w:ascii="Times New Roman" w:hAnsi="Times New Roman"/>
        </w:rPr>
        <w:t>1.</w:t>
      </w:r>
      <w:r w:rsidR="00BB4935" w:rsidRPr="00166607">
        <w:rPr>
          <w:rFonts w:ascii="Times New Roman" w:hAnsi="Times New Roman"/>
        </w:rPr>
        <w:t>28</w:t>
      </w:r>
      <w:r w:rsidRPr="00166607">
        <w:rPr>
          <w:rFonts w:ascii="Times New Roman" w:hAnsi="Times New Roman"/>
        </w:rPr>
        <w:t>*4 years*0.1</w:t>
      </w:r>
      <w:r w:rsidR="00BB4935" w:rsidRPr="00166607">
        <w:rPr>
          <w:rFonts w:ascii="Times New Roman" w:hAnsi="Times New Roman"/>
        </w:rPr>
        <w:t>6</w:t>
      </w:r>
      <w:r w:rsidR="007570C8" w:rsidRPr="00166607">
        <w:rPr>
          <w:rFonts w:ascii="Times New Roman" w:hAnsi="Times New Roman"/>
        </w:rPr>
        <w:t xml:space="preserve"> (fraction who completes with 4-year delay)</w:t>
      </w:r>
      <w:r w:rsidRPr="00166607">
        <w:rPr>
          <w:rFonts w:ascii="Times New Roman" w:hAnsi="Times New Roman"/>
        </w:rPr>
        <w:t xml:space="preserve"> + $</w:t>
      </w:r>
      <w:r w:rsidR="00353A29" w:rsidRPr="00166607">
        <w:rPr>
          <w:rFonts w:ascii="Times New Roman" w:hAnsi="Times New Roman"/>
        </w:rPr>
        <w:t>1.</w:t>
      </w:r>
      <w:r w:rsidR="00BB4935" w:rsidRPr="00166607">
        <w:rPr>
          <w:rFonts w:ascii="Times New Roman" w:hAnsi="Times New Roman"/>
        </w:rPr>
        <w:t>28</w:t>
      </w:r>
      <w:r w:rsidRPr="00166607">
        <w:rPr>
          <w:rFonts w:ascii="Times New Roman" w:hAnsi="Times New Roman"/>
        </w:rPr>
        <w:t>*6 years*0.</w:t>
      </w:r>
      <w:r w:rsidR="00BB4935" w:rsidRPr="00166607">
        <w:rPr>
          <w:rFonts w:ascii="Times New Roman" w:hAnsi="Times New Roman"/>
        </w:rPr>
        <w:t>17</w:t>
      </w:r>
      <w:r w:rsidR="007570C8" w:rsidRPr="00166607">
        <w:rPr>
          <w:rFonts w:ascii="Times New Roman" w:hAnsi="Times New Roman"/>
        </w:rPr>
        <w:t xml:space="preserve"> (fraction who completes with a 6-year delay)</w:t>
      </w:r>
      <w:r w:rsidRPr="00166607">
        <w:rPr>
          <w:rFonts w:ascii="Times New Roman" w:hAnsi="Times New Roman"/>
        </w:rPr>
        <w:t>] = - $</w:t>
      </w:r>
      <w:r w:rsidR="00353A29" w:rsidRPr="00166607">
        <w:rPr>
          <w:rFonts w:ascii="Times New Roman" w:hAnsi="Times New Roman"/>
        </w:rPr>
        <w:t>3.</w:t>
      </w:r>
      <w:r w:rsidR="00BB4935" w:rsidRPr="00166607">
        <w:rPr>
          <w:rFonts w:ascii="Times New Roman" w:hAnsi="Times New Roman"/>
        </w:rPr>
        <w:t>84</w:t>
      </w:r>
      <w:r w:rsidRPr="00166607">
        <w:rPr>
          <w:rFonts w:ascii="Times New Roman" w:hAnsi="Times New Roman"/>
        </w:rPr>
        <w:t>.  For males it is: - [$</w:t>
      </w:r>
      <w:r w:rsidR="00353A29" w:rsidRPr="00166607">
        <w:rPr>
          <w:rFonts w:ascii="Times New Roman" w:hAnsi="Times New Roman"/>
        </w:rPr>
        <w:t>4.</w:t>
      </w:r>
      <w:r w:rsidR="00BB4935" w:rsidRPr="00166607">
        <w:rPr>
          <w:rFonts w:ascii="Times New Roman" w:hAnsi="Times New Roman"/>
        </w:rPr>
        <w:t>4</w:t>
      </w:r>
      <w:r w:rsidR="00353A29" w:rsidRPr="00166607">
        <w:rPr>
          <w:rFonts w:ascii="Times New Roman" w:hAnsi="Times New Roman"/>
        </w:rPr>
        <w:t>4</w:t>
      </w:r>
      <w:r w:rsidRPr="00166607">
        <w:rPr>
          <w:rFonts w:ascii="Times New Roman" w:hAnsi="Times New Roman"/>
        </w:rPr>
        <w:t>*2 years*0.</w:t>
      </w:r>
      <w:r w:rsidR="00BB4935" w:rsidRPr="00166607">
        <w:rPr>
          <w:rFonts w:ascii="Times New Roman" w:hAnsi="Times New Roman"/>
        </w:rPr>
        <w:t>69</w:t>
      </w:r>
      <w:r w:rsidRPr="00166607">
        <w:rPr>
          <w:rFonts w:ascii="Times New Roman" w:hAnsi="Times New Roman"/>
        </w:rPr>
        <w:t xml:space="preserve"> + $</w:t>
      </w:r>
      <w:r w:rsidR="00353A29" w:rsidRPr="00166607">
        <w:rPr>
          <w:rFonts w:ascii="Times New Roman" w:hAnsi="Times New Roman"/>
        </w:rPr>
        <w:t>4.</w:t>
      </w:r>
      <w:r w:rsidR="00BB4935" w:rsidRPr="00166607">
        <w:rPr>
          <w:rFonts w:ascii="Times New Roman" w:hAnsi="Times New Roman"/>
        </w:rPr>
        <w:t>4</w:t>
      </w:r>
      <w:r w:rsidR="00353A29" w:rsidRPr="00166607">
        <w:rPr>
          <w:rFonts w:ascii="Times New Roman" w:hAnsi="Times New Roman"/>
        </w:rPr>
        <w:t>4</w:t>
      </w:r>
      <w:r w:rsidRPr="00166607">
        <w:rPr>
          <w:rFonts w:ascii="Times New Roman" w:hAnsi="Times New Roman"/>
        </w:rPr>
        <w:t>*4 years*0.</w:t>
      </w:r>
      <w:r w:rsidR="00BB4935" w:rsidRPr="00166607">
        <w:rPr>
          <w:rFonts w:ascii="Times New Roman" w:hAnsi="Times New Roman"/>
        </w:rPr>
        <w:t>21</w:t>
      </w:r>
      <w:r w:rsidRPr="00166607">
        <w:rPr>
          <w:rFonts w:ascii="Times New Roman" w:hAnsi="Times New Roman"/>
        </w:rPr>
        <w:t xml:space="preserve"> + $</w:t>
      </w:r>
      <w:r w:rsidR="00353A29" w:rsidRPr="00166607">
        <w:rPr>
          <w:rFonts w:ascii="Times New Roman" w:hAnsi="Times New Roman"/>
        </w:rPr>
        <w:t>4.</w:t>
      </w:r>
      <w:r w:rsidR="00BB4935" w:rsidRPr="00166607">
        <w:rPr>
          <w:rFonts w:ascii="Times New Roman" w:hAnsi="Times New Roman"/>
        </w:rPr>
        <w:t>4</w:t>
      </w:r>
      <w:r w:rsidR="00353A29" w:rsidRPr="00166607">
        <w:rPr>
          <w:rFonts w:ascii="Times New Roman" w:hAnsi="Times New Roman"/>
        </w:rPr>
        <w:t>4</w:t>
      </w:r>
      <w:r w:rsidRPr="00166607">
        <w:rPr>
          <w:rFonts w:ascii="Times New Roman" w:hAnsi="Times New Roman"/>
        </w:rPr>
        <w:t>*6 years*0.1</w:t>
      </w:r>
      <w:r w:rsidR="00BB4935" w:rsidRPr="00166607">
        <w:rPr>
          <w:rFonts w:ascii="Times New Roman" w:hAnsi="Times New Roman"/>
        </w:rPr>
        <w:t>0</w:t>
      </w:r>
      <w:r w:rsidRPr="00166607">
        <w:rPr>
          <w:rFonts w:ascii="Times New Roman" w:hAnsi="Times New Roman"/>
        </w:rPr>
        <w:t>] = - $</w:t>
      </w:r>
      <w:r w:rsidR="00BB4935" w:rsidRPr="00166607">
        <w:rPr>
          <w:rFonts w:ascii="Times New Roman" w:hAnsi="Times New Roman"/>
        </w:rPr>
        <w:t>12</w:t>
      </w:r>
      <w:r w:rsidR="00353A29" w:rsidRPr="00166607">
        <w:rPr>
          <w:rFonts w:ascii="Times New Roman" w:hAnsi="Times New Roman"/>
        </w:rPr>
        <w:t>.</w:t>
      </w:r>
      <w:r w:rsidR="00BB4935" w:rsidRPr="00166607">
        <w:rPr>
          <w:rFonts w:ascii="Times New Roman" w:hAnsi="Times New Roman"/>
        </w:rPr>
        <w:t>52</w:t>
      </w:r>
      <w:r w:rsidRPr="00166607">
        <w:rPr>
          <w:rFonts w:ascii="Times New Roman" w:hAnsi="Times New Roman"/>
        </w:rPr>
        <w:t xml:space="preserve">. </w:t>
      </w:r>
      <w:r w:rsidR="000446CE" w:rsidRPr="00166607">
        <w:rPr>
          <w:rFonts w:ascii="Times New Roman" w:hAnsi="Times New Roman"/>
        </w:rPr>
        <w:t xml:space="preserve"> </w:t>
      </w:r>
    </w:p>
    <w:p w14:paraId="53E1CF34" w14:textId="6E2115E9" w:rsidR="000B1B5E" w:rsidRPr="00166607" w:rsidRDefault="000B1B5E" w:rsidP="006A3216">
      <w:pPr>
        <w:spacing w:line="360" w:lineRule="auto"/>
        <w:ind w:firstLine="720"/>
        <w:jc w:val="both"/>
        <w:rPr>
          <w:rFonts w:ascii="Times New Roman" w:hAnsi="Times New Roman"/>
        </w:rPr>
      </w:pPr>
      <w:r w:rsidRPr="00166607">
        <w:rPr>
          <w:rFonts w:ascii="Times New Roman" w:hAnsi="Times New Roman"/>
        </w:rPr>
        <w:t>For scholarship winners who never complete secondary school, we assume that they dropped out in 9</w:t>
      </w:r>
      <w:r w:rsidRPr="00166607">
        <w:rPr>
          <w:rFonts w:ascii="Times New Roman" w:hAnsi="Times New Roman"/>
          <w:vertAlign w:val="superscript"/>
        </w:rPr>
        <w:t>th</w:t>
      </w:r>
      <w:r w:rsidRPr="00166607">
        <w:rPr>
          <w:rFonts w:ascii="Times New Roman" w:hAnsi="Times New Roman"/>
        </w:rPr>
        <w:t xml:space="preserve"> grade so the reduction in the total number of repetitions is the one reported by Angrist et al (2002) in Table 4 for the Bogotá sample with controls, which is -0.031 for females and -0.101 for males.  Therefore, cost-savings for those who never complete is </w:t>
      </w:r>
      <w:r w:rsidRPr="00166607">
        <w:rPr>
          <w:rFonts w:ascii="Times New Roman" w:hAnsi="Times New Roman"/>
        </w:rPr>
        <w:lastRenderedPageBreak/>
        <w:t>$449.08*</w:t>
      </w:r>
      <w:r w:rsidR="000155E3" w:rsidRPr="00166607">
        <w:rPr>
          <w:rFonts w:ascii="Times New Roman" w:hAnsi="Times New Roman"/>
        </w:rPr>
        <w:t>0.284*</w:t>
      </w:r>
      <w:r w:rsidRPr="00166607">
        <w:rPr>
          <w:rFonts w:ascii="Times New Roman" w:hAnsi="Times New Roman"/>
        </w:rPr>
        <w:t>(-0.031) = -$</w:t>
      </w:r>
      <w:r w:rsidR="000155E3" w:rsidRPr="00166607">
        <w:rPr>
          <w:rFonts w:ascii="Times New Roman" w:hAnsi="Times New Roman"/>
        </w:rPr>
        <w:t>3.95</w:t>
      </w:r>
      <w:r w:rsidRPr="00166607">
        <w:rPr>
          <w:rFonts w:ascii="Times New Roman" w:hAnsi="Times New Roman"/>
        </w:rPr>
        <w:t xml:space="preserve"> for females and $449.08*</w:t>
      </w:r>
      <w:r w:rsidR="000155E3" w:rsidRPr="00166607">
        <w:rPr>
          <w:rFonts w:ascii="Times New Roman" w:hAnsi="Times New Roman"/>
        </w:rPr>
        <w:t>0.300*</w:t>
      </w:r>
      <w:r w:rsidRPr="00166607">
        <w:rPr>
          <w:rFonts w:ascii="Times New Roman" w:hAnsi="Times New Roman"/>
        </w:rPr>
        <w:t>(-0.101) = -$</w:t>
      </w:r>
      <w:r w:rsidR="000155E3" w:rsidRPr="00166607">
        <w:rPr>
          <w:rFonts w:ascii="Times New Roman" w:hAnsi="Times New Roman"/>
        </w:rPr>
        <w:t>13.61</w:t>
      </w:r>
      <w:r w:rsidRPr="00166607">
        <w:rPr>
          <w:rFonts w:ascii="Times New Roman" w:hAnsi="Times New Roman"/>
        </w:rPr>
        <w:t xml:space="preserve"> for males.  </w:t>
      </w:r>
    </w:p>
    <w:p w14:paraId="4A1A1D63" w14:textId="58C3C628" w:rsidR="006E5DB2" w:rsidRPr="00166607" w:rsidRDefault="006E5DB2" w:rsidP="006A3216">
      <w:pPr>
        <w:spacing w:line="360" w:lineRule="auto"/>
        <w:ind w:firstLine="720"/>
        <w:jc w:val="both"/>
        <w:rPr>
          <w:rFonts w:ascii="Times New Roman" w:hAnsi="Times New Roman"/>
        </w:rPr>
      </w:pPr>
      <w:r w:rsidRPr="00166607">
        <w:rPr>
          <w:rFonts w:ascii="Times New Roman" w:hAnsi="Times New Roman"/>
        </w:rPr>
        <w:t xml:space="preserve">Total cost-savings from reduced grade repetition among scholarship winners is the weighted sum of the cost-savings among those who complete secondary school with delays and those who never complete.  The weights are given by the fraction of scholarship winners who complete secondary school with delays and who never complete, from Table </w:t>
      </w:r>
      <w:r w:rsidR="00113745" w:rsidRPr="00166607">
        <w:rPr>
          <w:rFonts w:ascii="Times New Roman" w:hAnsi="Times New Roman"/>
        </w:rPr>
        <w:t>C</w:t>
      </w:r>
      <w:r w:rsidRPr="00166607">
        <w:rPr>
          <w:rFonts w:ascii="Times New Roman" w:hAnsi="Times New Roman"/>
        </w:rPr>
        <w:t>1.  For females, we have that total cost-savings are [-$3.84* 0.095 - $3.95*0.347] = -$1.76.  For males, total cost-savings from reduced grade repetition are [-$12.52*0.090 -$13.61*0.415] = -$6.78.</w:t>
      </w:r>
    </w:p>
    <w:p w14:paraId="2A480489" w14:textId="77777777" w:rsidR="006E5DB2" w:rsidRPr="00166607" w:rsidRDefault="006E5DB2" w:rsidP="006E5DB2">
      <w:pPr>
        <w:spacing w:line="360" w:lineRule="auto"/>
        <w:ind w:firstLine="720"/>
        <w:rPr>
          <w:rFonts w:ascii="Times New Roman" w:hAnsi="Times New Roman"/>
        </w:rPr>
      </w:pPr>
    </w:p>
    <w:p w14:paraId="47EB30D5" w14:textId="6341FC46" w:rsidR="000B1B5E" w:rsidRPr="00166607" w:rsidRDefault="000B1B5E" w:rsidP="000B1B5E">
      <w:pPr>
        <w:rPr>
          <w:rFonts w:ascii="Times New Roman" w:hAnsi="Times New Roman"/>
        </w:rPr>
      </w:pPr>
      <w:r w:rsidRPr="00166607">
        <w:rPr>
          <w:rFonts w:ascii="Times New Roman" w:hAnsi="Times New Roman"/>
        </w:rPr>
        <w:t xml:space="preserve">Table </w:t>
      </w:r>
      <w:r w:rsidR="00DA4141" w:rsidRPr="00166607">
        <w:rPr>
          <w:rFonts w:ascii="Times New Roman" w:hAnsi="Times New Roman"/>
        </w:rPr>
        <w:t>C</w:t>
      </w:r>
      <w:r w:rsidRPr="00166607">
        <w:rPr>
          <w:rFonts w:ascii="Times New Roman" w:hAnsi="Times New Roman"/>
        </w:rPr>
        <w:t>2. Distribution of delayed secondary school completion for scholarship winners</w:t>
      </w:r>
    </w:p>
    <w:tbl>
      <w:tblPr>
        <w:tblW w:w="8381" w:type="dxa"/>
        <w:jc w:val="center"/>
        <w:tblLayout w:type="fixed"/>
        <w:tblLook w:val="04A0" w:firstRow="1" w:lastRow="0" w:firstColumn="1" w:lastColumn="0" w:noHBand="0" w:noVBand="1"/>
      </w:tblPr>
      <w:tblGrid>
        <w:gridCol w:w="2265"/>
        <w:gridCol w:w="1618"/>
        <w:gridCol w:w="1300"/>
        <w:gridCol w:w="320"/>
        <w:gridCol w:w="1578"/>
        <w:gridCol w:w="1300"/>
      </w:tblGrid>
      <w:tr w:rsidR="000B1B5E" w:rsidRPr="00166607" w14:paraId="0E10907F" w14:textId="77777777" w:rsidTr="00A03110">
        <w:trPr>
          <w:trHeight w:val="100"/>
          <w:jc w:val="center"/>
        </w:trPr>
        <w:tc>
          <w:tcPr>
            <w:tcW w:w="2265" w:type="dxa"/>
            <w:tcBorders>
              <w:top w:val="nil"/>
              <w:left w:val="nil"/>
              <w:bottom w:val="double" w:sz="6" w:space="0" w:color="auto"/>
              <w:right w:val="nil"/>
            </w:tcBorders>
            <w:shd w:val="clear" w:color="000000" w:fill="FFFFFF"/>
            <w:noWrap/>
            <w:vAlign w:val="bottom"/>
            <w:hideMark/>
          </w:tcPr>
          <w:p w14:paraId="24BD3FC9"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618" w:type="dxa"/>
            <w:tcBorders>
              <w:top w:val="nil"/>
              <w:left w:val="nil"/>
              <w:bottom w:val="double" w:sz="6" w:space="0" w:color="auto"/>
              <w:right w:val="nil"/>
            </w:tcBorders>
            <w:shd w:val="clear" w:color="000000" w:fill="FFFFFF"/>
            <w:noWrap/>
            <w:vAlign w:val="bottom"/>
            <w:hideMark/>
          </w:tcPr>
          <w:p w14:paraId="0B44C4C9"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double" w:sz="6" w:space="0" w:color="auto"/>
              <w:right w:val="nil"/>
            </w:tcBorders>
            <w:shd w:val="clear" w:color="000000" w:fill="FFFFFF"/>
            <w:noWrap/>
            <w:vAlign w:val="bottom"/>
            <w:hideMark/>
          </w:tcPr>
          <w:p w14:paraId="683E006D"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320" w:type="dxa"/>
            <w:tcBorders>
              <w:top w:val="nil"/>
              <w:left w:val="nil"/>
              <w:bottom w:val="double" w:sz="6" w:space="0" w:color="auto"/>
              <w:right w:val="nil"/>
            </w:tcBorders>
            <w:shd w:val="clear" w:color="000000" w:fill="FFFFFF"/>
            <w:noWrap/>
            <w:vAlign w:val="bottom"/>
            <w:hideMark/>
          </w:tcPr>
          <w:p w14:paraId="2DA33249"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578" w:type="dxa"/>
            <w:tcBorders>
              <w:top w:val="nil"/>
              <w:left w:val="nil"/>
              <w:bottom w:val="double" w:sz="6" w:space="0" w:color="auto"/>
              <w:right w:val="nil"/>
            </w:tcBorders>
            <w:shd w:val="clear" w:color="000000" w:fill="FFFFFF"/>
            <w:noWrap/>
            <w:vAlign w:val="bottom"/>
            <w:hideMark/>
          </w:tcPr>
          <w:p w14:paraId="68CCE871"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double" w:sz="6" w:space="0" w:color="auto"/>
              <w:right w:val="nil"/>
            </w:tcBorders>
            <w:shd w:val="clear" w:color="000000" w:fill="FFFFFF"/>
            <w:noWrap/>
            <w:vAlign w:val="bottom"/>
            <w:hideMark/>
          </w:tcPr>
          <w:p w14:paraId="17FE33A9"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r>
      <w:tr w:rsidR="000B1B5E" w:rsidRPr="00166607" w14:paraId="7D6C362D" w14:textId="77777777" w:rsidTr="00A03110">
        <w:trPr>
          <w:trHeight w:val="320"/>
          <w:jc w:val="center"/>
        </w:trPr>
        <w:tc>
          <w:tcPr>
            <w:tcW w:w="2265" w:type="dxa"/>
            <w:tcBorders>
              <w:top w:val="nil"/>
              <w:left w:val="nil"/>
              <w:bottom w:val="nil"/>
              <w:right w:val="nil"/>
            </w:tcBorders>
            <w:shd w:val="clear" w:color="000000" w:fill="FFFFFF"/>
            <w:noWrap/>
            <w:vAlign w:val="bottom"/>
            <w:hideMark/>
          </w:tcPr>
          <w:p w14:paraId="2C841129"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2918" w:type="dxa"/>
            <w:gridSpan w:val="2"/>
            <w:tcBorders>
              <w:top w:val="double" w:sz="6" w:space="0" w:color="auto"/>
              <w:left w:val="nil"/>
              <w:bottom w:val="nil"/>
              <w:right w:val="nil"/>
            </w:tcBorders>
            <w:shd w:val="clear" w:color="000000" w:fill="FFFFFF"/>
            <w:vAlign w:val="bottom"/>
            <w:hideMark/>
          </w:tcPr>
          <w:p w14:paraId="61930E23"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Females</w:t>
            </w:r>
          </w:p>
        </w:tc>
        <w:tc>
          <w:tcPr>
            <w:tcW w:w="320" w:type="dxa"/>
            <w:tcBorders>
              <w:top w:val="nil"/>
              <w:left w:val="nil"/>
              <w:bottom w:val="nil"/>
              <w:right w:val="nil"/>
            </w:tcBorders>
            <w:shd w:val="clear" w:color="000000" w:fill="FFFFFF"/>
            <w:vAlign w:val="bottom"/>
            <w:hideMark/>
          </w:tcPr>
          <w:p w14:paraId="6192300D"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2878" w:type="dxa"/>
            <w:gridSpan w:val="2"/>
            <w:tcBorders>
              <w:top w:val="double" w:sz="6" w:space="0" w:color="auto"/>
              <w:left w:val="nil"/>
              <w:bottom w:val="nil"/>
              <w:right w:val="nil"/>
            </w:tcBorders>
            <w:shd w:val="clear" w:color="000000" w:fill="FFFFFF"/>
            <w:vAlign w:val="bottom"/>
            <w:hideMark/>
          </w:tcPr>
          <w:p w14:paraId="404A4CAC"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Males</w:t>
            </w:r>
          </w:p>
        </w:tc>
      </w:tr>
      <w:tr w:rsidR="000B1B5E" w:rsidRPr="00166607" w14:paraId="73E95984" w14:textId="77777777" w:rsidTr="00A03110">
        <w:trPr>
          <w:trHeight w:val="300"/>
          <w:jc w:val="center"/>
        </w:trPr>
        <w:tc>
          <w:tcPr>
            <w:tcW w:w="2265" w:type="dxa"/>
            <w:tcBorders>
              <w:top w:val="nil"/>
              <w:left w:val="nil"/>
              <w:bottom w:val="nil"/>
              <w:right w:val="nil"/>
            </w:tcBorders>
            <w:shd w:val="clear" w:color="000000" w:fill="FFFFFF"/>
            <w:noWrap/>
            <w:vAlign w:val="bottom"/>
            <w:hideMark/>
          </w:tcPr>
          <w:p w14:paraId="3B67586E"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618" w:type="dxa"/>
            <w:tcBorders>
              <w:top w:val="nil"/>
              <w:left w:val="nil"/>
              <w:bottom w:val="single" w:sz="4" w:space="0" w:color="auto"/>
              <w:right w:val="nil"/>
            </w:tcBorders>
            <w:shd w:val="clear" w:color="000000" w:fill="FFFFFF"/>
            <w:vAlign w:val="bottom"/>
            <w:hideMark/>
          </w:tcPr>
          <w:p w14:paraId="06B84603"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Percentage points</w:t>
            </w:r>
          </w:p>
        </w:tc>
        <w:tc>
          <w:tcPr>
            <w:tcW w:w="1300" w:type="dxa"/>
            <w:tcBorders>
              <w:top w:val="nil"/>
              <w:left w:val="nil"/>
              <w:bottom w:val="single" w:sz="4" w:space="0" w:color="auto"/>
              <w:right w:val="nil"/>
            </w:tcBorders>
            <w:shd w:val="clear" w:color="000000" w:fill="FFFFFF"/>
            <w:vAlign w:val="bottom"/>
            <w:hideMark/>
          </w:tcPr>
          <w:p w14:paraId="66629098"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Percent</w:t>
            </w:r>
          </w:p>
        </w:tc>
        <w:tc>
          <w:tcPr>
            <w:tcW w:w="320" w:type="dxa"/>
            <w:tcBorders>
              <w:top w:val="nil"/>
              <w:left w:val="nil"/>
              <w:bottom w:val="nil"/>
              <w:right w:val="nil"/>
            </w:tcBorders>
            <w:shd w:val="clear" w:color="000000" w:fill="FFFFFF"/>
            <w:vAlign w:val="bottom"/>
            <w:hideMark/>
          </w:tcPr>
          <w:p w14:paraId="6E51F733"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578" w:type="dxa"/>
            <w:tcBorders>
              <w:top w:val="nil"/>
              <w:left w:val="nil"/>
              <w:bottom w:val="single" w:sz="4" w:space="0" w:color="auto"/>
              <w:right w:val="nil"/>
            </w:tcBorders>
            <w:shd w:val="clear" w:color="000000" w:fill="FFFFFF"/>
            <w:vAlign w:val="bottom"/>
            <w:hideMark/>
          </w:tcPr>
          <w:p w14:paraId="59855384"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Percentage points</w:t>
            </w:r>
          </w:p>
        </w:tc>
        <w:tc>
          <w:tcPr>
            <w:tcW w:w="1300" w:type="dxa"/>
            <w:tcBorders>
              <w:top w:val="nil"/>
              <w:left w:val="nil"/>
              <w:bottom w:val="single" w:sz="4" w:space="0" w:color="auto"/>
              <w:right w:val="nil"/>
            </w:tcBorders>
            <w:shd w:val="clear" w:color="000000" w:fill="FFFFFF"/>
            <w:vAlign w:val="bottom"/>
            <w:hideMark/>
          </w:tcPr>
          <w:p w14:paraId="6AE1CFAF"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Percent</w:t>
            </w:r>
          </w:p>
        </w:tc>
      </w:tr>
      <w:tr w:rsidR="000B1B5E" w:rsidRPr="00166607" w14:paraId="79411698" w14:textId="77777777" w:rsidTr="00A03110">
        <w:trPr>
          <w:trHeight w:val="600"/>
          <w:jc w:val="center"/>
        </w:trPr>
        <w:tc>
          <w:tcPr>
            <w:tcW w:w="2265" w:type="dxa"/>
            <w:tcBorders>
              <w:top w:val="nil"/>
              <w:left w:val="nil"/>
              <w:bottom w:val="nil"/>
              <w:right w:val="nil"/>
            </w:tcBorders>
            <w:shd w:val="clear" w:color="000000" w:fill="FFFFFF"/>
            <w:vAlign w:val="bottom"/>
            <w:hideMark/>
          </w:tcPr>
          <w:p w14:paraId="5A1C215A"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Fraction of winners who complete secondary school with delays</w:t>
            </w:r>
          </w:p>
        </w:tc>
        <w:tc>
          <w:tcPr>
            <w:tcW w:w="1618" w:type="dxa"/>
            <w:tcBorders>
              <w:top w:val="nil"/>
              <w:left w:val="nil"/>
              <w:bottom w:val="nil"/>
              <w:right w:val="nil"/>
            </w:tcBorders>
            <w:shd w:val="clear" w:color="000000" w:fill="FFFFFF"/>
            <w:vAlign w:val="bottom"/>
            <w:hideMark/>
          </w:tcPr>
          <w:p w14:paraId="0438520A" w14:textId="06527645" w:rsidR="000B1B5E" w:rsidRPr="00166607" w:rsidRDefault="000B1B5E" w:rsidP="000B5F15">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0.09</w:t>
            </w:r>
            <w:r w:rsidR="000B5F15" w:rsidRPr="00166607">
              <w:rPr>
                <w:rFonts w:ascii="Times New Roman" w:eastAsia="Times New Roman" w:hAnsi="Times New Roman"/>
                <w:color w:val="000000"/>
                <w:sz w:val="20"/>
              </w:rPr>
              <w:t>5</w:t>
            </w:r>
          </w:p>
        </w:tc>
        <w:tc>
          <w:tcPr>
            <w:tcW w:w="1300" w:type="dxa"/>
            <w:tcBorders>
              <w:top w:val="nil"/>
              <w:left w:val="nil"/>
              <w:bottom w:val="nil"/>
              <w:right w:val="nil"/>
            </w:tcBorders>
            <w:shd w:val="clear" w:color="000000" w:fill="FFFFFF"/>
            <w:vAlign w:val="bottom"/>
            <w:hideMark/>
          </w:tcPr>
          <w:p w14:paraId="7FB00306"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100%</w:t>
            </w:r>
          </w:p>
        </w:tc>
        <w:tc>
          <w:tcPr>
            <w:tcW w:w="320" w:type="dxa"/>
            <w:tcBorders>
              <w:top w:val="nil"/>
              <w:left w:val="nil"/>
              <w:bottom w:val="nil"/>
              <w:right w:val="nil"/>
            </w:tcBorders>
            <w:shd w:val="clear" w:color="000000" w:fill="FFFFFF"/>
            <w:vAlign w:val="bottom"/>
            <w:hideMark/>
          </w:tcPr>
          <w:p w14:paraId="1E7102A1"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578" w:type="dxa"/>
            <w:tcBorders>
              <w:top w:val="nil"/>
              <w:left w:val="nil"/>
              <w:bottom w:val="nil"/>
              <w:right w:val="nil"/>
            </w:tcBorders>
            <w:shd w:val="clear" w:color="000000" w:fill="FFFFFF"/>
            <w:vAlign w:val="bottom"/>
            <w:hideMark/>
          </w:tcPr>
          <w:p w14:paraId="707EA14B" w14:textId="248FFAD4"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0.09</w:t>
            </w:r>
            <w:r w:rsidR="00B3452C" w:rsidRPr="00166607">
              <w:rPr>
                <w:rFonts w:ascii="Times New Roman" w:eastAsia="Times New Roman" w:hAnsi="Times New Roman"/>
                <w:color w:val="000000"/>
                <w:sz w:val="20"/>
              </w:rPr>
              <w:t>0</w:t>
            </w:r>
          </w:p>
        </w:tc>
        <w:tc>
          <w:tcPr>
            <w:tcW w:w="1300" w:type="dxa"/>
            <w:tcBorders>
              <w:top w:val="nil"/>
              <w:left w:val="nil"/>
              <w:bottom w:val="nil"/>
              <w:right w:val="nil"/>
            </w:tcBorders>
            <w:shd w:val="clear" w:color="000000" w:fill="FFFFFF"/>
            <w:vAlign w:val="bottom"/>
            <w:hideMark/>
          </w:tcPr>
          <w:p w14:paraId="44FEAD09"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100%</w:t>
            </w:r>
          </w:p>
        </w:tc>
      </w:tr>
      <w:tr w:rsidR="000B1B5E" w:rsidRPr="00166607" w14:paraId="0D0046E6" w14:textId="77777777" w:rsidTr="00A03110">
        <w:trPr>
          <w:trHeight w:val="300"/>
          <w:jc w:val="center"/>
        </w:trPr>
        <w:tc>
          <w:tcPr>
            <w:tcW w:w="2265" w:type="dxa"/>
            <w:tcBorders>
              <w:top w:val="nil"/>
              <w:left w:val="nil"/>
              <w:bottom w:val="nil"/>
              <w:right w:val="nil"/>
            </w:tcBorders>
            <w:shd w:val="clear" w:color="000000" w:fill="FFFFFF"/>
            <w:noWrap/>
            <w:vAlign w:val="bottom"/>
            <w:hideMark/>
          </w:tcPr>
          <w:p w14:paraId="510CCDBD"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618" w:type="dxa"/>
            <w:tcBorders>
              <w:top w:val="nil"/>
              <w:left w:val="nil"/>
              <w:bottom w:val="nil"/>
              <w:right w:val="nil"/>
            </w:tcBorders>
            <w:shd w:val="clear" w:color="000000" w:fill="FFFFFF"/>
            <w:vAlign w:val="bottom"/>
            <w:hideMark/>
          </w:tcPr>
          <w:p w14:paraId="733DA3B3"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vAlign w:val="bottom"/>
            <w:hideMark/>
          </w:tcPr>
          <w:p w14:paraId="1EBDF447"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320" w:type="dxa"/>
            <w:tcBorders>
              <w:top w:val="nil"/>
              <w:left w:val="nil"/>
              <w:bottom w:val="nil"/>
              <w:right w:val="nil"/>
            </w:tcBorders>
            <w:shd w:val="clear" w:color="000000" w:fill="FFFFFF"/>
            <w:vAlign w:val="bottom"/>
            <w:hideMark/>
          </w:tcPr>
          <w:p w14:paraId="78511125"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578" w:type="dxa"/>
            <w:tcBorders>
              <w:top w:val="nil"/>
              <w:left w:val="nil"/>
              <w:bottom w:val="nil"/>
              <w:right w:val="nil"/>
            </w:tcBorders>
            <w:shd w:val="clear" w:color="000000" w:fill="FFFFFF"/>
            <w:vAlign w:val="bottom"/>
            <w:hideMark/>
          </w:tcPr>
          <w:p w14:paraId="590BB1F9"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vAlign w:val="bottom"/>
            <w:hideMark/>
          </w:tcPr>
          <w:p w14:paraId="30B78F46"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r>
      <w:tr w:rsidR="000B1B5E" w:rsidRPr="00166607" w14:paraId="7FA02A86" w14:textId="77777777" w:rsidTr="00A03110">
        <w:trPr>
          <w:trHeight w:val="600"/>
          <w:jc w:val="center"/>
        </w:trPr>
        <w:tc>
          <w:tcPr>
            <w:tcW w:w="2265" w:type="dxa"/>
            <w:tcBorders>
              <w:top w:val="nil"/>
              <w:left w:val="nil"/>
              <w:bottom w:val="nil"/>
              <w:right w:val="nil"/>
            </w:tcBorders>
            <w:shd w:val="clear" w:color="000000" w:fill="FFFFFF"/>
            <w:vAlign w:val="bottom"/>
            <w:hideMark/>
          </w:tcPr>
          <w:p w14:paraId="5EACB08E"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Fraction who complete with up to a two-year delay</w:t>
            </w:r>
          </w:p>
        </w:tc>
        <w:tc>
          <w:tcPr>
            <w:tcW w:w="1618" w:type="dxa"/>
            <w:tcBorders>
              <w:top w:val="nil"/>
              <w:left w:val="nil"/>
              <w:bottom w:val="nil"/>
              <w:right w:val="nil"/>
            </w:tcBorders>
            <w:shd w:val="clear" w:color="000000" w:fill="FFFFFF"/>
            <w:vAlign w:val="bottom"/>
            <w:hideMark/>
          </w:tcPr>
          <w:p w14:paraId="21FE30F9" w14:textId="108E5B3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(0.5</w:t>
            </w:r>
            <w:r w:rsidR="000B5F15" w:rsidRPr="00166607">
              <w:rPr>
                <w:rFonts w:ascii="Times New Roman" w:eastAsia="Times New Roman" w:hAnsi="Times New Roman"/>
                <w:color w:val="000000"/>
                <w:sz w:val="20"/>
              </w:rPr>
              <w:t>55</w:t>
            </w:r>
            <w:r w:rsidRPr="00166607">
              <w:rPr>
                <w:rFonts w:ascii="Times New Roman" w:eastAsia="Times New Roman" w:hAnsi="Times New Roman"/>
                <w:color w:val="000000"/>
                <w:sz w:val="20"/>
              </w:rPr>
              <w:t>+0.06</w:t>
            </w:r>
            <w:r w:rsidR="000B5F15" w:rsidRPr="00166607">
              <w:rPr>
                <w:rFonts w:ascii="Times New Roman" w:eastAsia="Times New Roman" w:hAnsi="Times New Roman"/>
                <w:color w:val="000000"/>
                <w:sz w:val="20"/>
              </w:rPr>
              <w:t>7</w:t>
            </w:r>
            <w:r w:rsidRPr="00166607">
              <w:rPr>
                <w:rFonts w:ascii="Times New Roman" w:eastAsia="Times New Roman" w:hAnsi="Times New Roman"/>
                <w:color w:val="000000"/>
                <w:sz w:val="20"/>
              </w:rPr>
              <w:t>)-0.5</w:t>
            </w:r>
            <w:r w:rsidR="000B5F15" w:rsidRPr="00166607">
              <w:rPr>
                <w:rFonts w:ascii="Times New Roman" w:eastAsia="Times New Roman" w:hAnsi="Times New Roman"/>
                <w:color w:val="000000"/>
                <w:sz w:val="20"/>
              </w:rPr>
              <w:t>58</w:t>
            </w:r>
            <w:r w:rsidRPr="00166607">
              <w:rPr>
                <w:rFonts w:ascii="Times New Roman" w:eastAsia="Times New Roman" w:hAnsi="Times New Roman"/>
                <w:color w:val="000000"/>
                <w:sz w:val="20"/>
              </w:rPr>
              <w:t xml:space="preserve"> =    0.06</w:t>
            </w:r>
            <w:r w:rsidR="000B5F15" w:rsidRPr="00166607">
              <w:rPr>
                <w:rFonts w:ascii="Times New Roman" w:eastAsia="Times New Roman" w:hAnsi="Times New Roman"/>
                <w:color w:val="000000"/>
                <w:sz w:val="20"/>
              </w:rPr>
              <w:t>4</w:t>
            </w:r>
          </w:p>
        </w:tc>
        <w:tc>
          <w:tcPr>
            <w:tcW w:w="1300" w:type="dxa"/>
            <w:tcBorders>
              <w:top w:val="nil"/>
              <w:left w:val="nil"/>
              <w:bottom w:val="nil"/>
              <w:right w:val="nil"/>
            </w:tcBorders>
            <w:shd w:val="clear" w:color="000000" w:fill="FFFFFF"/>
            <w:vAlign w:val="bottom"/>
            <w:hideMark/>
          </w:tcPr>
          <w:p w14:paraId="2FA97DD3" w14:textId="404E16DC"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6</w:t>
            </w:r>
            <w:r w:rsidR="000B5F15" w:rsidRPr="00166607">
              <w:rPr>
                <w:rFonts w:ascii="Times New Roman" w:eastAsia="Times New Roman" w:hAnsi="Times New Roman"/>
                <w:color w:val="000000"/>
                <w:sz w:val="20"/>
              </w:rPr>
              <w:t>7</w:t>
            </w:r>
            <w:r w:rsidRPr="00166607">
              <w:rPr>
                <w:rFonts w:ascii="Times New Roman" w:eastAsia="Times New Roman" w:hAnsi="Times New Roman"/>
                <w:color w:val="000000"/>
                <w:sz w:val="20"/>
              </w:rPr>
              <w:t>%</w:t>
            </w:r>
          </w:p>
        </w:tc>
        <w:tc>
          <w:tcPr>
            <w:tcW w:w="320" w:type="dxa"/>
            <w:tcBorders>
              <w:top w:val="nil"/>
              <w:left w:val="nil"/>
              <w:bottom w:val="nil"/>
              <w:right w:val="nil"/>
            </w:tcBorders>
            <w:shd w:val="clear" w:color="000000" w:fill="FFFFFF"/>
            <w:vAlign w:val="bottom"/>
            <w:hideMark/>
          </w:tcPr>
          <w:p w14:paraId="144CD86E"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578" w:type="dxa"/>
            <w:tcBorders>
              <w:top w:val="nil"/>
              <w:left w:val="nil"/>
              <w:bottom w:val="nil"/>
              <w:right w:val="nil"/>
            </w:tcBorders>
            <w:shd w:val="clear" w:color="000000" w:fill="FFFFFF"/>
            <w:vAlign w:val="bottom"/>
            <w:hideMark/>
          </w:tcPr>
          <w:p w14:paraId="6317A018" w14:textId="012D4C8D" w:rsidR="000B1B5E" w:rsidRPr="00166607" w:rsidRDefault="000B1B5E" w:rsidP="00B3452C">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(0.4</w:t>
            </w:r>
            <w:r w:rsidR="00B3452C" w:rsidRPr="00166607">
              <w:rPr>
                <w:rFonts w:ascii="Times New Roman" w:eastAsia="Times New Roman" w:hAnsi="Times New Roman"/>
                <w:color w:val="000000"/>
                <w:sz w:val="20"/>
              </w:rPr>
              <w:t>99</w:t>
            </w:r>
            <w:r w:rsidRPr="00166607">
              <w:rPr>
                <w:rFonts w:ascii="Times New Roman" w:eastAsia="Times New Roman" w:hAnsi="Times New Roman"/>
                <w:color w:val="000000"/>
                <w:sz w:val="20"/>
              </w:rPr>
              <w:t>+0.0</w:t>
            </w:r>
            <w:r w:rsidR="00B3452C" w:rsidRPr="00166607">
              <w:rPr>
                <w:rFonts w:ascii="Times New Roman" w:eastAsia="Times New Roman" w:hAnsi="Times New Roman"/>
                <w:color w:val="000000"/>
                <w:sz w:val="20"/>
              </w:rPr>
              <w:t>58</w:t>
            </w:r>
            <w:r w:rsidRPr="00166607">
              <w:rPr>
                <w:rFonts w:ascii="Times New Roman" w:eastAsia="Times New Roman" w:hAnsi="Times New Roman"/>
                <w:color w:val="000000"/>
                <w:sz w:val="20"/>
              </w:rPr>
              <w:t>)-0.4</w:t>
            </w:r>
            <w:r w:rsidR="00B3452C" w:rsidRPr="00166607">
              <w:rPr>
                <w:rFonts w:ascii="Times New Roman" w:eastAsia="Times New Roman" w:hAnsi="Times New Roman"/>
                <w:color w:val="000000"/>
                <w:sz w:val="20"/>
              </w:rPr>
              <w:t>95</w:t>
            </w:r>
            <w:r w:rsidRPr="00166607">
              <w:rPr>
                <w:rFonts w:ascii="Times New Roman" w:eastAsia="Times New Roman" w:hAnsi="Times New Roman"/>
                <w:color w:val="000000"/>
                <w:sz w:val="20"/>
              </w:rPr>
              <w:t xml:space="preserve"> =                0.06</w:t>
            </w:r>
            <w:r w:rsidR="00B3452C" w:rsidRPr="00166607">
              <w:rPr>
                <w:rFonts w:ascii="Times New Roman" w:eastAsia="Times New Roman" w:hAnsi="Times New Roman"/>
                <w:color w:val="000000"/>
                <w:sz w:val="20"/>
              </w:rPr>
              <w:t>2</w:t>
            </w:r>
          </w:p>
        </w:tc>
        <w:tc>
          <w:tcPr>
            <w:tcW w:w="1300" w:type="dxa"/>
            <w:tcBorders>
              <w:top w:val="nil"/>
              <w:left w:val="nil"/>
              <w:bottom w:val="nil"/>
              <w:right w:val="nil"/>
            </w:tcBorders>
            <w:shd w:val="clear" w:color="000000" w:fill="FFFFFF"/>
            <w:vAlign w:val="bottom"/>
            <w:hideMark/>
          </w:tcPr>
          <w:p w14:paraId="1C659209" w14:textId="41DE7259" w:rsidR="000B1B5E" w:rsidRPr="00166607" w:rsidRDefault="00B3452C" w:rsidP="00B3452C">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69</w:t>
            </w:r>
            <w:r w:rsidR="000B1B5E" w:rsidRPr="00166607">
              <w:rPr>
                <w:rFonts w:ascii="Times New Roman" w:eastAsia="Times New Roman" w:hAnsi="Times New Roman"/>
                <w:color w:val="000000"/>
                <w:sz w:val="20"/>
              </w:rPr>
              <w:t>%</w:t>
            </w:r>
          </w:p>
        </w:tc>
      </w:tr>
      <w:tr w:rsidR="000B1B5E" w:rsidRPr="00166607" w14:paraId="2AB560BF" w14:textId="77777777" w:rsidTr="00A03110">
        <w:trPr>
          <w:trHeight w:val="300"/>
          <w:jc w:val="center"/>
        </w:trPr>
        <w:tc>
          <w:tcPr>
            <w:tcW w:w="2265" w:type="dxa"/>
            <w:tcBorders>
              <w:top w:val="nil"/>
              <w:left w:val="nil"/>
              <w:bottom w:val="nil"/>
              <w:right w:val="nil"/>
            </w:tcBorders>
            <w:shd w:val="clear" w:color="000000" w:fill="FFFFFF"/>
            <w:vAlign w:val="bottom"/>
            <w:hideMark/>
          </w:tcPr>
          <w:p w14:paraId="3E8C4CEB"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618" w:type="dxa"/>
            <w:tcBorders>
              <w:top w:val="nil"/>
              <w:left w:val="nil"/>
              <w:bottom w:val="nil"/>
              <w:right w:val="nil"/>
            </w:tcBorders>
            <w:shd w:val="clear" w:color="000000" w:fill="FFFFFF"/>
            <w:vAlign w:val="bottom"/>
            <w:hideMark/>
          </w:tcPr>
          <w:p w14:paraId="276F9F20"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vAlign w:val="bottom"/>
            <w:hideMark/>
          </w:tcPr>
          <w:p w14:paraId="00385A9B"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320" w:type="dxa"/>
            <w:tcBorders>
              <w:top w:val="nil"/>
              <w:left w:val="nil"/>
              <w:bottom w:val="nil"/>
              <w:right w:val="nil"/>
            </w:tcBorders>
            <w:shd w:val="clear" w:color="000000" w:fill="FFFFFF"/>
            <w:vAlign w:val="bottom"/>
            <w:hideMark/>
          </w:tcPr>
          <w:p w14:paraId="0CF8A6D5"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578" w:type="dxa"/>
            <w:tcBorders>
              <w:top w:val="nil"/>
              <w:left w:val="nil"/>
              <w:bottom w:val="nil"/>
              <w:right w:val="nil"/>
            </w:tcBorders>
            <w:shd w:val="clear" w:color="000000" w:fill="FFFFFF"/>
            <w:vAlign w:val="bottom"/>
            <w:hideMark/>
          </w:tcPr>
          <w:p w14:paraId="3A24E789"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vAlign w:val="bottom"/>
            <w:hideMark/>
          </w:tcPr>
          <w:p w14:paraId="34D356CA"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r>
      <w:tr w:rsidR="000B1B5E" w:rsidRPr="00166607" w14:paraId="3482FD40" w14:textId="77777777" w:rsidTr="00A03110">
        <w:trPr>
          <w:trHeight w:val="600"/>
          <w:jc w:val="center"/>
        </w:trPr>
        <w:tc>
          <w:tcPr>
            <w:tcW w:w="2265" w:type="dxa"/>
            <w:tcBorders>
              <w:top w:val="nil"/>
              <w:left w:val="nil"/>
              <w:bottom w:val="nil"/>
              <w:right w:val="nil"/>
            </w:tcBorders>
            <w:shd w:val="clear" w:color="000000" w:fill="FFFFFF"/>
            <w:vAlign w:val="bottom"/>
            <w:hideMark/>
          </w:tcPr>
          <w:p w14:paraId="0B4D3F4E"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Fraction who complete with a 2- to 4-year delay</w:t>
            </w:r>
          </w:p>
        </w:tc>
        <w:tc>
          <w:tcPr>
            <w:tcW w:w="1618" w:type="dxa"/>
            <w:tcBorders>
              <w:top w:val="nil"/>
              <w:left w:val="nil"/>
              <w:bottom w:val="nil"/>
              <w:right w:val="nil"/>
            </w:tcBorders>
            <w:shd w:val="clear" w:color="000000" w:fill="FFFFFF"/>
            <w:vAlign w:val="bottom"/>
            <w:hideMark/>
          </w:tcPr>
          <w:p w14:paraId="2D82447E" w14:textId="7960F7C4"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(0.5</w:t>
            </w:r>
            <w:r w:rsidR="000B5F15" w:rsidRPr="00166607">
              <w:rPr>
                <w:rFonts w:ascii="Times New Roman" w:eastAsia="Times New Roman" w:hAnsi="Times New Roman"/>
                <w:color w:val="000000"/>
                <w:sz w:val="20"/>
              </w:rPr>
              <w:t>74</w:t>
            </w:r>
            <w:r w:rsidRPr="00166607">
              <w:rPr>
                <w:rFonts w:ascii="Times New Roman" w:eastAsia="Times New Roman" w:hAnsi="Times New Roman"/>
                <w:color w:val="000000"/>
                <w:sz w:val="20"/>
              </w:rPr>
              <w:t>+0.063)-0.6</w:t>
            </w:r>
            <w:r w:rsidR="00B3452C" w:rsidRPr="00166607">
              <w:rPr>
                <w:rFonts w:ascii="Times New Roman" w:eastAsia="Times New Roman" w:hAnsi="Times New Roman"/>
                <w:color w:val="000000"/>
                <w:sz w:val="20"/>
              </w:rPr>
              <w:t>22</w:t>
            </w:r>
            <w:r w:rsidRPr="00166607">
              <w:rPr>
                <w:rFonts w:ascii="Times New Roman" w:eastAsia="Times New Roman" w:hAnsi="Times New Roman"/>
                <w:color w:val="000000"/>
                <w:sz w:val="20"/>
              </w:rPr>
              <w:t xml:space="preserve"> =     0.01</w:t>
            </w:r>
            <w:r w:rsidR="000B5F15" w:rsidRPr="00166607">
              <w:rPr>
                <w:rFonts w:ascii="Times New Roman" w:eastAsia="Times New Roman" w:hAnsi="Times New Roman"/>
                <w:color w:val="000000"/>
                <w:sz w:val="20"/>
              </w:rPr>
              <w:t>5</w:t>
            </w:r>
          </w:p>
        </w:tc>
        <w:tc>
          <w:tcPr>
            <w:tcW w:w="1300" w:type="dxa"/>
            <w:tcBorders>
              <w:top w:val="nil"/>
              <w:left w:val="nil"/>
              <w:bottom w:val="nil"/>
              <w:right w:val="nil"/>
            </w:tcBorders>
            <w:shd w:val="clear" w:color="000000" w:fill="FFFFFF"/>
            <w:vAlign w:val="bottom"/>
            <w:hideMark/>
          </w:tcPr>
          <w:p w14:paraId="798A4F3E" w14:textId="180E213A" w:rsidR="000B1B5E" w:rsidRPr="00166607" w:rsidRDefault="000B1B5E" w:rsidP="00B3452C">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1</w:t>
            </w:r>
            <w:r w:rsidR="00B3452C" w:rsidRPr="00166607">
              <w:rPr>
                <w:rFonts w:ascii="Times New Roman" w:eastAsia="Times New Roman" w:hAnsi="Times New Roman"/>
                <w:color w:val="000000"/>
                <w:sz w:val="20"/>
              </w:rPr>
              <w:t>6</w:t>
            </w:r>
            <w:r w:rsidRPr="00166607">
              <w:rPr>
                <w:rFonts w:ascii="Times New Roman" w:eastAsia="Times New Roman" w:hAnsi="Times New Roman"/>
                <w:color w:val="000000"/>
                <w:sz w:val="20"/>
              </w:rPr>
              <w:t>%</w:t>
            </w:r>
          </w:p>
        </w:tc>
        <w:tc>
          <w:tcPr>
            <w:tcW w:w="320" w:type="dxa"/>
            <w:tcBorders>
              <w:top w:val="nil"/>
              <w:left w:val="nil"/>
              <w:bottom w:val="nil"/>
              <w:right w:val="nil"/>
            </w:tcBorders>
            <w:shd w:val="clear" w:color="000000" w:fill="FFFFFF"/>
            <w:vAlign w:val="bottom"/>
            <w:hideMark/>
          </w:tcPr>
          <w:p w14:paraId="4A0EE393"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578" w:type="dxa"/>
            <w:tcBorders>
              <w:top w:val="nil"/>
              <w:left w:val="nil"/>
              <w:bottom w:val="nil"/>
              <w:right w:val="nil"/>
            </w:tcBorders>
            <w:shd w:val="clear" w:color="000000" w:fill="FFFFFF"/>
            <w:vAlign w:val="bottom"/>
            <w:hideMark/>
          </w:tcPr>
          <w:p w14:paraId="383D6787" w14:textId="7F7A5603" w:rsidR="000B1B5E" w:rsidRPr="00166607" w:rsidRDefault="000B1B5E" w:rsidP="00B3452C">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(0.5</w:t>
            </w:r>
            <w:r w:rsidR="00B3452C" w:rsidRPr="00166607">
              <w:rPr>
                <w:rFonts w:ascii="Times New Roman" w:eastAsia="Times New Roman" w:hAnsi="Times New Roman"/>
                <w:color w:val="000000"/>
                <w:sz w:val="20"/>
              </w:rPr>
              <w:t>30</w:t>
            </w:r>
            <w:r w:rsidRPr="00166607">
              <w:rPr>
                <w:rFonts w:ascii="Times New Roman" w:eastAsia="Times New Roman" w:hAnsi="Times New Roman"/>
                <w:color w:val="000000"/>
                <w:sz w:val="20"/>
              </w:rPr>
              <w:t>+0.046)-0.5</w:t>
            </w:r>
            <w:r w:rsidR="00B3452C" w:rsidRPr="00166607">
              <w:rPr>
                <w:rFonts w:ascii="Times New Roman" w:eastAsia="Times New Roman" w:hAnsi="Times New Roman"/>
                <w:color w:val="000000"/>
                <w:sz w:val="20"/>
              </w:rPr>
              <w:t>57</w:t>
            </w:r>
            <w:r w:rsidRPr="00166607">
              <w:rPr>
                <w:rFonts w:ascii="Times New Roman" w:eastAsia="Times New Roman" w:hAnsi="Times New Roman"/>
                <w:color w:val="000000"/>
                <w:sz w:val="20"/>
              </w:rPr>
              <w:t xml:space="preserve"> =      0.01</w:t>
            </w:r>
            <w:r w:rsidR="00B3452C" w:rsidRPr="00166607">
              <w:rPr>
                <w:rFonts w:ascii="Times New Roman" w:eastAsia="Times New Roman" w:hAnsi="Times New Roman"/>
                <w:color w:val="000000"/>
                <w:sz w:val="20"/>
              </w:rPr>
              <w:t>9</w:t>
            </w:r>
          </w:p>
        </w:tc>
        <w:tc>
          <w:tcPr>
            <w:tcW w:w="1300" w:type="dxa"/>
            <w:tcBorders>
              <w:top w:val="nil"/>
              <w:left w:val="nil"/>
              <w:bottom w:val="nil"/>
              <w:right w:val="nil"/>
            </w:tcBorders>
            <w:shd w:val="clear" w:color="000000" w:fill="FFFFFF"/>
            <w:vAlign w:val="bottom"/>
            <w:hideMark/>
          </w:tcPr>
          <w:p w14:paraId="26B979D1" w14:textId="1342A455" w:rsidR="000B1B5E" w:rsidRPr="00166607" w:rsidRDefault="00B3452C"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21</w:t>
            </w:r>
            <w:r w:rsidR="000B1B5E" w:rsidRPr="00166607">
              <w:rPr>
                <w:rFonts w:ascii="Times New Roman" w:eastAsia="Times New Roman" w:hAnsi="Times New Roman"/>
                <w:color w:val="000000"/>
                <w:sz w:val="20"/>
              </w:rPr>
              <w:t>%</w:t>
            </w:r>
          </w:p>
        </w:tc>
      </w:tr>
      <w:tr w:rsidR="000B1B5E" w:rsidRPr="00166607" w14:paraId="7160CC56" w14:textId="77777777" w:rsidTr="00A03110">
        <w:trPr>
          <w:trHeight w:val="300"/>
          <w:jc w:val="center"/>
        </w:trPr>
        <w:tc>
          <w:tcPr>
            <w:tcW w:w="2265" w:type="dxa"/>
            <w:tcBorders>
              <w:top w:val="nil"/>
              <w:left w:val="nil"/>
              <w:bottom w:val="nil"/>
              <w:right w:val="nil"/>
            </w:tcBorders>
            <w:shd w:val="clear" w:color="000000" w:fill="FFFFFF"/>
            <w:vAlign w:val="bottom"/>
            <w:hideMark/>
          </w:tcPr>
          <w:p w14:paraId="203A4E2D"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618" w:type="dxa"/>
            <w:tcBorders>
              <w:top w:val="nil"/>
              <w:left w:val="nil"/>
              <w:bottom w:val="nil"/>
              <w:right w:val="nil"/>
            </w:tcBorders>
            <w:shd w:val="clear" w:color="000000" w:fill="FFFFFF"/>
            <w:vAlign w:val="bottom"/>
            <w:hideMark/>
          </w:tcPr>
          <w:p w14:paraId="77D5EA96"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vAlign w:val="bottom"/>
            <w:hideMark/>
          </w:tcPr>
          <w:p w14:paraId="64957F51"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320" w:type="dxa"/>
            <w:tcBorders>
              <w:top w:val="nil"/>
              <w:left w:val="nil"/>
              <w:bottom w:val="nil"/>
              <w:right w:val="nil"/>
            </w:tcBorders>
            <w:shd w:val="clear" w:color="000000" w:fill="FFFFFF"/>
            <w:vAlign w:val="bottom"/>
            <w:hideMark/>
          </w:tcPr>
          <w:p w14:paraId="564225F5"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578" w:type="dxa"/>
            <w:tcBorders>
              <w:top w:val="nil"/>
              <w:left w:val="nil"/>
              <w:bottom w:val="nil"/>
              <w:right w:val="nil"/>
            </w:tcBorders>
            <w:shd w:val="clear" w:color="000000" w:fill="FFFFFF"/>
            <w:vAlign w:val="bottom"/>
            <w:hideMark/>
          </w:tcPr>
          <w:p w14:paraId="42B7188C"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300" w:type="dxa"/>
            <w:tcBorders>
              <w:top w:val="nil"/>
              <w:left w:val="nil"/>
              <w:bottom w:val="nil"/>
              <w:right w:val="nil"/>
            </w:tcBorders>
            <w:shd w:val="clear" w:color="000000" w:fill="FFFFFF"/>
            <w:vAlign w:val="bottom"/>
            <w:hideMark/>
          </w:tcPr>
          <w:p w14:paraId="053585F5" w14:textId="77777777"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 </w:t>
            </w:r>
          </w:p>
        </w:tc>
      </w:tr>
      <w:tr w:rsidR="000B1B5E" w:rsidRPr="00166607" w14:paraId="39006282" w14:textId="77777777" w:rsidTr="00A03110">
        <w:trPr>
          <w:trHeight w:val="620"/>
          <w:jc w:val="center"/>
        </w:trPr>
        <w:tc>
          <w:tcPr>
            <w:tcW w:w="2265" w:type="dxa"/>
            <w:tcBorders>
              <w:top w:val="nil"/>
              <w:left w:val="nil"/>
              <w:bottom w:val="double" w:sz="6" w:space="0" w:color="auto"/>
              <w:right w:val="nil"/>
            </w:tcBorders>
            <w:shd w:val="clear" w:color="000000" w:fill="FFFFFF"/>
            <w:vAlign w:val="bottom"/>
            <w:hideMark/>
          </w:tcPr>
          <w:p w14:paraId="298BF242"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Fraction who complete with a 4- to 6-year delay</w:t>
            </w:r>
          </w:p>
        </w:tc>
        <w:tc>
          <w:tcPr>
            <w:tcW w:w="1618" w:type="dxa"/>
            <w:tcBorders>
              <w:top w:val="nil"/>
              <w:left w:val="nil"/>
              <w:bottom w:val="double" w:sz="6" w:space="0" w:color="auto"/>
              <w:right w:val="nil"/>
            </w:tcBorders>
            <w:shd w:val="clear" w:color="000000" w:fill="FFFFFF"/>
            <w:vAlign w:val="bottom"/>
            <w:hideMark/>
          </w:tcPr>
          <w:p w14:paraId="78D9A0EB" w14:textId="11E90F3E" w:rsidR="000B1B5E" w:rsidRPr="00166607" w:rsidRDefault="000B1B5E" w:rsidP="00B3452C">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(0.09</w:t>
            </w:r>
            <w:r w:rsidR="00B3452C" w:rsidRPr="00166607">
              <w:rPr>
                <w:rFonts w:ascii="Times New Roman" w:eastAsia="Times New Roman" w:hAnsi="Times New Roman"/>
                <w:color w:val="000000"/>
                <w:sz w:val="20"/>
              </w:rPr>
              <w:t>5</w:t>
            </w:r>
            <w:r w:rsidRPr="00166607">
              <w:rPr>
                <w:rFonts w:ascii="Times New Roman" w:eastAsia="Times New Roman" w:hAnsi="Times New Roman"/>
                <w:color w:val="000000"/>
                <w:sz w:val="20"/>
              </w:rPr>
              <w:t>-0.06</w:t>
            </w:r>
            <w:r w:rsidR="00B3452C" w:rsidRPr="00166607">
              <w:rPr>
                <w:rFonts w:ascii="Times New Roman" w:eastAsia="Times New Roman" w:hAnsi="Times New Roman"/>
                <w:color w:val="000000"/>
                <w:sz w:val="20"/>
              </w:rPr>
              <w:t>4</w:t>
            </w:r>
            <w:r w:rsidRPr="00166607">
              <w:rPr>
                <w:rFonts w:ascii="Times New Roman" w:eastAsia="Times New Roman" w:hAnsi="Times New Roman"/>
                <w:color w:val="000000"/>
                <w:sz w:val="20"/>
              </w:rPr>
              <w:t>-0.01</w:t>
            </w:r>
            <w:r w:rsidR="00B3452C" w:rsidRPr="00166607">
              <w:rPr>
                <w:rFonts w:ascii="Times New Roman" w:eastAsia="Times New Roman" w:hAnsi="Times New Roman"/>
                <w:color w:val="000000"/>
                <w:sz w:val="20"/>
              </w:rPr>
              <w:t>5</w:t>
            </w:r>
            <w:r w:rsidRPr="00166607">
              <w:rPr>
                <w:rFonts w:ascii="Times New Roman" w:eastAsia="Times New Roman" w:hAnsi="Times New Roman"/>
                <w:color w:val="000000"/>
                <w:sz w:val="20"/>
              </w:rPr>
              <w:t>) =      0.01</w:t>
            </w:r>
            <w:r w:rsidR="00B3452C" w:rsidRPr="00166607">
              <w:rPr>
                <w:rFonts w:ascii="Times New Roman" w:eastAsia="Times New Roman" w:hAnsi="Times New Roman"/>
                <w:color w:val="000000"/>
                <w:sz w:val="20"/>
              </w:rPr>
              <w:t>6</w:t>
            </w:r>
          </w:p>
        </w:tc>
        <w:tc>
          <w:tcPr>
            <w:tcW w:w="1300" w:type="dxa"/>
            <w:tcBorders>
              <w:top w:val="nil"/>
              <w:left w:val="nil"/>
              <w:bottom w:val="double" w:sz="6" w:space="0" w:color="auto"/>
              <w:right w:val="nil"/>
            </w:tcBorders>
            <w:shd w:val="clear" w:color="000000" w:fill="FFFFFF"/>
            <w:vAlign w:val="bottom"/>
            <w:hideMark/>
          </w:tcPr>
          <w:p w14:paraId="4FFF5A7F" w14:textId="34FA7725"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1</w:t>
            </w:r>
            <w:r w:rsidR="00B3452C" w:rsidRPr="00166607">
              <w:rPr>
                <w:rFonts w:ascii="Times New Roman" w:eastAsia="Times New Roman" w:hAnsi="Times New Roman"/>
                <w:color w:val="000000"/>
                <w:sz w:val="20"/>
              </w:rPr>
              <w:t>7</w:t>
            </w:r>
            <w:r w:rsidRPr="00166607">
              <w:rPr>
                <w:rFonts w:ascii="Times New Roman" w:eastAsia="Times New Roman" w:hAnsi="Times New Roman"/>
                <w:color w:val="000000"/>
                <w:sz w:val="20"/>
              </w:rPr>
              <w:t>%</w:t>
            </w:r>
          </w:p>
        </w:tc>
        <w:tc>
          <w:tcPr>
            <w:tcW w:w="320" w:type="dxa"/>
            <w:tcBorders>
              <w:top w:val="nil"/>
              <w:left w:val="nil"/>
              <w:bottom w:val="double" w:sz="6" w:space="0" w:color="auto"/>
              <w:right w:val="nil"/>
            </w:tcBorders>
            <w:shd w:val="clear" w:color="000000" w:fill="FFFFFF"/>
            <w:vAlign w:val="bottom"/>
            <w:hideMark/>
          </w:tcPr>
          <w:p w14:paraId="123F8F2F" w14:textId="77777777" w:rsidR="000B1B5E" w:rsidRPr="00166607" w:rsidRDefault="000B1B5E" w:rsidP="00A03110">
            <w:pPr>
              <w:rPr>
                <w:rFonts w:ascii="Times New Roman" w:eastAsia="Times New Roman" w:hAnsi="Times New Roman"/>
                <w:color w:val="000000"/>
                <w:sz w:val="20"/>
              </w:rPr>
            </w:pPr>
            <w:r w:rsidRPr="00166607">
              <w:rPr>
                <w:rFonts w:ascii="Times New Roman" w:eastAsia="Times New Roman" w:hAnsi="Times New Roman"/>
                <w:color w:val="000000"/>
                <w:sz w:val="20"/>
              </w:rPr>
              <w:t> </w:t>
            </w:r>
          </w:p>
        </w:tc>
        <w:tc>
          <w:tcPr>
            <w:tcW w:w="1578" w:type="dxa"/>
            <w:tcBorders>
              <w:top w:val="nil"/>
              <w:left w:val="nil"/>
              <w:bottom w:val="double" w:sz="6" w:space="0" w:color="auto"/>
              <w:right w:val="nil"/>
            </w:tcBorders>
            <w:shd w:val="clear" w:color="000000" w:fill="FFFFFF"/>
            <w:vAlign w:val="bottom"/>
            <w:hideMark/>
          </w:tcPr>
          <w:p w14:paraId="2B64B7C5" w14:textId="07B99412" w:rsidR="000B1B5E" w:rsidRPr="00166607" w:rsidRDefault="000B1B5E" w:rsidP="00BB4935">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(0.093-0.066-0.017) =       0.0</w:t>
            </w:r>
            <w:r w:rsidR="00BB4935" w:rsidRPr="00166607">
              <w:rPr>
                <w:rFonts w:ascii="Times New Roman" w:eastAsia="Times New Roman" w:hAnsi="Times New Roman"/>
                <w:color w:val="000000"/>
                <w:sz w:val="20"/>
              </w:rPr>
              <w:t>09</w:t>
            </w:r>
          </w:p>
        </w:tc>
        <w:tc>
          <w:tcPr>
            <w:tcW w:w="1300" w:type="dxa"/>
            <w:tcBorders>
              <w:top w:val="nil"/>
              <w:left w:val="nil"/>
              <w:bottom w:val="double" w:sz="6" w:space="0" w:color="auto"/>
              <w:right w:val="nil"/>
            </w:tcBorders>
            <w:shd w:val="clear" w:color="000000" w:fill="FFFFFF"/>
            <w:vAlign w:val="bottom"/>
            <w:hideMark/>
          </w:tcPr>
          <w:p w14:paraId="51EAD529" w14:textId="757230E8" w:rsidR="000B1B5E" w:rsidRPr="00166607" w:rsidRDefault="000B1B5E" w:rsidP="00A03110">
            <w:pPr>
              <w:jc w:val="center"/>
              <w:rPr>
                <w:rFonts w:ascii="Times New Roman" w:eastAsia="Times New Roman" w:hAnsi="Times New Roman"/>
                <w:color w:val="000000"/>
                <w:sz w:val="20"/>
              </w:rPr>
            </w:pPr>
            <w:r w:rsidRPr="00166607">
              <w:rPr>
                <w:rFonts w:ascii="Times New Roman" w:eastAsia="Times New Roman" w:hAnsi="Times New Roman"/>
                <w:color w:val="000000"/>
                <w:sz w:val="20"/>
              </w:rPr>
              <w:t>1</w:t>
            </w:r>
            <w:r w:rsidR="00BB4935" w:rsidRPr="00166607">
              <w:rPr>
                <w:rFonts w:ascii="Times New Roman" w:eastAsia="Times New Roman" w:hAnsi="Times New Roman"/>
                <w:color w:val="000000"/>
                <w:sz w:val="20"/>
              </w:rPr>
              <w:t>0</w:t>
            </w:r>
            <w:r w:rsidRPr="00166607">
              <w:rPr>
                <w:rFonts w:ascii="Times New Roman" w:eastAsia="Times New Roman" w:hAnsi="Times New Roman"/>
                <w:color w:val="000000"/>
                <w:sz w:val="20"/>
              </w:rPr>
              <w:t>%</w:t>
            </w:r>
          </w:p>
        </w:tc>
      </w:tr>
    </w:tbl>
    <w:p w14:paraId="5ECFDC2F" w14:textId="2858A64A" w:rsidR="000B1B5E" w:rsidRPr="00166607" w:rsidRDefault="000B1B5E" w:rsidP="000B1B5E">
      <w:pPr>
        <w:rPr>
          <w:rFonts w:ascii="Times New Roman" w:hAnsi="Times New Roman"/>
        </w:rPr>
      </w:pPr>
      <w:r w:rsidRPr="00166607">
        <w:rPr>
          <w:rFonts w:ascii="Times New Roman" w:hAnsi="Times New Roman"/>
          <w:sz w:val="20"/>
        </w:rPr>
        <w:t xml:space="preserve">Notes: The first row is from Table </w:t>
      </w:r>
      <w:r w:rsidR="002B0F6E" w:rsidRPr="00166607">
        <w:rPr>
          <w:rFonts w:ascii="Times New Roman" w:hAnsi="Times New Roman"/>
          <w:sz w:val="20"/>
        </w:rPr>
        <w:t>C</w:t>
      </w:r>
      <w:r w:rsidRPr="00166607">
        <w:rPr>
          <w:rFonts w:ascii="Times New Roman" w:hAnsi="Times New Roman"/>
          <w:sz w:val="20"/>
        </w:rPr>
        <w:t>1. The remain</w:t>
      </w:r>
      <w:r w:rsidR="00CD09EC" w:rsidRPr="00166607">
        <w:rPr>
          <w:rFonts w:ascii="Times New Roman" w:hAnsi="Times New Roman"/>
          <w:sz w:val="20"/>
        </w:rPr>
        <w:t>ing</w:t>
      </w:r>
      <w:r w:rsidRPr="00166607">
        <w:rPr>
          <w:rFonts w:ascii="Times New Roman" w:hAnsi="Times New Roman"/>
          <w:sz w:val="20"/>
        </w:rPr>
        <w:t xml:space="preserve"> rows are from Table 2 in the main text.</w:t>
      </w:r>
      <w:r w:rsidRPr="00166607">
        <w:rPr>
          <w:rFonts w:ascii="Times New Roman" w:hAnsi="Times New Roman"/>
        </w:rPr>
        <w:t xml:space="preserve"> </w:t>
      </w:r>
    </w:p>
    <w:p w14:paraId="673ED170" w14:textId="77777777" w:rsidR="000B1B5E" w:rsidRPr="00166607" w:rsidRDefault="000B1B5E" w:rsidP="000B1B5E">
      <w:pPr>
        <w:rPr>
          <w:rFonts w:ascii="Times New Roman" w:hAnsi="Times New Roman"/>
        </w:rPr>
      </w:pPr>
    </w:p>
    <w:p w14:paraId="10C2291C" w14:textId="77777777" w:rsidR="00F6586E" w:rsidRPr="00166607" w:rsidRDefault="00F6586E" w:rsidP="003D1E09">
      <w:pPr>
        <w:rPr>
          <w:rFonts w:ascii="Times New Roman" w:hAnsi="Times New Roman"/>
          <w:sz w:val="20"/>
          <w:szCs w:val="20"/>
        </w:rPr>
      </w:pPr>
    </w:p>
    <w:sectPr w:rsidR="00F6586E" w:rsidRPr="00166607" w:rsidSect="00402892">
      <w:endnotePr>
        <w:numFmt w:val="decimal"/>
      </w:endnotePr>
      <w:pgSz w:w="12240" w:h="15840"/>
      <w:pgMar w:top="1440" w:right="1584"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49378" w14:textId="77777777" w:rsidR="004376AE" w:rsidRDefault="004376AE" w:rsidP="002C3D8B">
      <w:r>
        <w:separator/>
      </w:r>
    </w:p>
  </w:endnote>
  <w:endnote w:type="continuationSeparator" w:id="0">
    <w:p w14:paraId="079971D9" w14:textId="77777777" w:rsidR="004376AE" w:rsidRDefault="004376AE" w:rsidP="002C3D8B">
      <w:r>
        <w:continuationSeparator/>
      </w:r>
    </w:p>
  </w:endnote>
  <w:endnote w:type="continuationNotice" w:id="1">
    <w:p w14:paraId="41C518F5" w14:textId="77777777" w:rsidR="004376AE" w:rsidRDefault="004376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MS ??">
    <w:altName w:val="Yu Gothic UI"/>
    <w:panose1 w:val="00000000000000000000"/>
    <w:charset w:val="80"/>
    <w:family w:val="auto"/>
    <w:notTrueType/>
    <w:pitch w:val="variable"/>
    <w:sig w:usb0="00000000"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askerville">
    <w:charset w:val="00"/>
    <w:family w:val="auto"/>
    <w:pitch w:val="variable"/>
    <w:sig w:usb0="80000067" w:usb1="00000000"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077C9" w14:textId="77777777" w:rsidR="00402892" w:rsidRDefault="00402892" w:rsidP="00AB4E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605AC0" w14:textId="77777777" w:rsidR="00402892" w:rsidRDefault="00402892" w:rsidP="00AB4E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B5DDC" w14:textId="38CD6B1C" w:rsidR="00402892" w:rsidRPr="008070BA" w:rsidRDefault="00402892" w:rsidP="00F43A09">
    <w:pPr>
      <w:pStyle w:val="Footer"/>
      <w:jc w:val="center"/>
      <w:rPr>
        <w:rFonts w:ascii="Times New Roman" w:hAnsi="Times New Roman"/>
      </w:rPr>
    </w:pPr>
    <w:r>
      <w:rPr>
        <w:rFonts w:ascii="Times New Roman" w:hAnsi="Times New Roman"/>
      </w:rPr>
      <w:tab/>
    </w:r>
    <w:r>
      <w:rPr>
        <w:rFonts w:ascii="Times New Roman" w:hAnsi="Times New Roman"/>
      </w:rPr>
      <w:tab/>
    </w:r>
    <w:r>
      <w:fldChar w:fldCharType="begin"/>
    </w:r>
    <w:r>
      <w:instrText xml:space="preserve"> PAGE   \* MERGEFORMAT </w:instrText>
    </w:r>
    <w:r>
      <w:fldChar w:fldCharType="separate"/>
    </w:r>
    <w:r w:rsidR="00A46987" w:rsidRPr="00A46987">
      <w:rPr>
        <w:rFonts w:ascii="Times New Roman" w:hAnsi="Times New Roman"/>
        <w:noProof/>
      </w:rPr>
      <w:t>1</w:t>
    </w:r>
    <w:r>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F83AD" w14:textId="77777777" w:rsidR="004376AE" w:rsidRDefault="004376AE" w:rsidP="002C3D8B">
      <w:r>
        <w:separator/>
      </w:r>
    </w:p>
  </w:footnote>
  <w:footnote w:type="continuationSeparator" w:id="0">
    <w:p w14:paraId="4AB3E7FC" w14:textId="77777777" w:rsidR="004376AE" w:rsidRDefault="004376AE" w:rsidP="002C3D8B">
      <w:r>
        <w:continuationSeparator/>
      </w:r>
    </w:p>
  </w:footnote>
  <w:footnote w:type="continuationNotice" w:id="1">
    <w:p w14:paraId="5494AD3C" w14:textId="77777777" w:rsidR="004376AE" w:rsidRDefault="004376AE"/>
  </w:footnote>
  <w:footnote w:id="2">
    <w:p w14:paraId="522DC67C" w14:textId="6C684D6D" w:rsidR="00402892" w:rsidRDefault="00402892">
      <w:pPr>
        <w:pStyle w:val="FootnoteText"/>
      </w:pPr>
      <w:r>
        <w:rPr>
          <w:rStyle w:val="FootnoteReference"/>
        </w:rPr>
        <w:footnoteRef/>
      </w:r>
      <w:r>
        <w:t xml:space="preserve"> The 90% confidence interval is bounded away from zero.</w:t>
      </w:r>
    </w:p>
  </w:footnote>
  <w:footnote w:id="3">
    <w:p w14:paraId="6E8CD740" w14:textId="46635B71" w:rsidR="00402892" w:rsidRPr="006D343A" w:rsidRDefault="00402892" w:rsidP="008245B8">
      <w:pPr>
        <w:pStyle w:val="FootnoteText"/>
        <w:jc w:val="both"/>
      </w:pPr>
      <w:r>
        <w:rPr>
          <w:rStyle w:val="FootnoteReference"/>
        </w:rPr>
        <w:footnoteRef/>
      </w:r>
      <w:r>
        <w:t xml:space="preserve"> The program could potentially have created</w:t>
      </w:r>
      <w:r w:rsidRPr="006D343A">
        <w:t xml:space="preserve"> positive externalities from human capital </w:t>
      </w:r>
      <w:r>
        <w:t>and reduced teen fertility</w:t>
      </w:r>
      <w:r w:rsidRPr="006D343A">
        <w:t xml:space="preserve">, </w:t>
      </w:r>
      <w:r>
        <w:t xml:space="preserve">or negative externalities if </w:t>
      </w:r>
      <w:r w:rsidRPr="006D343A">
        <w:t>gains for program winners reflect assignment to more favorable peers or signaling benefits in the labor market.</w:t>
      </w:r>
      <w:r>
        <w:t xml:space="preserve"> </w:t>
      </w:r>
      <w:r w:rsidRPr="006D343A">
        <w:t>In earlier work, a subset of the authors of this paper argues against the view that effects are entirely due to changes in peer assignment</w:t>
      </w:r>
      <w:r>
        <w:t xml:space="preserve"> (</w:t>
      </w:r>
      <w:r w:rsidRPr="00F54ECB">
        <w:t xml:space="preserve">Bettinger, Kremer and </w:t>
      </w:r>
      <w:r>
        <w:t>Saavedra 2010)</w:t>
      </w:r>
      <w:r w:rsidRPr="006D343A">
        <w:t>.</w:t>
      </w:r>
      <w:r>
        <w:t xml:space="preserve"> </w:t>
      </w:r>
      <w:r w:rsidRPr="006D343A">
        <w:t xml:space="preserve"> </w:t>
      </w:r>
    </w:p>
    <w:p w14:paraId="2C2A959B" w14:textId="77777777" w:rsidR="00402892" w:rsidRDefault="00402892" w:rsidP="006A3216">
      <w:pPr>
        <w:pStyle w:val="FootnoteText"/>
        <w:jc w:val="both"/>
      </w:pPr>
    </w:p>
  </w:footnote>
  <w:footnote w:id="4">
    <w:p w14:paraId="407CCCD1" w14:textId="513B75F6" w:rsidR="00402892" w:rsidRDefault="00402892">
      <w:pPr>
        <w:pStyle w:val="FootnoteText"/>
        <w:jc w:val="both"/>
      </w:pPr>
      <w:r>
        <w:rPr>
          <w:rStyle w:val="FootnoteReference"/>
        </w:rPr>
        <w:footnoteRef/>
      </w:r>
      <w:r>
        <w:t xml:space="preserve"> For example, Helen Ladd 2002; </w:t>
      </w:r>
      <w:r w:rsidRPr="00BE3519">
        <w:t>Angrist, Bettinger and Kremer 2006; Hsieh and Urquiola 2006; Wolf, Gutmann</w:t>
      </w:r>
      <w:r>
        <w:t>,</w:t>
      </w:r>
      <w:r w:rsidRPr="00BE3519">
        <w:t xml:space="preserve"> Puma, Kisida, Rizzo, Eissa and Carr 2010; Barrow and Rouse, 2008;</w:t>
      </w:r>
      <w:r>
        <w:t xml:space="preserve"> </w:t>
      </w:r>
      <w:r w:rsidRPr="00BE3519">
        <w:t>Muralidharan and</w:t>
      </w:r>
      <w:r>
        <w:t xml:space="preserve"> </w:t>
      </w:r>
      <w:r w:rsidRPr="00BE3519">
        <w:t>Sundararaman 2013</w:t>
      </w:r>
      <w:r>
        <w:t xml:space="preserve">. </w:t>
      </w:r>
    </w:p>
  </w:footnote>
  <w:footnote w:id="5">
    <w:p w14:paraId="1ABC2B11" w14:textId="5FF93E33" w:rsidR="00402892" w:rsidRDefault="00402892">
      <w:pPr>
        <w:pStyle w:val="FootnoteText"/>
        <w:jc w:val="both"/>
      </w:pPr>
      <w:r>
        <w:rPr>
          <w:rStyle w:val="FootnoteReference"/>
        </w:rPr>
        <w:footnoteRef/>
      </w:r>
      <w:r>
        <w:t xml:space="preserve"> For example, </w:t>
      </w:r>
      <w:r w:rsidRPr="00BE3519">
        <w:rPr>
          <w:rFonts w:eastAsia="Times New Roman"/>
        </w:rPr>
        <w:t xml:space="preserve">Kemple 2004; </w:t>
      </w:r>
      <w:r w:rsidRPr="00BE3519">
        <w:t>Chetty, Friedman, Hilger,</w:t>
      </w:r>
      <w:r>
        <w:t xml:space="preserve"> </w:t>
      </w:r>
      <w:r w:rsidRPr="00BE3519">
        <w:t xml:space="preserve">Saez, Schanzenbach and Yagan 2011; Deming, Hastings, Kane and Staiger 2011; </w:t>
      </w:r>
      <w:r w:rsidRPr="00BE3519">
        <w:rPr>
          <w:rFonts w:eastAsia="Times New Roman"/>
        </w:rPr>
        <w:t xml:space="preserve">Dynarski, Hyman and Schanzenbach, 2011; </w:t>
      </w:r>
      <w:r w:rsidRPr="00BE3519">
        <w:t>Cowen, Fleming, Witte, Wolf and Kisida 2012</w:t>
      </w:r>
      <w:r>
        <w:t xml:space="preserve">. </w:t>
      </w:r>
    </w:p>
  </w:footnote>
  <w:footnote w:id="6">
    <w:p w14:paraId="46EFA64D" w14:textId="1692A2BC" w:rsidR="00402892" w:rsidRDefault="00402892">
      <w:pPr>
        <w:pStyle w:val="FootnoteText"/>
        <w:jc w:val="both"/>
      </w:pPr>
      <w:r>
        <w:rPr>
          <w:rStyle w:val="FootnoteReference"/>
        </w:rPr>
        <w:footnoteRef/>
      </w:r>
      <w:r>
        <w:t xml:space="preserve"> Some argue that interventions that target socially disadvantaged children have highest returns early in the life cycle, during key child-development windows (Cunha, Heckman, Lochner and Masterov 2006; Heckman and Masterov 2007; Heckman 2008).  A stronger claim is that interventions in the teen years are doomed to have small impacts. Our findings demonstrate that secondary schooling interventions that target disadvantaged children have the potential to increase earnings and promote social mobility. However, the concentration of effects at the top of the distribution is consistent with the hypothesis of complementarity with initial human capital.</w:t>
      </w:r>
    </w:p>
  </w:footnote>
  <w:footnote w:id="7">
    <w:p w14:paraId="2565BE5A" w14:textId="2638015B" w:rsidR="00402892" w:rsidRDefault="00402892">
      <w:pPr>
        <w:pStyle w:val="FootnoteText"/>
        <w:jc w:val="both"/>
      </w:pPr>
      <w:r>
        <w:rPr>
          <w:rStyle w:val="FootnoteReference"/>
        </w:rPr>
        <w:footnoteRef/>
      </w:r>
      <w:r>
        <w:t xml:space="preserve"> In developing countries, in particular several, studies find a strong causal relationship between educational subsidies and teen fertility (e.g. Breireova and Duflo 2004; Cortés, Gallego and Maldonado 2010; Duflo, Dupas and Kremer 2012).  In our setting, such effect is the result of people staying in school longer rather than an increase in the opportunity cost of time as a result of additional human capital.</w:t>
      </w:r>
    </w:p>
  </w:footnote>
  <w:footnote w:id="8">
    <w:p w14:paraId="73576FEC" w14:textId="40FE49AC" w:rsidR="00402892" w:rsidRPr="007C3D25" w:rsidRDefault="00402892">
      <w:pPr>
        <w:pStyle w:val="FootnoteText"/>
        <w:jc w:val="both"/>
      </w:pPr>
      <w:r>
        <w:rPr>
          <w:rStyle w:val="FootnoteReference"/>
        </w:rPr>
        <w:footnoteRef/>
      </w:r>
      <w:r>
        <w:t xml:space="preserve"> See, </w:t>
      </w:r>
      <w:r w:rsidRPr="007C3D25">
        <w:t xml:space="preserve">for example, </w:t>
      </w:r>
      <w:r>
        <w:t>Hendren 2013 and</w:t>
      </w:r>
      <w:r w:rsidRPr="007C3D25">
        <w:t xml:space="preserve"> Baird, </w:t>
      </w:r>
      <w:r w:rsidRPr="00D63ED9">
        <w:t>Hicks, Kremer and Miguel</w:t>
      </w:r>
      <w:r w:rsidRPr="007C3D25">
        <w:t xml:space="preserve"> 2013.</w:t>
      </w:r>
    </w:p>
  </w:footnote>
  <w:footnote w:id="9">
    <w:p w14:paraId="3CB77533" w14:textId="5FE5FBDB" w:rsidR="00402892" w:rsidRDefault="00402892">
      <w:pPr>
        <w:pStyle w:val="FootnoteText"/>
        <w:jc w:val="both"/>
      </w:pPr>
      <w:r>
        <w:rPr>
          <w:rStyle w:val="FootnoteReference"/>
        </w:rPr>
        <w:footnoteRef/>
      </w:r>
      <w:r>
        <w:t xml:space="preserve"> About 90 percent of public schools in Bogotá are secular and 10 percent have a religious affiliation.  Of the 10 percent of religiously affiliated public schools, 73 percent are Catholic.  Among private schools, 46 percent are secular and 54 percent have a religious affiliation.  Of those private schools with a religious affiliation, 54 percent are Catholic.  </w:t>
      </w:r>
    </w:p>
  </w:footnote>
  <w:footnote w:id="10">
    <w:p w14:paraId="0C815C70" w14:textId="54E92EFA" w:rsidR="00402892" w:rsidRPr="008D07DB" w:rsidRDefault="00402892" w:rsidP="006A3216">
      <w:pPr>
        <w:widowControl w:val="0"/>
        <w:autoSpaceDE w:val="0"/>
        <w:autoSpaceDN w:val="0"/>
        <w:adjustRightInd w:val="0"/>
        <w:jc w:val="both"/>
        <w:rPr>
          <w:rFonts w:ascii="Times New Roman" w:hAnsi="Times New Roman"/>
          <w:sz w:val="20"/>
          <w:szCs w:val="20"/>
        </w:rPr>
      </w:pPr>
      <w:r w:rsidRPr="00D4530A">
        <w:rPr>
          <w:rStyle w:val="FootnoteReference"/>
          <w:rFonts w:ascii="Times New Roman" w:hAnsi="Times New Roman"/>
        </w:rPr>
        <w:footnoteRef/>
      </w:r>
      <w:r w:rsidRPr="00D4530A">
        <w:rPr>
          <w:rFonts w:ascii="Times New Roman" w:hAnsi="Times New Roman"/>
        </w:rPr>
        <w:t xml:space="preserve"> </w:t>
      </w:r>
      <w:r w:rsidRPr="00823B58">
        <w:rPr>
          <w:rFonts w:ascii="Times New Roman" w:hAnsi="Times New Roman"/>
          <w:sz w:val="20"/>
          <w:szCs w:val="20"/>
        </w:rPr>
        <w:t>The finding that scholarship winners have lower peer quality is not unique to Colombia. Hoxby (2003) makes a similar point in reviewing the literature on school choice and competition in the US. Participants in school choice programs often have</w:t>
      </w:r>
      <w:r>
        <w:rPr>
          <w:rFonts w:ascii="Times New Roman" w:hAnsi="Times New Roman"/>
          <w:sz w:val="20"/>
          <w:szCs w:val="20"/>
        </w:rPr>
        <w:t xml:space="preserve"> lower peer quality after exercising choice. </w:t>
      </w:r>
    </w:p>
  </w:footnote>
  <w:footnote w:id="11">
    <w:p w14:paraId="37199500" w14:textId="2732C399" w:rsidR="00402892" w:rsidRDefault="00402892" w:rsidP="006A3216">
      <w:pPr>
        <w:pStyle w:val="FootnoteText"/>
        <w:jc w:val="both"/>
      </w:pPr>
      <w:r>
        <w:rPr>
          <w:rStyle w:val="FootnoteReference"/>
        </w:rPr>
        <w:footnoteRef/>
      </w:r>
      <w:r>
        <w:t xml:space="preserve"> Angrist, Bettinger, Bloom, King, and Kremer (2002) discuss this imbalance in applicant age in greater detail.</w:t>
      </w:r>
    </w:p>
  </w:footnote>
  <w:footnote w:id="12">
    <w:p w14:paraId="1433B3CE" w14:textId="07BCDE62" w:rsidR="00402892" w:rsidRDefault="00402892">
      <w:pPr>
        <w:pStyle w:val="FootnoteText"/>
        <w:jc w:val="both"/>
      </w:pPr>
      <w:r>
        <w:rPr>
          <w:rStyle w:val="FootnoteReference"/>
        </w:rPr>
        <w:footnoteRef/>
      </w:r>
      <w:r>
        <w:t xml:space="preserve"> Youth and adult identification numbers were linked using administrative data from </w:t>
      </w:r>
      <w:r w:rsidRPr="006C2C9D">
        <w:t xml:space="preserve">Colombia’s national registrar’s office and </w:t>
      </w:r>
      <w:r>
        <w:t xml:space="preserve">the Department of National Planning. </w:t>
      </w:r>
    </w:p>
  </w:footnote>
  <w:footnote w:id="13">
    <w:p w14:paraId="008AA776" w14:textId="2972B3B0" w:rsidR="00402892" w:rsidRPr="00D467AD" w:rsidRDefault="00402892">
      <w:pPr>
        <w:pStyle w:val="FootnoteText"/>
        <w:jc w:val="both"/>
      </w:pPr>
      <w:r>
        <w:rPr>
          <w:rStyle w:val="FootnoteReference"/>
        </w:rPr>
        <w:footnoteRef/>
      </w:r>
      <w:r>
        <w:t xml:space="preserve"> We observe actual receipt of tertiary education loan subsidies in the tertiary education database.  For the other subsidies we only observe eligibility as determined by whether households have SISBEN scores below predetermined cutoff points that vary by subsidy. These subsidies include: early childhood care (</w:t>
      </w:r>
      <w:r>
        <w:rPr>
          <w:i/>
        </w:rPr>
        <w:t>primera infancia)</w:t>
      </w:r>
      <w:r>
        <w:t>, health care (</w:t>
      </w:r>
      <w:r>
        <w:rPr>
          <w:i/>
        </w:rPr>
        <w:t>ré</w:t>
      </w:r>
      <w:r w:rsidRPr="007D3555">
        <w:rPr>
          <w:i/>
        </w:rPr>
        <w:t>gimen subsidiado en salud</w:t>
      </w:r>
      <w:r>
        <w:t>), tertiary education loan subsidies (</w:t>
      </w:r>
      <w:r w:rsidRPr="007D3555">
        <w:rPr>
          <w:i/>
        </w:rPr>
        <w:t>crédito access</w:t>
      </w:r>
      <w:r>
        <w:t>), conditional cash transfers (</w:t>
      </w:r>
      <w:r w:rsidRPr="007D3555">
        <w:rPr>
          <w:i/>
        </w:rPr>
        <w:t>familias en acción</w:t>
      </w:r>
      <w:r>
        <w:t>) and elderly care (</w:t>
      </w:r>
      <w:r w:rsidRPr="007D3555">
        <w:rPr>
          <w:i/>
        </w:rPr>
        <w:t>protección social al adulto mayor</w:t>
      </w:r>
      <w:r>
        <w:t>) subsidies.  For the healthcare subsidy the only eligibility criterion is SISBEN scores.  Eligibility for the remaining subsidies requires additional demographic conditions such as having age-appropriate children (early childhood care and conditional cash transfers), being admitted or attending tertiary education (tertiary education loan subsidies) or living with an elderly relative (elderly care).</w:t>
      </w:r>
    </w:p>
  </w:footnote>
  <w:footnote w:id="14">
    <w:p w14:paraId="4D5E0BFD" w14:textId="77777777" w:rsidR="00402892" w:rsidRDefault="00402892">
      <w:pPr>
        <w:pStyle w:val="FootnoteText"/>
        <w:jc w:val="both"/>
      </w:pPr>
      <w:r>
        <w:rPr>
          <w:rStyle w:val="FootnoteReference"/>
        </w:rPr>
        <w:footnoteRef/>
      </w:r>
      <w:r>
        <w:t xml:space="preserve"> The SISPRO database only includes people who worked for employers that register their workers or self-employed workers who register themselves. In Colombia and in Bogotá, respectively 50 percent and 55 percent of employment is formally registered (</w:t>
      </w:r>
      <w:r w:rsidRPr="00010518">
        <w:rPr>
          <w:i/>
        </w:rPr>
        <w:t>Secretaría de Desarrollo Económico de Bogotá</w:t>
      </w:r>
      <w:r>
        <w:t xml:space="preserve"> 2012). </w:t>
      </w:r>
    </w:p>
  </w:footnote>
  <w:footnote w:id="15">
    <w:p w14:paraId="7AA1B997" w14:textId="5CC1272A" w:rsidR="00402892" w:rsidRDefault="00402892" w:rsidP="006A3216">
      <w:pPr>
        <w:pStyle w:val="FootnoteText"/>
        <w:jc w:val="both"/>
      </w:pPr>
      <w:r>
        <w:rPr>
          <w:rStyle w:val="FootnoteReference"/>
        </w:rPr>
        <w:footnoteRef/>
      </w:r>
      <w:r>
        <w:t xml:space="preserve"> </w:t>
      </w:r>
      <w:r w:rsidRPr="004A1B4D">
        <w:t>We define on-schedule secondary school completion as having taken the tertiary education entry test no later than six years after applying for the scholarship, that is to say by 2001.</w:t>
      </w:r>
    </w:p>
  </w:footnote>
  <w:footnote w:id="16">
    <w:p w14:paraId="69E94CBF" w14:textId="79AD678B" w:rsidR="00402892" w:rsidRDefault="00402892">
      <w:pPr>
        <w:pStyle w:val="FootnoteText"/>
        <w:jc w:val="both"/>
      </w:pPr>
      <w:r>
        <w:rPr>
          <w:rStyle w:val="FootnoteReference"/>
        </w:rPr>
        <w:footnoteRef/>
      </w:r>
      <w:r>
        <w:t xml:space="preserve"> With our updated matching strategy including adult identification numbers, we obtain substantially higher match rates than Angrist et al. (2006). Impact estimates in percentage points are similar.  </w:t>
      </w:r>
    </w:p>
  </w:footnote>
  <w:footnote w:id="17">
    <w:p w14:paraId="12C7BAFE" w14:textId="77777777" w:rsidR="00402892" w:rsidRPr="00256554" w:rsidRDefault="00402892">
      <w:pPr>
        <w:autoSpaceDE w:val="0"/>
        <w:autoSpaceDN w:val="0"/>
        <w:adjustRightInd w:val="0"/>
        <w:jc w:val="both"/>
        <w:rPr>
          <w:rFonts w:ascii="Times New Roman" w:hAnsi="Times New Roman"/>
          <w:sz w:val="20"/>
          <w:szCs w:val="20"/>
        </w:rPr>
      </w:pPr>
      <w:r w:rsidRPr="00256554">
        <w:rPr>
          <w:rStyle w:val="FootnoteReference"/>
          <w:rFonts w:ascii="Times New Roman" w:hAnsi="Times New Roman"/>
        </w:rPr>
        <w:footnoteRef/>
      </w:r>
      <w:r w:rsidRPr="00256554">
        <w:rPr>
          <w:rFonts w:ascii="Times New Roman" w:hAnsi="Times New Roman"/>
          <w:sz w:val="20"/>
          <w:szCs w:val="20"/>
        </w:rPr>
        <w:t xml:space="preserve"> Three years after the lottery, scholarship lottery winners were less likely than lottery losers to repeat grades in secondary (Angrist et al. 2002).  To analyze secondary school graduation, Angrist et al (2006) completed the match focusing on students’ probable date of on-time graduation.  With the benefit of more data, we observe that many lottery losers eventually complete secondary school, but it is taking them up to six years longer to do so.</w:t>
      </w:r>
    </w:p>
    <w:p w14:paraId="25B31D52" w14:textId="265E3B5A" w:rsidR="00402892" w:rsidRDefault="00402892" w:rsidP="006A3216">
      <w:pPr>
        <w:pStyle w:val="FootnoteText"/>
        <w:jc w:val="both"/>
      </w:pPr>
    </w:p>
  </w:footnote>
  <w:footnote w:id="18">
    <w:p w14:paraId="4116C46A" w14:textId="48BC64B5" w:rsidR="00402892" w:rsidRDefault="00402892" w:rsidP="006A3216">
      <w:pPr>
        <w:pStyle w:val="FootnoteText"/>
        <w:jc w:val="both"/>
      </w:pPr>
      <w:r>
        <w:rPr>
          <w:rStyle w:val="FootnoteReference"/>
        </w:rPr>
        <w:footnoteRef/>
      </w:r>
      <w:r>
        <w:t xml:space="preserve"> </w:t>
      </w:r>
      <w:r w:rsidRPr="00FD3D92">
        <w:t>Within this group the effects are particularly driven by males for wh</w:t>
      </w:r>
      <w:r>
        <w:t>om there is a 10 percentage-</w:t>
      </w:r>
      <w:r w:rsidRPr="00FD3D92">
        <w:t xml:space="preserve">point gain in ever enrollment in tertiary education </w:t>
      </w:r>
      <w:r>
        <w:t>on the base of approximately 16 percent (see Appendix A)</w:t>
      </w:r>
      <w:r w:rsidRPr="00FD3D92">
        <w:t>.</w:t>
      </w:r>
    </w:p>
  </w:footnote>
  <w:footnote w:id="19">
    <w:p w14:paraId="4B06A7FE" w14:textId="513470BE" w:rsidR="00402892" w:rsidRDefault="00402892" w:rsidP="006A3216">
      <w:pPr>
        <w:pStyle w:val="FootnoteText"/>
        <w:jc w:val="both"/>
      </w:pPr>
      <w:r>
        <w:rPr>
          <w:rStyle w:val="FootnoteReference"/>
        </w:rPr>
        <w:footnoteRef/>
      </w:r>
      <w:r>
        <w:t xml:space="preserve"> We define tertiary graduation and tertiary years of schooling to be zero for those who never enroll.  This way, these outcomes are well defined for the entire sample. </w:t>
      </w:r>
    </w:p>
  </w:footnote>
  <w:footnote w:id="20">
    <w:p w14:paraId="6BBA319C" w14:textId="69B51A7A" w:rsidR="00402892" w:rsidRDefault="00402892">
      <w:pPr>
        <w:pStyle w:val="FootnoteText"/>
      </w:pPr>
      <w:r>
        <w:rPr>
          <w:rStyle w:val="FootnoteReference"/>
        </w:rPr>
        <w:footnoteRef/>
      </w:r>
      <w:r>
        <w:t xml:space="preserve"> We compute annual formal sector earnings by adding inflation-adjusted monthly formal sector earnings during the period covered by our formal employment data (July 2008 to December 2014 or 78 months) including zeroes for months without reported formal sector earnings and dividing by the 6.5 years of coverage to get an annual average (Table 6).  Since 19 percent of applicants never appear on formal employment records during this period, total formal earnings for them are zero.</w:t>
      </w:r>
    </w:p>
  </w:footnote>
  <w:footnote w:id="21">
    <w:p w14:paraId="07794629" w14:textId="3A553CCA" w:rsidR="00402892" w:rsidRDefault="00402892" w:rsidP="006A3216">
      <w:pPr>
        <w:pStyle w:val="FootnoteText"/>
        <w:jc w:val="both"/>
      </w:pPr>
      <w:r>
        <w:rPr>
          <w:rStyle w:val="FootnoteReference"/>
        </w:rPr>
        <w:footnoteRef/>
      </w:r>
      <w:r>
        <w:t xml:space="preserve"> We report results based on formal earnings reported in health payroll accounts.  Results are very similar if we use instead earnings from the pension payroll account. </w:t>
      </w:r>
    </w:p>
  </w:footnote>
  <w:footnote w:id="22">
    <w:p w14:paraId="45AB3948" w14:textId="77777777" w:rsidR="00402892" w:rsidRPr="003628C9" w:rsidRDefault="00402892" w:rsidP="00100F27">
      <w:pPr>
        <w:pStyle w:val="FootnoteText"/>
      </w:pPr>
      <w:r>
        <w:rPr>
          <w:rStyle w:val="FootnoteReference"/>
        </w:rPr>
        <w:footnoteRef/>
      </w:r>
      <w:r>
        <w:t xml:space="preserve"> In terms of budget and beneficiary population, subsidized health care is the largest government benefit program, followed by </w:t>
      </w:r>
      <w:r w:rsidRPr="008F49EC">
        <w:rPr>
          <w:i/>
        </w:rPr>
        <w:t>Familias en Acción</w:t>
      </w:r>
      <w:r>
        <w:rPr>
          <w:i/>
        </w:rPr>
        <w:t xml:space="preserve"> </w:t>
      </w:r>
      <w:r>
        <w:t xml:space="preserve">and early childhood care. </w:t>
      </w:r>
    </w:p>
  </w:footnote>
  <w:footnote w:id="23">
    <w:p w14:paraId="54C1467D" w14:textId="77777777" w:rsidR="00402892" w:rsidRDefault="00402892" w:rsidP="00100F27">
      <w:pPr>
        <w:pStyle w:val="FootnoteText"/>
      </w:pPr>
      <w:r>
        <w:rPr>
          <w:rStyle w:val="FootnoteReference"/>
        </w:rPr>
        <w:footnoteRef/>
      </w:r>
      <w:r>
        <w:t xml:space="preserve"> We define </w:t>
      </w:r>
      <w:r w:rsidRPr="008F49EC">
        <w:rPr>
          <w:i/>
        </w:rPr>
        <w:t>Familias en Acción</w:t>
      </w:r>
      <w:r>
        <w:t xml:space="preserve"> receipt as whether applicants’ SISBEN score is at or below the eligibility cutoff and whether they have children between 0 and 17 years of age.  Take up of subsidized health care is nearly one hundred percent among eligible families so for subsidized health care eligibility and receipt is almost identical. </w:t>
      </w:r>
    </w:p>
  </w:footnote>
  <w:footnote w:id="24">
    <w:p w14:paraId="5FB009BB" w14:textId="0902A0EB" w:rsidR="00402892" w:rsidRPr="00654C78" w:rsidRDefault="00402892">
      <w:pPr>
        <w:autoSpaceDE w:val="0"/>
        <w:autoSpaceDN w:val="0"/>
        <w:adjustRightInd w:val="0"/>
        <w:jc w:val="both"/>
        <w:rPr>
          <w:rFonts w:ascii="Times New Roman" w:hAnsi="Times New Roman"/>
          <w:sz w:val="20"/>
          <w:szCs w:val="20"/>
        </w:rPr>
      </w:pPr>
      <w:r w:rsidRPr="00654C78">
        <w:rPr>
          <w:rStyle w:val="FootnoteReference"/>
          <w:rFonts w:ascii="Times New Roman" w:hAnsi="Times New Roman"/>
          <w:sz w:val="20"/>
          <w:szCs w:val="20"/>
        </w:rPr>
        <w:footnoteRef/>
      </w:r>
      <w:r w:rsidRPr="00654C78">
        <w:rPr>
          <w:rFonts w:ascii="Times New Roman" w:hAnsi="Times New Roman"/>
          <w:sz w:val="20"/>
          <w:szCs w:val="20"/>
        </w:rPr>
        <w:t xml:space="preserve"> Evidence from Angrist et al. (2002) supports the notion that the teenage childbearing effects among female applicants are likely a lower bound.  Among applicants to the Bogotá 1995 lottery cohort, lottery winners were close to 30 percent less likely to have had a child three years after the lottery, although the effect was not statistically significant at conventional levels</w:t>
      </w:r>
      <w:r>
        <w:rPr>
          <w:rFonts w:ascii="Times New Roman" w:hAnsi="Times New Roman"/>
          <w:sz w:val="20"/>
          <w:szCs w:val="20"/>
        </w:rPr>
        <w:t>.</w:t>
      </w:r>
      <w:r w:rsidRPr="00654C78">
        <w:rPr>
          <w:rFonts w:ascii="Times New Roman" w:hAnsi="Times New Roman"/>
          <w:sz w:val="20"/>
          <w:szCs w:val="20"/>
        </w:rPr>
        <w:t xml:space="preserve"> Selection, however, was also a concern in their sample. Surveys were conditional on applicants having a phone and the Angrist et al. (2002) sample had a two-percentage point difference in survey response rates between scholarship lottery winners and losers—55 percent response rate for lottery winners and 53 percent for losers—which is similar to what we fi</w:t>
      </w:r>
      <w:r>
        <w:rPr>
          <w:rFonts w:ascii="Times New Roman" w:hAnsi="Times New Roman"/>
          <w:sz w:val="20"/>
          <w:szCs w:val="20"/>
        </w:rPr>
        <w:t>nd in the SISBEN sample (Table 3</w:t>
      </w:r>
      <w:r w:rsidRPr="00654C78">
        <w:rPr>
          <w:rFonts w:ascii="Times New Roman" w:hAnsi="Times New Roman"/>
          <w:sz w:val="20"/>
          <w:szCs w:val="20"/>
        </w:rPr>
        <w:t>).  The fact that r</w:t>
      </w:r>
      <w:r>
        <w:rPr>
          <w:rFonts w:ascii="Times New Roman" w:hAnsi="Times New Roman"/>
          <w:sz w:val="20"/>
          <w:szCs w:val="20"/>
        </w:rPr>
        <w:t>esults in samples with</w:t>
      </w:r>
      <w:r w:rsidRPr="00654C78">
        <w:rPr>
          <w:rFonts w:ascii="Times New Roman" w:hAnsi="Times New Roman"/>
          <w:sz w:val="20"/>
          <w:szCs w:val="20"/>
        </w:rPr>
        <w:t xml:space="preserve"> different potential sources of selection are consistent yields additional credence to our</w:t>
      </w:r>
      <w:r>
        <w:rPr>
          <w:rFonts w:ascii="Times New Roman" w:hAnsi="Times New Roman"/>
          <w:sz w:val="20"/>
          <w:szCs w:val="20"/>
        </w:rPr>
        <w:t xml:space="preserve"> fertility</w:t>
      </w:r>
      <w:r w:rsidRPr="00654C78">
        <w:rPr>
          <w:rFonts w:ascii="Times New Roman" w:hAnsi="Times New Roman"/>
          <w:sz w:val="20"/>
          <w:szCs w:val="20"/>
        </w:rPr>
        <w:t xml:space="preserve"> findings.</w:t>
      </w:r>
    </w:p>
  </w:footnote>
  <w:footnote w:id="25">
    <w:p w14:paraId="02C23404" w14:textId="74094250" w:rsidR="00402892" w:rsidRDefault="00402892" w:rsidP="006A3216">
      <w:pPr>
        <w:pStyle w:val="FootnoteText"/>
        <w:jc w:val="both"/>
      </w:pPr>
      <w:r>
        <w:rPr>
          <w:rStyle w:val="FootnoteReference"/>
        </w:rPr>
        <w:footnoteRef/>
      </w:r>
      <w:r>
        <w:t xml:space="preserve"> For example, see Hendren 2013; Baird et al. 2013. </w:t>
      </w:r>
    </w:p>
  </w:footnote>
  <w:footnote w:id="26">
    <w:p w14:paraId="31BFC954" w14:textId="77777777" w:rsidR="00402892" w:rsidRDefault="00402892">
      <w:pPr>
        <w:pStyle w:val="FootnoteText"/>
        <w:jc w:val="both"/>
      </w:pPr>
      <w:r>
        <w:rPr>
          <w:rStyle w:val="FootnoteReference"/>
        </w:rPr>
        <w:footnoteRef/>
      </w:r>
      <w:r>
        <w:t xml:space="preserve"> </w:t>
      </w:r>
      <w:r w:rsidRPr="00173B4D">
        <w:t xml:space="preserve">The discount </w:t>
      </w:r>
      <w:r w:rsidRPr="00173B4D">
        <w:rPr>
          <w:rFonts w:eastAsia="Times New Roman"/>
          <w:color w:val="000000"/>
        </w:rPr>
        <w:t xml:space="preserve">rate we use is 3.6 percent, which is average interest rate on new external government debt commitments for Colombia between 2002 and 2012 (World Development Indicators database). </w:t>
      </w:r>
      <w:r w:rsidRPr="00173B4D">
        <w:t xml:space="preserve">In all calculations that follow we estimate amounts per scholarship winner, separately for males and females, which assumes that the counterfactual situation is no scholarship program. </w:t>
      </w:r>
      <w:r w:rsidRPr="004349D1">
        <w:t>Throughout the analysis,</w:t>
      </w:r>
      <w:r w:rsidRPr="00812744">
        <w:t xml:space="preserve"> for each source of cost and revenue, we </w:t>
      </w:r>
      <w:r>
        <w:t>compute the NPVs c</w:t>
      </w:r>
      <w:r w:rsidRPr="00812744">
        <w:t>onvert</w:t>
      </w:r>
      <w:r>
        <w:t>ing</w:t>
      </w:r>
      <w:r w:rsidRPr="00812744">
        <w:t xml:space="preserve"> into United States dollars (if not already) using the year-specific exchange rate (Dec. 31 of that year) between US dollars and Colombian pesos from the Colombian Central Bank, </w:t>
      </w:r>
      <w:r>
        <w:t>deflating</w:t>
      </w:r>
      <w:r w:rsidRPr="00812744">
        <w:t xml:space="preserve"> nominal costs back to real value in base year (1995) using the US-CPI change between base year and incurrence of costs (or revenue), </w:t>
      </w:r>
      <w:r>
        <w:t>t</w:t>
      </w:r>
      <w:r w:rsidRPr="00812744">
        <w:t>ak</w:t>
      </w:r>
      <w:r>
        <w:t>ing</w:t>
      </w:r>
      <w:r w:rsidRPr="00812744">
        <w:t xml:space="preserve"> the present value of the cost and revenue stream</w:t>
      </w:r>
      <w:r>
        <w:t>.</w:t>
      </w:r>
      <w:r w:rsidRPr="00812744">
        <w:t xml:space="preserve">  </w:t>
      </w:r>
      <w:r>
        <w:t>We express the NPV in US dollars for the year of analysis</w:t>
      </w:r>
      <w:r w:rsidRPr="00812744">
        <w:t xml:space="preserve"> (2013) using US-CPI change between </w:t>
      </w:r>
      <w:r>
        <w:t xml:space="preserve">the </w:t>
      </w:r>
      <w:r w:rsidRPr="00812744">
        <w:t xml:space="preserve">analysis and </w:t>
      </w:r>
      <w:r>
        <w:t xml:space="preserve">the </w:t>
      </w:r>
      <w:r w:rsidRPr="00812744">
        <w:t>base year</w:t>
      </w:r>
      <w:r>
        <w:t>.</w:t>
      </w:r>
      <w:r w:rsidRPr="00812744">
        <w:t xml:space="preserve">  </w:t>
      </w:r>
    </w:p>
  </w:footnote>
  <w:footnote w:id="27">
    <w:p w14:paraId="42410B84" w14:textId="34AF0885" w:rsidR="00402892" w:rsidRDefault="00402892">
      <w:pPr>
        <w:pStyle w:val="FootnoteText"/>
        <w:jc w:val="both"/>
      </w:pPr>
      <w:r>
        <w:rPr>
          <w:rStyle w:val="FootnoteReference"/>
        </w:rPr>
        <w:footnoteRef/>
      </w:r>
      <w:r>
        <w:t xml:space="preserve"> Based on US evidence, an additional and sizeable source of cost savings to the government is reduced teen fertility (Saul Hoffman 2006). Estimates for Colombia on the monetary costs of teen fertility are only available for society as a whole and already include foregone earnings as a cost (Arturo José Parada-Baños 2005).  It is not clear what fraction of these costs accrues to the government.  We do not, therefore, account for cost-savings from reduced teen fertility and as such, these fiscal impact estimates err on the side of being conservative.   </w:t>
      </w:r>
    </w:p>
  </w:footnote>
  <w:footnote w:id="28">
    <w:p w14:paraId="5463AE5A" w14:textId="72EE756A" w:rsidR="00402892" w:rsidRPr="00D60B0D" w:rsidRDefault="00402892">
      <w:pPr>
        <w:pStyle w:val="FootnoteText"/>
        <w:jc w:val="both"/>
      </w:pPr>
      <w:r>
        <w:rPr>
          <w:rStyle w:val="FootnoteReference"/>
        </w:rPr>
        <w:footnoteRef/>
      </w:r>
      <w:r>
        <w:t xml:space="preserve"> After the passing of Law 100 of 1993, the pension system created two regimes: average premium (</w:t>
      </w:r>
      <w:r>
        <w:rPr>
          <w:i/>
        </w:rPr>
        <w:t xml:space="preserve">Regimen de Prima Media) </w:t>
      </w:r>
      <w:r>
        <w:t>and individual savings with solidarity (</w:t>
      </w:r>
      <w:r>
        <w:rPr>
          <w:i/>
        </w:rPr>
        <w:t xml:space="preserve">Regimen de Ahorro Individual con Solidaridad). </w:t>
      </w:r>
      <w:r>
        <w:t xml:space="preserve">In the average premium regime, employee and employer-side contributions go to a common pool of resources and pension benefits are obtained as a function of age, formal sector earnings and time in formal sector employment.  There is no minimum pension amount in this regime. The individual savings regime is akin to individual retirement accounts in the US in which accounts belong to the individual and pension benefits do not depend on age or other parameters; they only depend on the principal and interest earned.  In neither case, therefore, are there government subsidies to retirees. </w:t>
      </w:r>
    </w:p>
  </w:footnote>
  <w:footnote w:id="29">
    <w:p w14:paraId="5EFA710E" w14:textId="478A0279" w:rsidR="00402892" w:rsidRDefault="00402892" w:rsidP="006A3216">
      <w:pPr>
        <w:pStyle w:val="FootnoteText"/>
        <w:jc w:val="both"/>
      </w:pPr>
      <w:r>
        <w:rPr>
          <w:rStyle w:val="FootnoteReference"/>
        </w:rPr>
        <w:footnoteRef/>
      </w:r>
      <w:r>
        <w:t xml:space="preserve"> These students may have repeated grades, transferred schools, or voluntary given up the scholarship.</w:t>
      </w:r>
    </w:p>
  </w:footnote>
  <w:footnote w:id="30">
    <w:p w14:paraId="5A06D721" w14:textId="77777777" w:rsidR="00402892" w:rsidRDefault="00402892" w:rsidP="006A3216">
      <w:pPr>
        <w:pStyle w:val="FootnoteText"/>
        <w:jc w:val="both"/>
      </w:pPr>
      <w:r>
        <w:rPr>
          <w:rStyle w:val="FootnoteReference"/>
        </w:rPr>
        <w:footnoteRef/>
      </w:r>
      <w:r>
        <w:t xml:space="preserve"> Angrist et al. (2002, p. 1537) reports the annual cost of public school to be $350 and the average scholarship value to be $190, both in 1998 dollars.  We calculate that in 2013 prices, these figures correspond to $449 and 244, respectively.</w:t>
      </w:r>
    </w:p>
  </w:footnote>
  <w:footnote w:id="31">
    <w:p w14:paraId="5A5114F1" w14:textId="2A4409A2" w:rsidR="00402892" w:rsidRDefault="00402892" w:rsidP="006A3216">
      <w:pPr>
        <w:pStyle w:val="FootnoteText"/>
        <w:jc w:val="both"/>
      </w:pPr>
      <w:r>
        <w:rPr>
          <w:rStyle w:val="FootnoteReference"/>
        </w:rPr>
        <w:footnoteRef/>
      </w:r>
      <w:r>
        <w:t xml:space="preserve"> </w:t>
      </w:r>
      <w:r w:rsidRPr="00743B35">
        <w:t>We obtain these impacts on private school attendance for grades 6</w:t>
      </w:r>
      <w:r w:rsidRPr="00743B35">
        <w:rPr>
          <w:vertAlign w:val="superscript"/>
        </w:rPr>
        <w:t>th</w:t>
      </w:r>
      <w:r w:rsidRPr="00743B35">
        <w:t xml:space="preserve"> through 8</w:t>
      </w:r>
      <w:r w:rsidRPr="00743B35">
        <w:rPr>
          <w:vertAlign w:val="superscript"/>
        </w:rPr>
        <w:t>th</w:t>
      </w:r>
      <w:r w:rsidRPr="00743B35">
        <w:t xml:space="preserve"> from Table 4, column 2 (for males) and column 4 (for females).  After 8</w:t>
      </w:r>
      <w:r w:rsidRPr="00743B35">
        <w:rPr>
          <w:vertAlign w:val="superscript"/>
        </w:rPr>
        <w:t>th</w:t>
      </w:r>
      <w:r w:rsidRPr="00743B35">
        <w:t xml:space="preserve"> grade, we assume a constant change from the observed 8</w:t>
      </w:r>
      <w:r w:rsidRPr="00743B35">
        <w:rPr>
          <w:vertAlign w:val="superscript"/>
        </w:rPr>
        <w:t>th</w:t>
      </w:r>
      <w:r w:rsidRPr="00743B35">
        <w:t xml:space="preserve"> grade effect to the eventual effect at graduation.</w:t>
      </w:r>
    </w:p>
  </w:footnote>
  <w:footnote w:id="32">
    <w:p w14:paraId="4265A44D" w14:textId="4035A4EF" w:rsidR="00402892" w:rsidRDefault="00402892" w:rsidP="006A3216">
      <w:pPr>
        <w:pStyle w:val="FootnoteText"/>
        <w:jc w:val="both"/>
      </w:pPr>
      <w:r>
        <w:rPr>
          <w:rStyle w:val="FootnoteReference"/>
        </w:rPr>
        <w:footnoteRef/>
      </w:r>
      <w:r>
        <w:t xml:space="preserve"> We derive cost-savings estimates from data on public school costs, which we obtain for 1998 from Angrist et al. (2002, see footnote 29).  We discount these to base year by </w:t>
      </w:r>
      <w:r w:rsidRPr="00812744">
        <w:t xml:space="preserve">using the US-CPI change between base year and </w:t>
      </w:r>
      <w:r>
        <w:t>incurrence of costs year (which we assume is 1998 in this case as we do not observe public school costs for any other year). We then express these costs in US dollars for the year of analysis</w:t>
      </w:r>
      <w:r w:rsidRPr="00812744">
        <w:t xml:space="preserve"> (2013) using US-CPI change between </w:t>
      </w:r>
      <w:r>
        <w:t xml:space="preserve">the </w:t>
      </w:r>
      <w:r w:rsidRPr="00812744">
        <w:t xml:space="preserve">analysis and </w:t>
      </w:r>
      <w:r>
        <w:t xml:space="preserve">the </w:t>
      </w:r>
      <w:r w:rsidRPr="00812744">
        <w:t>base year</w:t>
      </w:r>
      <w:r>
        <w:t xml:space="preserve">. </w:t>
      </w:r>
    </w:p>
  </w:footnote>
  <w:footnote w:id="33">
    <w:p w14:paraId="7F86275E" w14:textId="32120C0A" w:rsidR="00402892" w:rsidRDefault="00402892" w:rsidP="006A3216">
      <w:pPr>
        <w:pStyle w:val="FootnoteText"/>
        <w:jc w:val="both"/>
      </w:pPr>
      <w:r>
        <w:rPr>
          <w:rStyle w:val="FootnoteReference"/>
        </w:rPr>
        <w:footnoteRef/>
      </w:r>
      <w:r>
        <w:t xml:space="preserve"> Annual tertiary education subsidy data come from ICETEX (2014).  </w:t>
      </w:r>
    </w:p>
  </w:footnote>
  <w:footnote w:id="34">
    <w:p w14:paraId="53864CF1" w14:textId="6C8415A6" w:rsidR="00402892" w:rsidRDefault="00402892" w:rsidP="006A3216">
      <w:pPr>
        <w:pStyle w:val="FootnoteText"/>
        <w:jc w:val="both"/>
      </w:pPr>
      <w:r>
        <w:rPr>
          <w:rStyle w:val="FootnoteReference"/>
        </w:rPr>
        <w:footnoteRef/>
      </w:r>
      <w:r>
        <w:t xml:space="preserve"> Jaramillo and Tovar (2008) Table 3 reports average VAT rates for five consumption groups: Transportation and Communications (15.19%), Food (8.01%), Culture and Entertainment (13.97%), Housing (14.66%) and Other (15.94%) We use data from Colombia’s </w:t>
      </w:r>
      <w:r>
        <w:rPr>
          <w:i/>
        </w:rPr>
        <w:t xml:space="preserve">Encuesta de Ingresos y Gastos </w:t>
      </w:r>
      <w:r>
        <w:t xml:space="preserve">from 2006/2007 to estimate the distribution of consumption across these groups in the two lowest deciles of the consumption distribution, which are 7.4% for Transportation and Communication, 25.6% for Food, 1.5% for Culture and Entertainment, 39.5% for Housing and 25.9% for Other.  The average VAT tax rate of 13.3% is a weighted average of the VAT rates across the different consumption groups, with the weights given by the share of consumption among the two lowest deciles in each category. </w:t>
      </w:r>
    </w:p>
  </w:footnote>
  <w:footnote w:id="35">
    <w:p w14:paraId="305B9FE8" w14:textId="304AA311" w:rsidR="00402892" w:rsidRDefault="00402892" w:rsidP="006A3216">
      <w:pPr>
        <w:pStyle w:val="FootnoteText"/>
        <w:jc w:val="both"/>
      </w:pPr>
      <w:r>
        <w:rPr>
          <w:rStyle w:val="FootnoteReference"/>
        </w:rPr>
        <w:footnoteRef/>
      </w:r>
      <w:r>
        <w:t xml:space="preserve"> The current difference in formal sector earnings and payroll taxes between scholarship winners and losers already accounts for foregone earnings due to any additional time in school between 2008 and 2012, which is the period that our formal sector earnings data covers.  Evidence from Table 2 indicates that scholarship winners, however, already spent additional time in school prior to 2008, particularly finishing secondary school.  Since we do not observe earnings that far back, the assumption that foregone earnings then are similar to those now is fairly conservative.</w:t>
      </w:r>
    </w:p>
  </w:footnote>
  <w:footnote w:id="36">
    <w:p w14:paraId="30C3AAC5" w14:textId="29B02580" w:rsidR="00402892" w:rsidRPr="00F04995" w:rsidRDefault="00402892" w:rsidP="006A3216">
      <w:pPr>
        <w:pStyle w:val="FootnoteText"/>
        <w:jc w:val="both"/>
      </w:pPr>
      <w:r>
        <w:rPr>
          <w:rStyle w:val="FootnoteReference"/>
        </w:rPr>
        <w:footnoteRef/>
      </w:r>
      <w:r>
        <w:t xml:space="preserve"> Ten percent of payroll taxes are earmarked to finance Colombia’s national job training agency (SENA) and the </w:t>
      </w:r>
      <w:r w:rsidRPr="00C05710">
        <w:t>national institute for family welfare (ICBF) and therefore represent a net transfer</w:t>
      </w:r>
      <w:r>
        <w:t xml:space="preserve"> to the government</w:t>
      </w:r>
      <w:r w:rsidRPr="00C05710">
        <w:t xml:space="preserve">. </w:t>
      </w:r>
      <w:r>
        <w:t xml:space="preserve"> Thirty percent of total payroll taxes are for health care services and also </w:t>
      </w:r>
      <w:r w:rsidRPr="00407C25">
        <w:t>constitute a net government transfer because the mandatory health plan, known as POS</w:t>
      </w:r>
      <w:r>
        <w:t>, provides services that do not depend on the amount paid in the system</w:t>
      </w:r>
      <w:r w:rsidRPr="00407C25">
        <w:t xml:space="preserve"> so additional health payroll taxes among winners relax the government budget constraint.</w:t>
      </w:r>
      <w:r>
        <w:t xml:space="preserve"> We conservatively assume that the pension scheme involves no redistribution.  </w:t>
      </w:r>
    </w:p>
  </w:footnote>
  <w:footnote w:id="37">
    <w:p w14:paraId="3203AC44" w14:textId="77777777" w:rsidR="00402892" w:rsidRDefault="00402892" w:rsidP="006A3216">
      <w:pPr>
        <w:pStyle w:val="FootnoteText"/>
        <w:jc w:val="both"/>
      </w:pPr>
      <w:r>
        <w:rPr>
          <w:rStyle w:val="FootnoteReference"/>
        </w:rPr>
        <w:footnoteRef/>
      </w:r>
      <w:r>
        <w:t xml:space="preserve"> </w:t>
      </w:r>
      <w:r w:rsidRPr="008E7D7E">
        <w:rPr>
          <w:rFonts w:eastAsia="Times New Roman"/>
          <w:color w:val="000000"/>
        </w:rPr>
        <w:t xml:space="preserve">The rate of </w:t>
      </w:r>
      <w:r>
        <w:rPr>
          <w:rFonts w:eastAsia="Times New Roman"/>
          <w:color w:val="000000"/>
        </w:rPr>
        <w:t>3.02</w:t>
      </w:r>
      <w:r w:rsidRPr="008E7D7E">
        <w:rPr>
          <w:rFonts w:eastAsia="Times New Roman"/>
          <w:color w:val="000000"/>
        </w:rPr>
        <w:t xml:space="preserve"> percent is the average annual growth in GDP per capita in Colombia between 200</w:t>
      </w:r>
      <w:r>
        <w:rPr>
          <w:rFonts w:eastAsia="Times New Roman"/>
          <w:color w:val="000000"/>
        </w:rPr>
        <w:t>2</w:t>
      </w:r>
      <w:r w:rsidRPr="008E7D7E">
        <w:rPr>
          <w:rFonts w:eastAsia="Times New Roman"/>
          <w:color w:val="000000"/>
        </w:rPr>
        <w:t xml:space="preserve"> and 2012 (World Development Indicators database).</w:t>
      </w:r>
    </w:p>
  </w:footnote>
  <w:footnote w:id="38">
    <w:p w14:paraId="587BD13B" w14:textId="509D9436" w:rsidR="00402892" w:rsidRPr="00EA4467" w:rsidRDefault="00402892" w:rsidP="006A3216">
      <w:pPr>
        <w:pStyle w:val="FootnoteText"/>
        <w:jc w:val="both"/>
      </w:pPr>
      <w:r w:rsidRPr="00EA4467">
        <w:rPr>
          <w:rStyle w:val="FootnoteReference"/>
        </w:rPr>
        <w:footnoteRef/>
      </w:r>
      <w:r w:rsidRPr="00EA4467">
        <w:t xml:space="preserve"> </w:t>
      </w:r>
      <w:r w:rsidRPr="00EA4467">
        <w:rPr>
          <w:rFonts w:eastAsia="Times New Roman"/>
          <w:color w:val="000000"/>
        </w:rPr>
        <w:t xml:space="preserve">The conclusion that the expected cost to taxpayers is negative seems reasonably robust to changes in the assumptions. Expected net fiscal costs to taxpayers are also negative using a higher discount rate of 6 percent and equal to -$1,223.73 </w:t>
      </w:r>
      <w:r>
        <w:rPr>
          <w:rFonts w:eastAsia="Times New Roman"/>
          <w:color w:val="000000"/>
        </w:rPr>
        <w:t>(</w:t>
      </w:r>
      <w:r w:rsidRPr="00EA4467">
        <w:rPr>
          <w:rFonts w:eastAsia="Times New Roman"/>
          <w:color w:val="000000"/>
        </w:rPr>
        <w:t>Row 15 minus Row 19</w:t>
      </w:r>
      <w:r>
        <w:rPr>
          <w:rFonts w:eastAsia="Times New Roman"/>
          <w:color w:val="000000"/>
        </w:rPr>
        <w:t>).</w:t>
      </w:r>
    </w:p>
  </w:footnote>
  <w:footnote w:id="39">
    <w:p w14:paraId="349C420C" w14:textId="2BB25187" w:rsidR="00402892" w:rsidRDefault="00402892" w:rsidP="006A3216">
      <w:pPr>
        <w:pStyle w:val="FootnoteText"/>
        <w:jc w:val="both"/>
      </w:pPr>
      <w:r w:rsidRPr="00EA4467">
        <w:rPr>
          <w:rStyle w:val="FootnoteReference"/>
        </w:rPr>
        <w:footnoteRef/>
      </w:r>
      <w:r w:rsidRPr="00EA4467">
        <w:t xml:space="preserve"> Net fiscal costs are also negative for both females and males if we assume a discount rate of 6 percent instead of the 3.66 percent rate</w:t>
      </w:r>
      <w:r>
        <w:t xml:space="preserve"> assumed in the text.  Net fiscal costs using the 6 percent discount rate are -$235.38 for females and -$335.35 for males. </w:t>
      </w:r>
    </w:p>
  </w:footnote>
  <w:footnote w:id="40">
    <w:p w14:paraId="1C5BA218" w14:textId="13839F8E" w:rsidR="00402892" w:rsidRDefault="00402892" w:rsidP="006A3216">
      <w:pPr>
        <w:pStyle w:val="FootnoteText"/>
        <w:jc w:val="both"/>
      </w:pPr>
      <w:r>
        <w:rPr>
          <w:rStyle w:val="FootnoteReference"/>
        </w:rPr>
        <w:footnoteRef/>
      </w:r>
      <w:r>
        <w:t xml:space="preserve"> The gain for infra-marginal recipients = (fraction of infra-marginal recipients)*(impact on scholarship amount)*(sum of year-by-year utilization rate).  The fraction of lottery losers who attend private school in 6</w:t>
      </w:r>
      <w:r w:rsidRPr="002571E3">
        <w:rPr>
          <w:vertAlign w:val="superscript"/>
        </w:rPr>
        <w:t>th</w:t>
      </w:r>
      <w:r>
        <w:t xml:space="preserve"> grade is 0.897 among females and 0.857 among males.  The impact on scholarship amount is $93.2 (from Angrist et al. 2002 Table 8, column 3 updated to 2013 dollars).  </w:t>
      </w:r>
      <w:r>
        <w:rPr>
          <w:rFonts w:eastAsia="Times New Roman"/>
          <w:color w:val="000000"/>
        </w:rPr>
        <w:t>We observe the fraction of winners in private school using the scholarship for grades 6</w:t>
      </w:r>
      <w:r w:rsidRPr="00CB7E35">
        <w:rPr>
          <w:rFonts w:eastAsia="Times New Roman"/>
          <w:color w:val="000000"/>
          <w:vertAlign w:val="superscript"/>
        </w:rPr>
        <w:t>th</w:t>
      </w:r>
      <w:r>
        <w:rPr>
          <w:rFonts w:eastAsia="Times New Roman"/>
          <w:color w:val="000000"/>
        </w:rPr>
        <w:t xml:space="preserve"> and 8</w:t>
      </w:r>
      <w:r w:rsidRPr="00CB7E35">
        <w:rPr>
          <w:rFonts w:eastAsia="Times New Roman"/>
          <w:color w:val="000000"/>
          <w:vertAlign w:val="superscript"/>
        </w:rPr>
        <w:t>th</w:t>
      </w:r>
      <w:r>
        <w:rPr>
          <w:rFonts w:eastAsia="Times New Roman"/>
          <w:color w:val="000000"/>
        </w:rPr>
        <w:t xml:space="preserve"> only. The 7</w:t>
      </w:r>
      <w:r w:rsidRPr="00CB7E35">
        <w:rPr>
          <w:rFonts w:eastAsia="Times New Roman"/>
          <w:color w:val="000000"/>
          <w:vertAlign w:val="superscript"/>
        </w:rPr>
        <w:t>th</w:t>
      </w:r>
      <w:r>
        <w:rPr>
          <w:rFonts w:eastAsia="Times New Roman"/>
          <w:color w:val="000000"/>
        </w:rPr>
        <w:t xml:space="preserve"> grade fraction is the linear combination of the 6</w:t>
      </w:r>
      <w:r w:rsidRPr="00CB7E35">
        <w:rPr>
          <w:rFonts w:eastAsia="Times New Roman"/>
          <w:color w:val="000000"/>
          <w:vertAlign w:val="superscript"/>
        </w:rPr>
        <w:t>th</w:t>
      </w:r>
      <w:r>
        <w:rPr>
          <w:rFonts w:eastAsia="Times New Roman"/>
          <w:color w:val="000000"/>
        </w:rPr>
        <w:t xml:space="preserve"> and 8</w:t>
      </w:r>
      <w:r w:rsidRPr="00CB7E35">
        <w:rPr>
          <w:rFonts w:eastAsia="Times New Roman"/>
          <w:color w:val="000000"/>
          <w:vertAlign w:val="superscript"/>
        </w:rPr>
        <w:t>th</w:t>
      </w:r>
      <w:r>
        <w:rPr>
          <w:rFonts w:eastAsia="Times New Roman"/>
          <w:color w:val="000000"/>
        </w:rPr>
        <w:t xml:space="preserve"> grade </w:t>
      </w:r>
      <w:r w:rsidRPr="007C6D4A">
        <w:rPr>
          <w:rFonts w:eastAsia="Times New Roman"/>
          <w:color w:val="000000"/>
        </w:rPr>
        <w:t>rates.  For females the fraction of winners in private school using the scholarship is 0.953 (6</w:t>
      </w:r>
      <w:r w:rsidRPr="00CB7E35">
        <w:rPr>
          <w:rFonts w:eastAsia="Times New Roman"/>
          <w:color w:val="000000"/>
          <w:vertAlign w:val="superscript"/>
        </w:rPr>
        <w:t>th</w:t>
      </w:r>
      <w:r w:rsidRPr="007C6D4A">
        <w:rPr>
          <w:rFonts w:eastAsia="Times New Roman"/>
          <w:color w:val="000000"/>
        </w:rPr>
        <w:t>), 0.736 (7</w:t>
      </w:r>
      <w:r w:rsidRPr="00CB7E35">
        <w:rPr>
          <w:rFonts w:eastAsia="Times New Roman"/>
          <w:color w:val="000000"/>
          <w:vertAlign w:val="superscript"/>
        </w:rPr>
        <w:t>th</w:t>
      </w:r>
      <w:r w:rsidRPr="007C6D4A">
        <w:rPr>
          <w:rFonts w:eastAsia="Times New Roman"/>
          <w:color w:val="000000"/>
        </w:rPr>
        <w:t>) and 0.519 (8</w:t>
      </w:r>
      <w:r w:rsidRPr="00CB7E35">
        <w:rPr>
          <w:rFonts w:eastAsia="Times New Roman"/>
          <w:color w:val="000000"/>
          <w:vertAlign w:val="superscript"/>
        </w:rPr>
        <w:t>th</w:t>
      </w:r>
      <w:r w:rsidRPr="007C6D4A">
        <w:rPr>
          <w:rFonts w:eastAsia="Times New Roman"/>
          <w:color w:val="000000"/>
        </w:rPr>
        <w:t>).  For males it is 0.933 (6</w:t>
      </w:r>
      <w:r w:rsidRPr="00CB7E35">
        <w:rPr>
          <w:rFonts w:eastAsia="Times New Roman"/>
          <w:color w:val="000000"/>
          <w:vertAlign w:val="superscript"/>
        </w:rPr>
        <w:t>th</w:t>
      </w:r>
      <w:r w:rsidRPr="007C6D4A">
        <w:rPr>
          <w:rFonts w:eastAsia="Times New Roman"/>
          <w:color w:val="000000"/>
        </w:rPr>
        <w:t>), 0.698 (7</w:t>
      </w:r>
      <w:r w:rsidRPr="00CB7E35">
        <w:rPr>
          <w:rFonts w:eastAsia="Times New Roman"/>
          <w:color w:val="000000"/>
          <w:vertAlign w:val="superscript"/>
        </w:rPr>
        <w:t>th</w:t>
      </w:r>
      <w:r w:rsidRPr="007C6D4A">
        <w:rPr>
          <w:rFonts w:eastAsia="Times New Roman"/>
          <w:color w:val="000000"/>
        </w:rPr>
        <w:t>) and 0.463 (8</w:t>
      </w:r>
      <w:r w:rsidRPr="00CB7E35">
        <w:rPr>
          <w:rFonts w:eastAsia="Times New Roman"/>
          <w:color w:val="000000"/>
          <w:vertAlign w:val="superscript"/>
        </w:rPr>
        <w:t>th</w:t>
      </w:r>
      <w:r w:rsidRPr="007C6D4A">
        <w:rPr>
          <w:rFonts w:eastAsia="Times New Roman"/>
          <w:color w:val="000000"/>
        </w:rPr>
        <w:t xml:space="preserve">).  </w:t>
      </w:r>
      <w:r w:rsidRPr="00CB7E35">
        <w:t>After 8</w:t>
      </w:r>
      <w:r w:rsidRPr="00CB7E35">
        <w:rPr>
          <w:vertAlign w:val="superscript"/>
        </w:rPr>
        <w:t>th</w:t>
      </w:r>
      <w:r w:rsidRPr="00CB7E35">
        <w:t xml:space="preserve"> grade, we have no data on scholarship usage.  We know that 32 percent of the overall lottery loser sample finished 11</w:t>
      </w:r>
      <w:r w:rsidRPr="00CB7E35">
        <w:rPr>
          <w:vertAlign w:val="superscript"/>
        </w:rPr>
        <w:t>th</w:t>
      </w:r>
      <w:r w:rsidRPr="00CB7E35">
        <w:t xml:space="preserve"> grade in private school.  We assume a constant deterioration from 8</w:t>
      </w:r>
      <w:r w:rsidRPr="00CB7E35">
        <w:rPr>
          <w:vertAlign w:val="superscript"/>
        </w:rPr>
        <w:t>th</w:t>
      </w:r>
      <w:r w:rsidRPr="00CB7E35">
        <w:t xml:space="preserve"> grade to 11</w:t>
      </w:r>
      <w:r w:rsidRPr="00CB7E35">
        <w:rPr>
          <w:vertAlign w:val="superscript"/>
        </w:rPr>
        <w:t>th</w:t>
      </w:r>
      <w:r w:rsidRPr="00CB7E35">
        <w:t xml:space="preserve"> grade in the fraction of losers attending private school.  This implies a 40 percent reduction in the fraction attending private school, and we assume that deterioration in scholarship usage among winners follows a similar 40 percent decline from the 8</w:t>
      </w:r>
      <w:r w:rsidRPr="00CB7E35">
        <w:rPr>
          <w:vertAlign w:val="superscript"/>
        </w:rPr>
        <w:t>th</w:t>
      </w:r>
      <w:r w:rsidRPr="00CB7E35">
        <w:t xml:space="preserve"> grade level.  Under these assumptions, scholarship usage rates for females are 0.415 (9</w:t>
      </w:r>
      <w:r w:rsidRPr="00CB7E35">
        <w:rPr>
          <w:vertAlign w:val="superscript"/>
        </w:rPr>
        <w:t>th</w:t>
      </w:r>
      <w:r w:rsidRPr="00CB7E35">
        <w:t>), 0.310 (10</w:t>
      </w:r>
      <w:r w:rsidRPr="00CB7E35">
        <w:rPr>
          <w:vertAlign w:val="superscript"/>
        </w:rPr>
        <w:t>th</w:t>
      </w:r>
      <w:r w:rsidRPr="00CB7E35">
        <w:t>) and 0.206 (11</w:t>
      </w:r>
      <w:r w:rsidRPr="00CB7E35">
        <w:rPr>
          <w:vertAlign w:val="superscript"/>
        </w:rPr>
        <w:t>th</w:t>
      </w:r>
      <w:r w:rsidRPr="00CB7E35">
        <w:t>).  For males the scholarship usage rates are 0.374 (9</w:t>
      </w:r>
      <w:r w:rsidRPr="00CB7E35">
        <w:rPr>
          <w:vertAlign w:val="superscript"/>
        </w:rPr>
        <w:t>th</w:t>
      </w:r>
      <w:r w:rsidRPr="00CB7E35">
        <w:t>), 0.284 (10</w:t>
      </w:r>
      <w:r w:rsidRPr="00CB7E35">
        <w:rPr>
          <w:vertAlign w:val="superscript"/>
        </w:rPr>
        <w:t>th</w:t>
      </w:r>
      <w:r w:rsidRPr="00CB7E35">
        <w:t>) and 0.195 (11</w:t>
      </w:r>
      <w:r w:rsidRPr="00CB7E35">
        <w:rPr>
          <w:vertAlign w:val="superscript"/>
        </w:rPr>
        <w:t>th</w:t>
      </w:r>
      <w:r w:rsidRPr="00CB7E35">
        <w:t>).</w:t>
      </w:r>
    </w:p>
  </w:footnote>
  <w:footnote w:id="41">
    <w:p w14:paraId="1CE765F2" w14:textId="11CF8E5B" w:rsidR="00402892" w:rsidRDefault="00402892">
      <w:pPr>
        <w:pStyle w:val="FootnoteText"/>
        <w:jc w:val="both"/>
      </w:pPr>
      <w:r>
        <w:rPr>
          <w:rStyle w:val="FootnoteReference"/>
        </w:rPr>
        <w:footnoteRef/>
      </w:r>
      <w:r>
        <w:t xml:space="preserve"> </w:t>
      </w:r>
      <w:r w:rsidRPr="00131CBB">
        <w:t>By contrast, other educational subsidy programs such as state merit aid programs in the US that pay for additional years of school and keep students in school longer (see f</w:t>
      </w:r>
      <w:r>
        <w:t>or example Dynarski 2000;</w:t>
      </w:r>
      <w:r w:rsidRPr="00131CBB">
        <w:t xml:space="preserve"> Kane 2003) will have offsetting effects. They reduce short-run tax revenue by delaying labor market entry and increase long-run revenue by boosting later earnings, with the overall impact on the NPV of tax revenue unclear.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F4EB6"/>
    <w:multiLevelType w:val="hybridMultilevel"/>
    <w:tmpl w:val="5DEC8702"/>
    <w:lvl w:ilvl="0" w:tplc="DBE454B0">
      <w:numFmt w:val="bullet"/>
      <w:lvlText w:val=""/>
      <w:lvlJc w:val="left"/>
      <w:pPr>
        <w:ind w:left="720" w:hanging="360"/>
      </w:pPr>
      <w:rPr>
        <w:rFonts w:ascii="Wingdings" w:eastAsia="MS ??" w:hAnsi="Wingdings"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5504E64"/>
    <w:multiLevelType w:val="hybridMultilevel"/>
    <w:tmpl w:val="DF4269DC"/>
    <w:lvl w:ilvl="0" w:tplc="0BFE7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432C91"/>
    <w:multiLevelType w:val="hybridMultilevel"/>
    <w:tmpl w:val="8FF8A346"/>
    <w:lvl w:ilvl="0" w:tplc="B3BA8526">
      <w:numFmt w:val="bullet"/>
      <w:lvlText w:val=""/>
      <w:lvlJc w:val="left"/>
      <w:pPr>
        <w:ind w:left="720" w:hanging="360"/>
      </w:pPr>
      <w:rPr>
        <w:rFonts w:ascii="Wingdings" w:eastAsia="MS ??" w:hAnsi="Wingdings"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D3C6F2B"/>
    <w:multiLevelType w:val="hybridMultilevel"/>
    <w:tmpl w:val="B2A0108C"/>
    <w:lvl w:ilvl="0" w:tplc="E9667F0E">
      <w:start w:val="625"/>
      <w:numFmt w:val="bullet"/>
      <w:lvlText w:val=""/>
      <w:lvlJc w:val="left"/>
      <w:pPr>
        <w:ind w:left="720" w:hanging="360"/>
      </w:pPr>
      <w:rPr>
        <w:rFonts w:ascii="Wingdings" w:eastAsia="MS ??"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B44788"/>
    <w:multiLevelType w:val="hybridMultilevel"/>
    <w:tmpl w:val="5F6AB8BC"/>
    <w:lvl w:ilvl="0" w:tplc="9F5E755A">
      <w:start w:val="1"/>
      <w:numFmt w:val="decimal"/>
      <w:lvlText w:val="%1."/>
      <w:lvlJc w:val="left"/>
      <w:pPr>
        <w:ind w:left="9360" w:hanging="360"/>
      </w:pPr>
      <w:rPr>
        <w:rFonts w:hint="default"/>
        <w:b/>
      </w:rPr>
    </w:lvl>
    <w:lvl w:ilvl="1" w:tplc="04090019">
      <w:start w:val="1"/>
      <w:numFmt w:val="lowerLetter"/>
      <w:lvlText w:val="%2."/>
      <w:lvlJc w:val="left"/>
      <w:pPr>
        <w:ind w:left="9720" w:hanging="360"/>
      </w:pPr>
    </w:lvl>
    <w:lvl w:ilvl="2" w:tplc="0409001B" w:tentative="1">
      <w:start w:val="1"/>
      <w:numFmt w:val="lowerRoman"/>
      <w:lvlText w:val="%3."/>
      <w:lvlJc w:val="right"/>
      <w:pPr>
        <w:ind w:left="10440" w:hanging="180"/>
      </w:pPr>
    </w:lvl>
    <w:lvl w:ilvl="3" w:tplc="0409000F" w:tentative="1">
      <w:start w:val="1"/>
      <w:numFmt w:val="decimal"/>
      <w:lvlText w:val="%4."/>
      <w:lvlJc w:val="left"/>
      <w:pPr>
        <w:ind w:left="11160" w:hanging="360"/>
      </w:pPr>
    </w:lvl>
    <w:lvl w:ilvl="4" w:tplc="04090019" w:tentative="1">
      <w:start w:val="1"/>
      <w:numFmt w:val="lowerLetter"/>
      <w:lvlText w:val="%5."/>
      <w:lvlJc w:val="left"/>
      <w:pPr>
        <w:ind w:left="11880" w:hanging="360"/>
      </w:pPr>
    </w:lvl>
    <w:lvl w:ilvl="5" w:tplc="0409001B" w:tentative="1">
      <w:start w:val="1"/>
      <w:numFmt w:val="lowerRoman"/>
      <w:lvlText w:val="%6."/>
      <w:lvlJc w:val="right"/>
      <w:pPr>
        <w:ind w:left="12600" w:hanging="180"/>
      </w:pPr>
    </w:lvl>
    <w:lvl w:ilvl="6" w:tplc="0409000F" w:tentative="1">
      <w:start w:val="1"/>
      <w:numFmt w:val="decimal"/>
      <w:lvlText w:val="%7."/>
      <w:lvlJc w:val="left"/>
      <w:pPr>
        <w:ind w:left="13320" w:hanging="360"/>
      </w:pPr>
    </w:lvl>
    <w:lvl w:ilvl="7" w:tplc="04090019" w:tentative="1">
      <w:start w:val="1"/>
      <w:numFmt w:val="lowerLetter"/>
      <w:lvlText w:val="%8."/>
      <w:lvlJc w:val="left"/>
      <w:pPr>
        <w:ind w:left="14040" w:hanging="360"/>
      </w:pPr>
    </w:lvl>
    <w:lvl w:ilvl="8" w:tplc="0409001B" w:tentative="1">
      <w:start w:val="1"/>
      <w:numFmt w:val="lowerRoman"/>
      <w:lvlText w:val="%9."/>
      <w:lvlJc w:val="right"/>
      <w:pPr>
        <w:ind w:left="14760" w:hanging="180"/>
      </w:pPr>
    </w:lvl>
  </w:abstractNum>
  <w:abstractNum w:abstractNumId="5" w15:restartNumberingAfterBreak="0">
    <w:nsid w:val="47001F10"/>
    <w:multiLevelType w:val="hybridMultilevel"/>
    <w:tmpl w:val="D9287378"/>
    <w:lvl w:ilvl="0" w:tplc="CF6CF1DA">
      <w:start w:val="1"/>
      <w:numFmt w:val="lowerRoman"/>
      <w:lvlText w:val="%1)"/>
      <w:lvlJc w:val="left"/>
      <w:pPr>
        <w:ind w:left="1660" w:hanging="94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4F3E4E5B"/>
    <w:multiLevelType w:val="hybridMultilevel"/>
    <w:tmpl w:val="1AE87A56"/>
    <w:lvl w:ilvl="0" w:tplc="DF3807B6">
      <w:numFmt w:val="bullet"/>
      <w:lvlText w:val=""/>
      <w:lvlJc w:val="left"/>
      <w:pPr>
        <w:ind w:left="720" w:hanging="360"/>
      </w:pPr>
      <w:rPr>
        <w:rFonts w:ascii="Wingdings" w:eastAsia="MS ??"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0468EB"/>
    <w:multiLevelType w:val="hybridMultilevel"/>
    <w:tmpl w:val="D22EDE4A"/>
    <w:lvl w:ilvl="0" w:tplc="19B22B0C">
      <w:start w:val="4"/>
      <w:numFmt w:val="bullet"/>
      <w:lvlText w:val=""/>
      <w:lvlJc w:val="left"/>
      <w:pPr>
        <w:ind w:left="720" w:hanging="360"/>
      </w:pPr>
      <w:rPr>
        <w:rFonts w:ascii="Wingdings" w:eastAsia="MS ??" w:hAnsi="Wingdings"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5100241D"/>
    <w:multiLevelType w:val="hybridMultilevel"/>
    <w:tmpl w:val="3B161FA4"/>
    <w:lvl w:ilvl="0" w:tplc="1E7847E2">
      <w:start w:val="8"/>
      <w:numFmt w:val="bullet"/>
      <w:lvlText w:val=""/>
      <w:lvlJc w:val="left"/>
      <w:pPr>
        <w:ind w:left="720" w:hanging="360"/>
      </w:pPr>
      <w:rPr>
        <w:rFonts w:ascii="Wingdings" w:eastAsia="MS ??" w:hAnsi="Wingdings"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2013DFF"/>
    <w:multiLevelType w:val="hybridMultilevel"/>
    <w:tmpl w:val="9498F3E6"/>
    <w:lvl w:ilvl="0" w:tplc="239EC8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9AB3D76"/>
    <w:multiLevelType w:val="hybridMultilevel"/>
    <w:tmpl w:val="9A264880"/>
    <w:lvl w:ilvl="0" w:tplc="01BE10BE">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619C69AB"/>
    <w:multiLevelType w:val="hybridMultilevel"/>
    <w:tmpl w:val="616E42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DB62A9"/>
    <w:multiLevelType w:val="hybridMultilevel"/>
    <w:tmpl w:val="75F0F7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21F510B"/>
    <w:multiLevelType w:val="hybridMultilevel"/>
    <w:tmpl w:val="711CE3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1B4460"/>
    <w:multiLevelType w:val="hybridMultilevel"/>
    <w:tmpl w:val="3E48BAE6"/>
    <w:lvl w:ilvl="0" w:tplc="23583BF2">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4"/>
  </w:num>
  <w:num w:numId="4">
    <w:abstractNumId w:val="11"/>
  </w:num>
  <w:num w:numId="5">
    <w:abstractNumId w:val="13"/>
  </w:num>
  <w:num w:numId="6">
    <w:abstractNumId w:val="14"/>
  </w:num>
  <w:num w:numId="7">
    <w:abstractNumId w:val="3"/>
  </w:num>
  <w:num w:numId="8">
    <w:abstractNumId w:val="6"/>
  </w:num>
  <w:num w:numId="9">
    <w:abstractNumId w:val="10"/>
  </w:num>
  <w:num w:numId="10">
    <w:abstractNumId w:val="12"/>
  </w:num>
  <w:num w:numId="11">
    <w:abstractNumId w:val="1"/>
  </w:num>
  <w:num w:numId="12">
    <w:abstractNumId w:val="7"/>
  </w:num>
  <w:num w:numId="13">
    <w:abstractNumId w:val="8"/>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752CA00D-1BFC-45BB-81E3-52EB840C57DF}"/>
    <w:docVar w:name="dgnword-eventsink" w:val="65695688"/>
  </w:docVars>
  <w:rsids>
    <w:rsidRoot w:val="00645E50"/>
    <w:rsid w:val="00000294"/>
    <w:rsid w:val="000004B5"/>
    <w:rsid w:val="00000DAE"/>
    <w:rsid w:val="0000130C"/>
    <w:rsid w:val="000013C9"/>
    <w:rsid w:val="000013FE"/>
    <w:rsid w:val="00001C00"/>
    <w:rsid w:val="00002CB4"/>
    <w:rsid w:val="00002D40"/>
    <w:rsid w:val="000035D2"/>
    <w:rsid w:val="00003762"/>
    <w:rsid w:val="000041E1"/>
    <w:rsid w:val="000041F1"/>
    <w:rsid w:val="00004866"/>
    <w:rsid w:val="000049AC"/>
    <w:rsid w:val="00004E3F"/>
    <w:rsid w:val="000058FD"/>
    <w:rsid w:val="00005FB0"/>
    <w:rsid w:val="000062A2"/>
    <w:rsid w:val="00006EF1"/>
    <w:rsid w:val="00007A9D"/>
    <w:rsid w:val="0001004E"/>
    <w:rsid w:val="00010518"/>
    <w:rsid w:val="0001106B"/>
    <w:rsid w:val="000111FA"/>
    <w:rsid w:val="000117C9"/>
    <w:rsid w:val="000118ED"/>
    <w:rsid w:val="00011CF4"/>
    <w:rsid w:val="00011E28"/>
    <w:rsid w:val="00012765"/>
    <w:rsid w:val="0001285C"/>
    <w:rsid w:val="00012A44"/>
    <w:rsid w:val="00013233"/>
    <w:rsid w:val="00013AAE"/>
    <w:rsid w:val="00013C9E"/>
    <w:rsid w:val="00014145"/>
    <w:rsid w:val="0001422E"/>
    <w:rsid w:val="000145B4"/>
    <w:rsid w:val="0001506A"/>
    <w:rsid w:val="000155E3"/>
    <w:rsid w:val="000159F9"/>
    <w:rsid w:val="00015F70"/>
    <w:rsid w:val="0001619D"/>
    <w:rsid w:val="0001646B"/>
    <w:rsid w:val="00016485"/>
    <w:rsid w:val="00016754"/>
    <w:rsid w:val="00016758"/>
    <w:rsid w:val="000169B2"/>
    <w:rsid w:val="00016AA8"/>
    <w:rsid w:val="00016C73"/>
    <w:rsid w:val="00016E5D"/>
    <w:rsid w:val="00017418"/>
    <w:rsid w:val="0001759A"/>
    <w:rsid w:val="00017BCB"/>
    <w:rsid w:val="00017CC4"/>
    <w:rsid w:val="00017E15"/>
    <w:rsid w:val="00017E56"/>
    <w:rsid w:val="000202C4"/>
    <w:rsid w:val="000208DE"/>
    <w:rsid w:val="00020A8E"/>
    <w:rsid w:val="00020D3F"/>
    <w:rsid w:val="00021975"/>
    <w:rsid w:val="00021F6D"/>
    <w:rsid w:val="00022074"/>
    <w:rsid w:val="00022094"/>
    <w:rsid w:val="00022A10"/>
    <w:rsid w:val="00022F7D"/>
    <w:rsid w:val="00023037"/>
    <w:rsid w:val="000231A6"/>
    <w:rsid w:val="00023519"/>
    <w:rsid w:val="00024A1B"/>
    <w:rsid w:val="000251ED"/>
    <w:rsid w:val="00025AA0"/>
    <w:rsid w:val="00025B59"/>
    <w:rsid w:val="00025F22"/>
    <w:rsid w:val="0002619A"/>
    <w:rsid w:val="00026A25"/>
    <w:rsid w:val="00026CC2"/>
    <w:rsid w:val="00027529"/>
    <w:rsid w:val="00027696"/>
    <w:rsid w:val="00030A03"/>
    <w:rsid w:val="00031516"/>
    <w:rsid w:val="00031843"/>
    <w:rsid w:val="000319EA"/>
    <w:rsid w:val="00031BAD"/>
    <w:rsid w:val="000321C9"/>
    <w:rsid w:val="00032677"/>
    <w:rsid w:val="000327A6"/>
    <w:rsid w:val="00032B10"/>
    <w:rsid w:val="00032CE8"/>
    <w:rsid w:val="000333DC"/>
    <w:rsid w:val="00033851"/>
    <w:rsid w:val="000339B2"/>
    <w:rsid w:val="00033EAA"/>
    <w:rsid w:val="00035A3D"/>
    <w:rsid w:val="000366E0"/>
    <w:rsid w:val="00036871"/>
    <w:rsid w:val="00036DAE"/>
    <w:rsid w:val="00037CB8"/>
    <w:rsid w:val="0004004C"/>
    <w:rsid w:val="00040574"/>
    <w:rsid w:val="00040739"/>
    <w:rsid w:val="00040967"/>
    <w:rsid w:val="000411C2"/>
    <w:rsid w:val="00041F5D"/>
    <w:rsid w:val="000420AA"/>
    <w:rsid w:val="000422B1"/>
    <w:rsid w:val="000427E4"/>
    <w:rsid w:val="0004304A"/>
    <w:rsid w:val="00043271"/>
    <w:rsid w:val="00043C3A"/>
    <w:rsid w:val="00043FE5"/>
    <w:rsid w:val="0004441A"/>
    <w:rsid w:val="00044681"/>
    <w:rsid w:val="000446CE"/>
    <w:rsid w:val="0004485D"/>
    <w:rsid w:val="0004595D"/>
    <w:rsid w:val="00046360"/>
    <w:rsid w:val="000469A3"/>
    <w:rsid w:val="00047D8A"/>
    <w:rsid w:val="00047F4F"/>
    <w:rsid w:val="0005023B"/>
    <w:rsid w:val="00050259"/>
    <w:rsid w:val="00050619"/>
    <w:rsid w:val="00050A4B"/>
    <w:rsid w:val="00050B59"/>
    <w:rsid w:val="00051860"/>
    <w:rsid w:val="00051B2F"/>
    <w:rsid w:val="00051C01"/>
    <w:rsid w:val="00051D76"/>
    <w:rsid w:val="00052178"/>
    <w:rsid w:val="000530BB"/>
    <w:rsid w:val="00053623"/>
    <w:rsid w:val="00053D6F"/>
    <w:rsid w:val="00054431"/>
    <w:rsid w:val="00054BDD"/>
    <w:rsid w:val="00054FC6"/>
    <w:rsid w:val="00055466"/>
    <w:rsid w:val="00055748"/>
    <w:rsid w:val="00055B57"/>
    <w:rsid w:val="000569B1"/>
    <w:rsid w:val="0005745E"/>
    <w:rsid w:val="00057527"/>
    <w:rsid w:val="00057578"/>
    <w:rsid w:val="00057905"/>
    <w:rsid w:val="00057993"/>
    <w:rsid w:val="0006010B"/>
    <w:rsid w:val="00060349"/>
    <w:rsid w:val="00060474"/>
    <w:rsid w:val="00060509"/>
    <w:rsid w:val="000605A2"/>
    <w:rsid w:val="0006091B"/>
    <w:rsid w:val="00060989"/>
    <w:rsid w:val="00060A5D"/>
    <w:rsid w:val="00060FB6"/>
    <w:rsid w:val="0006162F"/>
    <w:rsid w:val="00061774"/>
    <w:rsid w:val="000619DF"/>
    <w:rsid w:val="00061A01"/>
    <w:rsid w:val="00061F08"/>
    <w:rsid w:val="00062ADF"/>
    <w:rsid w:val="00062E75"/>
    <w:rsid w:val="00062F01"/>
    <w:rsid w:val="00063530"/>
    <w:rsid w:val="000646CB"/>
    <w:rsid w:val="00065F4F"/>
    <w:rsid w:val="00066EA8"/>
    <w:rsid w:val="000674E6"/>
    <w:rsid w:val="000676F3"/>
    <w:rsid w:val="0007006A"/>
    <w:rsid w:val="00070382"/>
    <w:rsid w:val="00070FEE"/>
    <w:rsid w:val="000716B3"/>
    <w:rsid w:val="00071A49"/>
    <w:rsid w:val="00072385"/>
    <w:rsid w:val="00072972"/>
    <w:rsid w:val="00072A50"/>
    <w:rsid w:val="000734C6"/>
    <w:rsid w:val="00073A01"/>
    <w:rsid w:val="00073BD4"/>
    <w:rsid w:val="00073C75"/>
    <w:rsid w:val="000744EF"/>
    <w:rsid w:val="00075246"/>
    <w:rsid w:val="000753B7"/>
    <w:rsid w:val="00075DD9"/>
    <w:rsid w:val="000767CA"/>
    <w:rsid w:val="0007704D"/>
    <w:rsid w:val="000770D6"/>
    <w:rsid w:val="000771B3"/>
    <w:rsid w:val="00077320"/>
    <w:rsid w:val="00077BE2"/>
    <w:rsid w:val="00077D0D"/>
    <w:rsid w:val="00077FBC"/>
    <w:rsid w:val="00077FBE"/>
    <w:rsid w:val="0008039A"/>
    <w:rsid w:val="00081DA0"/>
    <w:rsid w:val="000823E9"/>
    <w:rsid w:val="00082426"/>
    <w:rsid w:val="00082C91"/>
    <w:rsid w:val="00082EB5"/>
    <w:rsid w:val="00083575"/>
    <w:rsid w:val="00083665"/>
    <w:rsid w:val="00083740"/>
    <w:rsid w:val="00084172"/>
    <w:rsid w:val="0008419D"/>
    <w:rsid w:val="000858E9"/>
    <w:rsid w:val="00085C6A"/>
    <w:rsid w:val="00085FFE"/>
    <w:rsid w:val="000860AA"/>
    <w:rsid w:val="000866BF"/>
    <w:rsid w:val="000868D6"/>
    <w:rsid w:val="00087F3C"/>
    <w:rsid w:val="00090EA0"/>
    <w:rsid w:val="00090F78"/>
    <w:rsid w:val="00091512"/>
    <w:rsid w:val="00091A9C"/>
    <w:rsid w:val="00091B8E"/>
    <w:rsid w:val="00092334"/>
    <w:rsid w:val="000928B1"/>
    <w:rsid w:val="00092FF3"/>
    <w:rsid w:val="0009364E"/>
    <w:rsid w:val="00095964"/>
    <w:rsid w:val="00095ACF"/>
    <w:rsid w:val="00096676"/>
    <w:rsid w:val="00096EF8"/>
    <w:rsid w:val="00096F6C"/>
    <w:rsid w:val="000974A6"/>
    <w:rsid w:val="00097645"/>
    <w:rsid w:val="000977C2"/>
    <w:rsid w:val="00097B09"/>
    <w:rsid w:val="000A0BCB"/>
    <w:rsid w:val="000A0EB0"/>
    <w:rsid w:val="000A1F85"/>
    <w:rsid w:val="000A2797"/>
    <w:rsid w:val="000A2C7C"/>
    <w:rsid w:val="000A2D64"/>
    <w:rsid w:val="000A32E0"/>
    <w:rsid w:val="000A33C6"/>
    <w:rsid w:val="000A3D80"/>
    <w:rsid w:val="000A49FF"/>
    <w:rsid w:val="000A4C4F"/>
    <w:rsid w:val="000A553A"/>
    <w:rsid w:val="000A5C20"/>
    <w:rsid w:val="000A5DCD"/>
    <w:rsid w:val="000A5E04"/>
    <w:rsid w:val="000A5F3D"/>
    <w:rsid w:val="000A6727"/>
    <w:rsid w:val="000A673A"/>
    <w:rsid w:val="000A6C59"/>
    <w:rsid w:val="000A6F22"/>
    <w:rsid w:val="000A7830"/>
    <w:rsid w:val="000B0564"/>
    <w:rsid w:val="000B0847"/>
    <w:rsid w:val="000B1B5E"/>
    <w:rsid w:val="000B239B"/>
    <w:rsid w:val="000B2C88"/>
    <w:rsid w:val="000B2F4B"/>
    <w:rsid w:val="000B313C"/>
    <w:rsid w:val="000B364A"/>
    <w:rsid w:val="000B3897"/>
    <w:rsid w:val="000B3BDB"/>
    <w:rsid w:val="000B3C67"/>
    <w:rsid w:val="000B3E12"/>
    <w:rsid w:val="000B4963"/>
    <w:rsid w:val="000B4AA2"/>
    <w:rsid w:val="000B5361"/>
    <w:rsid w:val="000B549E"/>
    <w:rsid w:val="000B576E"/>
    <w:rsid w:val="000B5883"/>
    <w:rsid w:val="000B58ED"/>
    <w:rsid w:val="000B5F15"/>
    <w:rsid w:val="000B661C"/>
    <w:rsid w:val="000B68A7"/>
    <w:rsid w:val="000B6D39"/>
    <w:rsid w:val="000B70D4"/>
    <w:rsid w:val="000B7197"/>
    <w:rsid w:val="000C016E"/>
    <w:rsid w:val="000C03E2"/>
    <w:rsid w:val="000C0587"/>
    <w:rsid w:val="000C0F60"/>
    <w:rsid w:val="000C1033"/>
    <w:rsid w:val="000C1A6E"/>
    <w:rsid w:val="000C1CBF"/>
    <w:rsid w:val="000C207A"/>
    <w:rsid w:val="000C21C3"/>
    <w:rsid w:val="000C22C2"/>
    <w:rsid w:val="000C2CF2"/>
    <w:rsid w:val="000C322F"/>
    <w:rsid w:val="000C3BC9"/>
    <w:rsid w:val="000C3C82"/>
    <w:rsid w:val="000C52F8"/>
    <w:rsid w:val="000C544C"/>
    <w:rsid w:val="000C54D5"/>
    <w:rsid w:val="000C56F6"/>
    <w:rsid w:val="000C66A9"/>
    <w:rsid w:val="000C7097"/>
    <w:rsid w:val="000C71EA"/>
    <w:rsid w:val="000C78EE"/>
    <w:rsid w:val="000D027E"/>
    <w:rsid w:val="000D09AD"/>
    <w:rsid w:val="000D0D58"/>
    <w:rsid w:val="000D1BED"/>
    <w:rsid w:val="000D1C32"/>
    <w:rsid w:val="000D1C92"/>
    <w:rsid w:val="000D219D"/>
    <w:rsid w:val="000D2D4D"/>
    <w:rsid w:val="000D2F1D"/>
    <w:rsid w:val="000D338F"/>
    <w:rsid w:val="000D33AE"/>
    <w:rsid w:val="000D36DA"/>
    <w:rsid w:val="000D396B"/>
    <w:rsid w:val="000D413D"/>
    <w:rsid w:val="000D4266"/>
    <w:rsid w:val="000D4396"/>
    <w:rsid w:val="000D442B"/>
    <w:rsid w:val="000D474A"/>
    <w:rsid w:val="000D49A0"/>
    <w:rsid w:val="000D4FFB"/>
    <w:rsid w:val="000D505C"/>
    <w:rsid w:val="000D562E"/>
    <w:rsid w:val="000D73E8"/>
    <w:rsid w:val="000D76D9"/>
    <w:rsid w:val="000D7BC3"/>
    <w:rsid w:val="000D7C7E"/>
    <w:rsid w:val="000D7C93"/>
    <w:rsid w:val="000E0ADC"/>
    <w:rsid w:val="000E1607"/>
    <w:rsid w:val="000E1EA4"/>
    <w:rsid w:val="000E2002"/>
    <w:rsid w:val="000E226F"/>
    <w:rsid w:val="000E2667"/>
    <w:rsid w:val="000E28BE"/>
    <w:rsid w:val="000E29B9"/>
    <w:rsid w:val="000E2A11"/>
    <w:rsid w:val="000E2BC0"/>
    <w:rsid w:val="000E38B9"/>
    <w:rsid w:val="000E3A65"/>
    <w:rsid w:val="000E46D8"/>
    <w:rsid w:val="000E4B76"/>
    <w:rsid w:val="000E4CE1"/>
    <w:rsid w:val="000E4FD7"/>
    <w:rsid w:val="000E53E9"/>
    <w:rsid w:val="000E5521"/>
    <w:rsid w:val="000E5CB9"/>
    <w:rsid w:val="000E5D8F"/>
    <w:rsid w:val="000E650E"/>
    <w:rsid w:val="000E68CD"/>
    <w:rsid w:val="000E747F"/>
    <w:rsid w:val="000E7F5A"/>
    <w:rsid w:val="000F0214"/>
    <w:rsid w:val="000F0275"/>
    <w:rsid w:val="000F15DB"/>
    <w:rsid w:val="000F16FC"/>
    <w:rsid w:val="000F1842"/>
    <w:rsid w:val="000F1C25"/>
    <w:rsid w:val="000F1D10"/>
    <w:rsid w:val="000F1F9D"/>
    <w:rsid w:val="000F204E"/>
    <w:rsid w:val="000F2276"/>
    <w:rsid w:val="000F3AA4"/>
    <w:rsid w:val="000F47B6"/>
    <w:rsid w:val="000F5CB9"/>
    <w:rsid w:val="000F5DBF"/>
    <w:rsid w:val="000F6388"/>
    <w:rsid w:val="000F63B6"/>
    <w:rsid w:val="000F6941"/>
    <w:rsid w:val="000F70DF"/>
    <w:rsid w:val="000F72D7"/>
    <w:rsid w:val="000F7AFA"/>
    <w:rsid w:val="00100073"/>
    <w:rsid w:val="001000EF"/>
    <w:rsid w:val="001008A1"/>
    <w:rsid w:val="00100F27"/>
    <w:rsid w:val="00101861"/>
    <w:rsid w:val="00102042"/>
    <w:rsid w:val="00102638"/>
    <w:rsid w:val="00102815"/>
    <w:rsid w:val="001029D4"/>
    <w:rsid w:val="00102F74"/>
    <w:rsid w:val="001032F6"/>
    <w:rsid w:val="0010349E"/>
    <w:rsid w:val="00103EDD"/>
    <w:rsid w:val="00104234"/>
    <w:rsid w:val="0010493E"/>
    <w:rsid w:val="00105319"/>
    <w:rsid w:val="00105635"/>
    <w:rsid w:val="00105956"/>
    <w:rsid w:val="00105A55"/>
    <w:rsid w:val="00105DB1"/>
    <w:rsid w:val="0010610A"/>
    <w:rsid w:val="0010621B"/>
    <w:rsid w:val="001065DD"/>
    <w:rsid w:val="00106777"/>
    <w:rsid w:val="00106849"/>
    <w:rsid w:val="001069BB"/>
    <w:rsid w:val="00106AB7"/>
    <w:rsid w:val="00106C52"/>
    <w:rsid w:val="00106CDD"/>
    <w:rsid w:val="001074A8"/>
    <w:rsid w:val="00107808"/>
    <w:rsid w:val="00107B39"/>
    <w:rsid w:val="00110316"/>
    <w:rsid w:val="00110342"/>
    <w:rsid w:val="00111094"/>
    <w:rsid w:val="0011116E"/>
    <w:rsid w:val="001111F1"/>
    <w:rsid w:val="00111B09"/>
    <w:rsid w:val="001120CC"/>
    <w:rsid w:val="001126C1"/>
    <w:rsid w:val="00113732"/>
    <w:rsid w:val="00113745"/>
    <w:rsid w:val="001146CE"/>
    <w:rsid w:val="00114A81"/>
    <w:rsid w:val="00114F84"/>
    <w:rsid w:val="00115368"/>
    <w:rsid w:val="0011562D"/>
    <w:rsid w:val="00115CC5"/>
    <w:rsid w:val="00115EF3"/>
    <w:rsid w:val="00116308"/>
    <w:rsid w:val="00116385"/>
    <w:rsid w:val="00116A20"/>
    <w:rsid w:val="00116A90"/>
    <w:rsid w:val="00116E15"/>
    <w:rsid w:val="00116EAD"/>
    <w:rsid w:val="00116F54"/>
    <w:rsid w:val="00117155"/>
    <w:rsid w:val="00117911"/>
    <w:rsid w:val="001208AD"/>
    <w:rsid w:val="0012198C"/>
    <w:rsid w:val="00121D29"/>
    <w:rsid w:val="0012201E"/>
    <w:rsid w:val="0012264E"/>
    <w:rsid w:val="00122A06"/>
    <w:rsid w:val="00122EF1"/>
    <w:rsid w:val="00122F71"/>
    <w:rsid w:val="00123647"/>
    <w:rsid w:val="00123C0F"/>
    <w:rsid w:val="00123EDF"/>
    <w:rsid w:val="00124634"/>
    <w:rsid w:val="00124F96"/>
    <w:rsid w:val="00125222"/>
    <w:rsid w:val="00125B6F"/>
    <w:rsid w:val="00125BDD"/>
    <w:rsid w:val="0013035D"/>
    <w:rsid w:val="001307E9"/>
    <w:rsid w:val="00130C20"/>
    <w:rsid w:val="00130F97"/>
    <w:rsid w:val="00130FC6"/>
    <w:rsid w:val="00131797"/>
    <w:rsid w:val="00131CBB"/>
    <w:rsid w:val="00132130"/>
    <w:rsid w:val="00132213"/>
    <w:rsid w:val="0013238D"/>
    <w:rsid w:val="001323F9"/>
    <w:rsid w:val="001330DA"/>
    <w:rsid w:val="0013340B"/>
    <w:rsid w:val="001335BA"/>
    <w:rsid w:val="001338F8"/>
    <w:rsid w:val="00133AB9"/>
    <w:rsid w:val="001343DE"/>
    <w:rsid w:val="00134639"/>
    <w:rsid w:val="0013472E"/>
    <w:rsid w:val="00135981"/>
    <w:rsid w:val="00135FB1"/>
    <w:rsid w:val="00136CBE"/>
    <w:rsid w:val="001374C9"/>
    <w:rsid w:val="0013763A"/>
    <w:rsid w:val="00137F65"/>
    <w:rsid w:val="00140766"/>
    <w:rsid w:val="001407AA"/>
    <w:rsid w:val="00140ECD"/>
    <w:rsid w:val="001411C7"/>
    <w:rsid w:val="00141AA7"/>
    <w:rsid w:val="00141DDE"/>
    <w:rsid w:val="00141E77"/>
    <w:rsid w:val="00141ED4"/>
    <w:rsid w:val="0014233C"/>
    <w:rsid w:val="00142514"/>
    <w:rsid w:val="00143115"/>
    <w:rsid w:val="00143474"/>
    <w:rsid w:val="0014383A"/>
    <w:rsid w:val="0014387F"/>
    <w:rsid w:val="00144840"/>
    <w:rsid w:val="00144933"/>
    <w:rsid w:val="0014493F"/>
    <w:rsid w:val="00144ABF"/>
    <w:rsid w:val="0014526A"/>
    <w:rsid w:val="001455BB"/>
    <w:rsid w:val="001455BC"/>
    <w:rsid w:val="0014599A"/>
    <w:rsid w:val="00145A57"/>
    <w:rsid w:val="00145C03"/>
    <w:rsid w:val="00146078"/>
    <w:rsid w:val="00146C25"/>
    <w:rsid w:val="001471B1"/>
    <w:rsid w:val="001500B5"/>
    <w:rsid w:val="00150212"/>
    <w:rsid w:val="00150BC5"/>
    <w:rsid w:val="00151084"/>
    <w:rsid w:val="001513A2"/>
    <w:rsid w:val="0015162A"/>
    <w:rsid w:val="001519DC"/>
    <w:rsid w:val="001519DD"/>
    <w:rsid w:val="001520E5"/>
    <w:rsid w:val="0015240D"/>
    <w:rsid w:val="0015241D"/>
    <w:rsid w:val="00152763"/>
    <w:rsid w:val="00153082"/>
    <w:rsid w:val="0015312D"/>
    <w:rsid w:val="001532A7"/>
    <w:rsid w:val="00153801"/>
    <w:rsid w:val="00153931"/>
    <w:rsid w:val="001539B4"/>
    <w:rsid w:val="001539F1"/>
    <w:rsid w:val="00153AF6"/>
    <w:rsid w:val="00153E71"/>
    <w:rsid w:val="00155055"/>
    <w:rsid w:val="00155186"/>
    <w:rsid w:val="001556B6"/>
    <w:rsid w:val="00155A05"/>
    <w:rsid w:val="00155ABE"/>
    <w:rsid w:val="001563B7"/>
    <w:rsid w:val="0015683F"/>
    <w:rsid w:val="0015697C"/>
    <w:rsid w:val="00156C3D"/>
    <w:rsid w:val="001571FF"/>
    <w:rsid w:val="00157327"/>
    <w:rsid w:val="00157EE2"/>
    <w:rsid w:val="001606E2"/>
    <w:rsid w:val="00160D70"/>
    <w:rsid w:val="0016117A"/>
    <w:rsid w:val="001616AD"/>
    <w:rsid w:val="001616E7"/>
    <w:rsid w:val="001618A0"/>
    <w:rsid w:val="001621EC"/>
    <w:rsid w:val="00162203"/>
    <w:rsid w:val="00162BDD"/>
    <w:rsid w:val="0016346A"/>
    <w:rsid w:val="00163499"/>
    <w:rsid w:val="001635DB"/>
    <w:rsid w:val="0016360C"/>
    <w:rsid w:val="00163D11"/>
    <w:rsid w:val="00163D5D"/>
    <w:rsid w:val="0016417B"/>
    <w:rsid w:val="001642C6"/>
    <w:rsid w:val="00164A34"/>
    <w:rsid w:val="00164ADC"/>
    <w:rsid w:val="001658BE"/>
    <w:rsid w:val="00165D55"/>
    <w:rsid w:val="00166126"/>
    <w:rsid w:val="00166607"/>
    <w:rsid w:val="0016687C"/>
    <w:rsid w:val="00166963"/>
    <w:rsid w:val="00167126"/>
    <w:rsid w:val="0016750A"/>
    <w:rsid w:val="001676C6"/>
    <w:rsid w:val="00167DD9"/>
    <w:rsid w:val="00170112"/>
    <w:rsid w:val="001705BD"/>
    <w:rsid w:val="00170AF7"/>
    <w:rsid w:val="00170D6C"/>
    <w:rsid w:val="00171F5E"/>
    <w:rsid w:val="00172A5E"/>
    <w:rsid w:val="00173859"/>
    <w:rsid w:val="00173B4D"/>
    <w:rsid w:val="00173DE6"/>
    <w:rsid w:val="00174C95"/>
    <w:rsid w:val="0017558D"/>
    <w:rsid w:val="0017681F"/>
    <w:rsid w:val="00176BD7"/>
    <w:rsid w:val="00177D05"/>
    <w:rsid w:val="00180333"/>
    <w:rsid w:val="00180898"/>
    <w:rsid w:val="00182586"/>
    <w:rsid w:val="0018355E"/>
    <w:rsid w:val="001835E9"/>
    <w:rsid w:val="001837BA"/>
    <w:rsid w:val="00183BAE"/>
    <w:rsid w:val="00183D95"/>
    <w:rsid w:val="00184182"/>
    <w:rsid w:val="001851A0"/>
    <w:rsid w:val="00186552"/>
    <w:rsid w:val="00187425"/>
    <w:rsid w:val="001901D6"/>
    <w:rsid w:val="001904A0"/>
    <w:rsid w:val="00190ADB"/>
    <w:rsid w:val="00190D79"/>
    <w:rsid w:val="00190DE9"/>
    <w:rsid w:val="00191051"/>
    <w:rsid w:val="0019124A"/>
    <w:rsid w:val="001924F3"/>
    <w:rsid w:val="00193504"/>
    <w:rsid w:val="00193642"/>
    <w:rsid w:val="00194184"/>
    <w:rsid w:val="001950C8"/>
    <w:rsid w:val="00197BD0"/>
    <w:rsid w:val="00197BF3"/>
    <w:rsid w:val="001A064A"/>
    <w:rsid w:val="001A0D81"/>
    <w:rsid w:val="001A0EA4"/>
    <w:rsid w:val="001A151F"/>
    <w:rsid w:val="001A18B2"/>
    <w:rsid w:val="001A1CC8"/>
    <w:rsid w:val="001A2489"/>
    <w:rsid w:val="001A2ED3"/>
    <w:rsid w:val="001A47DB"/>
    <w:rsid w:val="001A5588"/>
    <w:rsid w:val="001A55EF"/>
    <w:rsid w:val="001A56AB"/>
    <w:rsid w:val="001A634D"/>
    <w:rsid w:val="001A6506"/>
    <w:rsid w:val="001A6E6B"/>
    <w:rsid w:val="001A7406"/>
    <w:rsid w:val="001A7ABB"/>
    <w:rsid w:val="001B059E"/>
    <w:rsid w:val="001B07B6"/>
    <w:rsid w:val="001B0BFD"/>
    <w:rsid w:val="001B14B9"/>
    <w:rsid w:val="001B16D5"/>
    <w:rsid w:val="001B18A6"/>
    <w:rsid w:val="001B19FD"/>
    <w:rsid w:val="001B1AA8"/>
    <w:rsid w:val="001B1B1D"/>
    <w:rsid w:val="001B2558"/>
    <w:rsid w:val="001B37E0"/>
    <w:rsid w:val="001B3BB2"/>
    <w:rsid w:val="001B401E"/>
    <w:rsid w:val="001B407F"/>
    <w:rsid w:val="001B4089"/>
    <w:rsid w:val="001B451F"/>
    <w:rsid w:val="001B4B53"/>
    <w:rsid w:val="001B4E69"/>
    <w:rsid w:val="001B59E4"/>
    <w:rsid w:val="001B5DEE"/>
    <w:rsid w:val="001B5E86"/>
    <w:rsid w:val="001B6065"/>
    <w:rsid w:val="001B61E5"/>
    <w:rsid w:val="001B68C5"/>
    <w:rsid w:val="001B6976"/>
    <w:rsid w:val="001B708C"/>
    <w:rsid w:val="001B70CB"/>
    <w:rsid w:val="001B7478"/>
    <w:rsid w:val="001B7486"/>
    <w:rsid w:val="001B7914"/>
    <w:rsid w:val="001B7AB0"/>
    <w:rsid w:val="001C014E"/>
    <w:rsid w:val="001C0354"/>
    <w:rsid w:val="001C0897"/>
    <w:rsid w:val="001C0A58"/>
    <w:rsid w:val="001C0C71"/>
    <w:rsid w:val="001C126E"/>
    <w:rsid w:val="001C1461"/>
    <w:rsid w:val="001C190D"/>
    <w:rsid w:val="001C2761"/>
    <w:rsid w:val="001C2DB4"/>
    <w:rsid w:val="001C35F9"/>
    <w:rsid w:val="001C3DF8"/>
    <w:rsid w:val="001C417B"/>
    <w:rsid w:val="001C45B2"/>
    <w:rsid w:val="001C461A"/>
    <w:rsid w:val="001C46D7"/>
    <w:rsid w:val="001C47E2"/>
    <w:rsid w:val="001C4869"/>
    <w:rsid w:val="001C4BBD"/>
    <w:rsid w:val="001C4C70"/>
    <w:rsid w:val="001C571F"/>
    <w:rsid w:val="001C5CE0"/>
    <w:rsid w:val="001C5DB5"/>
    <w:rsid w:val="001C68D9"/>
    <w:rsid w:val="001C6C4B"/>
    <w:rsid w:val="001C6D02"/>
    <w:rsid w:val="001C7338"/>
    <w:rsid w:val="001C75EC"/>
    <w:rsid w:val="001D00E9"/>
    <w:rsid w:val="001D036D"/>
    <w:rsid w:val="001D09BF"/>
    <w:rsid w:val="001D0FAE"/>
    <w:rsid w:val="001D10F5"/>
    <w:rsid w:val="001D19B6"/>
    <w:rsid w:val="001D1AE8"/>
    <w:rsid w:val="001D1B05"/>
    <w:rsid w:val="001D1D96"/>
    <w:rsid w:val="001D2616"/>
    <w:rsid w:val="001D2696"/>
    <w:rsid w:val="001D27E7"/>
    <w:rsid w:val="001D2D94"/>
    <w:rsid w:val="001D333D"/>
    <w:rsid w:val="001D3629"/>
    <w:rsid w:val="001D40C9"/>
    <w:rsid w:val="001D4461"/>
    <w:rsid w:val="001D519E"/>
    <w:rsid w:val="001D534E"/>
    <w:rsid w:val="001D5513"/>
    <w:rsid w:val="001D555F"/>
    <w:rsid w:val="001D6143"/>
    <w:rsid w:val="001D6893"/>
    <w:rsid w:val="001D6AA5"/>
    <w:rsid w:val="001D6F79"/>
    <w:rsid w:val="001D70EC"/>
    <w:rsid w:val="001D7C54"/>
    <w:rsid w:val="001D7ECA"/>
    <w:rsid w:val="001D7FA8"/>
    <w:rsid w:val="001E001C"/>
    <w:rsid w:val="001E0910"/>
    <w:rsid w:val="001E1290"/>
    <w:rsid w:val="001E16A0"/>
    <w:rsid w:val="001E1939"/>
    <w:rsid w:val="001E198C"/>
    <w:rsid w:val="001E1B28"/>
    <w:rsid w:val="001E1F86"/>
    <w:rsid w:val="001E20D4"/>
    <w:rsid w:val="001E2254"/>
    <w:rsid w:val="001E2801"/>
    <w:rsid w:val="001E2CE8"/>
    <w:rsid w:val="001E2D21"/>
    <w:rsid w:val="001E2E4C"/>
    <w:rsid w:val="001E2E72"/>
    <w:rsid w:val="001E2F2C"/>
    <w:rsid w:val="001E3322"/>
    <w:rsid w:val="001E362B"/>
    <w:rsid w:val="001E3A0E"/>
    <w:rsid w:val="001E3BC4"/>
    <w:rsid w:val="001E403F"/>
    <w:rsid w:val="001E433A"/>
    <w:rsid w:val="001E4CE0"/>
    <w:rsid w:val="001E5888"/>
    <w:rsid w:val="001E611D"/>
    <w:rsid w:val="001E650D"/>
    <w:rsid w:val="001E6713"/>
    <w:rsid w:val="001E6818"/>
    <w:rsid w:val="001E6DFB"/>
    <w:rsid w:val="001F03A3"/>
    <w:rsid w:val="001F099B"/>
    <w:rsid w:val="001F0B64"/>
    <w:rsid w:val="001F0FD0"/>
    <w:rsid w:val="001F1DC7"/>
    <w:rsid w:val="001F1E0D"/>
    <w:rsid w:val="001F1FDD"/>
    <w:rsid w:val="001F2607"/>
    <w:rsid w:val="001F27B1"/>
    <w:rsid w:val="001F2AD7"/>
    <w:rsid w:val="001F2CDB"/>
    <w:rsid w:val="001F3789"/>
    <w:rsid w:val="001F3B8C"/>
    <w:rsid w:val="001F3CFD"/>
    <w:rsid w:val="001F47DE"/>
    <w:rsid w:val="001F4B7F"/>
    <w:rsid w:val="001F5252"/>
    <w:rsid w:val="001F52FE"/>
    <w:rsid w:val="001F5348"/>
    <w:rsid w:val="001F559B"/>
    <w:rsid w:val="001F5816"/>
    <w:rsid w:val="001F5C13"/>
    <w:rsid w:val="001F5CFD"/>
    <w:rsid w:val="001F5D75"/>
    <w:rsid w:val="001F5E66"/>
    <w:rsid w:val="001F612F"/>
    <w:rsid w:val="001F6825"/>
    <w:rsid w:val="001F6857"/>
    <w:rsid w:val="001F6A44"/>
    <w:rsid w:val="001F6DD0"/>
    <w:rsid w:val="001F7B47"/>
    <w:rsid w:val="00200720"/>
    <w:rsid w:val="00200764"/>
    <w:rsid w:val="00200B07"/>
    <w:rsid w:val="002014D7"/>
    <w:rsid w:val="002023F5"/>
    <w:rsid w:val="002024C9"/>
    <w:rsid w:val="002028ED"/>
    <w:rsid w:val="00202AAA"/>
    <w:rsid w:val="00202F0E"/>
    <w:rsid w:val="00203248"/>
    <w:rsid w:val="002033DA"/>
    <w:rsid w:val="00203882"/>
    <w:rsid w:val="00203B51"/>
    <w:rsid w:val="00203D1D"/>
    <w:rsid w:val="00203E6E"/>
    <w:rsid w:val="002041F1"/>
    <w:rsid w:val="00204450"/>
    <w:rsid w:val="002047A7"/>
    <w:rsid w:val="00204DB2"/>
    <w:rsid w:val="00205359"/>
    <w:rsid w:val="0020538E"/>
    <w:rsid w:val="002057C4"/>
    <w:rsid w:val="00205A68"/>
    <w:rsid w:val="00205B34"/>
    <w:rsid w:val="00205C0A"/>
    <w:rsid w:val="002072B4"/>
    <w:rsid w:val="00207303"/>
    <w:rsid w:val="002075DC"/>
    <w:rsid w:val="00210429"/>
    <w:rsid w:val="00210F7F"/>
    <w:rsid w:val="002112A9"/>
    <w:rsid w:val="002112C7"/>
    <w:rsid w:val="0021168A"/>
    <w:rsid w:val="00212054"/>
    <w:rsid w:val="00212F8C"/>
    <w:rsid w:val="002132E7"/>
    <w:rsid w:val="00213589"/>
    <w:rsid w:val="002143C1"/>
    <w:rsid w:val="00214CF0"/>
    <w:rsid w:val="002157F5"/>
    <w:rsid w:val="00215B9C"/>
    <w:rsid w:val="00215D08"/>
    <w:rsid w:val="002165BB"/>
    <w:rsid w:val="00216B89"/>
    <w:rsid w:val="0021704A"/>
    <w:rsid w:val="00217480"/>
    <w:rsid w:val="002178F9"/>
    <w:rsid w:val="00220BD3"/>
    <w:rsid w:val="00220CC9"/>
    <w:rsid w:val="00220E08"/>
    <w:rsid w:val="00220E5C"/>
    <w:rsid w:val="00220EDE"/>
    <w:rsid w:val="00221254"/>
    <w:rsid w:val="00221310"/>
    <w:rsid w:val="002216EF"/>
    <w:rsid w:val="00221ACC"/>
    <w:rsid w:val="00221B2E"/>
    <w:rsid w:val="00221D4F"/>
    <w:rsid w:val="00221F5D"/>
    <w:rsid w:val="00222076"/>
    <w:rsid w:val="00222310"/>
    <w:rsid w:val="00222745"/>
    <w:rsid w:val="002227FF"/>
    <w:rsid w:val="002238CA"/>
    <w:rsid w:val="0022391D"/>
    <w:rsid w:val="00223BBA"/>
    <w:rsid w:val="00224200"/>
    <w:rsid w:val="00224569"/>
    <w:rsid w:val="002246C7"/>
    <w:rsid w:val="00224977"/>
    <w:rsid w:val="00225358"/>
    <w:rsid w:val="002254B6"/>
    <w:rsid w:val="002258B9"/>
    <w:rsid w:val="002258F4"/>
    <w:rsid w:val="002262E2"/>
    <w:rsid w:val="0022658E"/>
    <w:rsid w:val="00226735"/>
    <w:rsid w:val="002268EA"/>
    <w:rsid w:val="00226EF5"/>
    <w:rsid w:val="00230F4D"/>
    <w:rsid w:val="00231602"/>
    <w:rsid w:val="0023190B"/>
    <w:rsid w:val="00231E71"/>
    <w:rsid w:val="00233216"/>
    <w:rsid w:val="002334C1"/>
    <w:rsid w:val="00233FEF"/>
    <w:rsid w:val="002343E2"/>
    <w:rsid w:val="002354F4"/>
    <w:rsid w:val="002359C5"/>
    <w:rsid w:val="00235DBA"/>
    <w:rsid w:val="00235DC7"/>
    <w:rsid w:val="00236030"/>
    <w:rsid w:val="00236E8D"/>
    <w:rsid w:val="00237660"/>
    <w:rsid w:val="00237806"/>
    <w:rsid w:val="002378CB"/>
    <w:rsid w:val="002379EE"/>
    <w:rsid w:val="00237B14"/>
    <w:rsid w:val="00237F68"/>
    <w:rsid w:val="00240345"/>
    <w:rsid w:val="0024069D"/>
    <w:rsid w:val="002408AA"/>
    <w:rsid w:val="002409A3"/>
    <w:rsid w:val="00240D82"/>
    <w:rsid w:val="00240EDF"/>
    <w:rsid w:val="00241BCE"/>
    <w:rsid w:val="00241C88"/>
    <w:rsid w:val="002426AE"/>
    <w:rsid w:val="00242BC5"/>
    <w:rsid w:val="00242CDA"/>
    <w:rsid w:val="00242D1C"/>
    <w:rsid w:val="0024354E"/>
    <w:rsid w:val="00243B44"/>
    <w:rsid w:val="002444BD"/>
    <w:rsid w:val="00244B87"/>
    <w:rsid w:val="00244BB7"/>
    <w:rsid w:val="00244D76"/>
    <w:rsid w:val="002450BD"/>
    <w:rsid w:val="002463E8"/>
    <w:rsid w:val="00246483"/>
    <w:rsid w:val="002466F5"/>
    <w:rsid w:val="00246D7C"/>
    <w:rsid w:val="00246F1D"/>
    <w:rsid w:val="0024714C"/>
    <w:rsid w:val="00247BEB"/>
    <w:rsid w:val="00247C40"/>
    <w:rsid w:val="00247FD7"/>
    <w:rsid w:val="00250EBD"/>
    <w:rsid w:val="0025106D"/>
    <w:rsid w:val="00251454"/>
    <w:rsid w:val="00252289"/>
    <w:rsid w:val="002528F7"/>
    <w:rsid w:val="00252983"/>
    <w:rsid w:val="002530A8"/>
    <w:rsid w:val="00253870"/>
    <w:rsid w:val="0025396D"/>
    <w:rsid w:val="00253F22"/>
    <w:rsid w:val="00253FCD"/>
    <w:rsid w:val="00254414"/>
    <w:rsid w:val="00254444"/>
    <w:rsid w:val="00254BEF"/>
    <w:rsid w:val="0025500F"/>
    <w:rsid w:val="0025504E"/>
    <w:rsid w:val="002552F7"/>
    <w:rsid w:val="00255653"/>
    <w:rsid w:val="0025591D"/>
    <w:rsid w:val="00255BCA"/>
    <w:rsid w:val="002564CF"/>
    <w:rsid w:val="00256554"/>
    <w:rsid w:val="002565C6"/>
    <w:rsid w:val="00256635"/>
    <w:rsid w:val="00256662"/>
    <w:rsid w:val="00256929"/>
    <w:rsid w:val="00256982"/>
    <w:rsid w:val="00256E2D"/>
    <w:rsid w:val="002571E3"/>
    <w:rsid w:val="0025798D"/>
    <w:rsid w:val="00257DB6"/>
    <w:rsid w:val="00257E1B"/>
    <w:rsid w:val="00257F57"/>
    <w:rsid w:val="00260006"/>
    <w:rsid w:val="00261312"/>
    <w:rsid w:val="00261B6F"/>
    <w:rsid w:val="00261D27"/>
    <w:rsid w:val="00262133"/>
    <w:rsid w:val="00263B1E"/>
    <w:rsid w:val="00263CA2"/>
    <w:rsid w:val="00263D04"/>
    <w:rsid w:val="00263F06"/>
    <w:rsid w:val="00264661"/>
    <w:rsid w:val="00264B17"/>
    <w:rsid w:val="00264DBB"/>
    <w:rsid w:val="0026580E"/>
    <w:rsid w:val="00265CC6"/>
    <w:rsid w:val="002669F4"/>
    <w:rsid w:val="00266D84"/>
    <w:rsid w:val="00267AC6"/>
    <w:rsid w:val="00267AD3"/>
    <w:rsid w:val="00267B14"/>
    <w:rsid w:val="00270093"/>
    <w:rsid w:val="00270191"/>
    <w:rsid w:val="002706D4"/>
    <w:rsid w:val="00270CAB"/>
    <w:rsid w:val="0027191D"/>
    <w:rsid w:val="002721F5"/>
    <w:rsid w:val="00272339"/>
    <w:rsid w:val="00272552"/>
    <w:rsid w:val="00272764"/>
    <w:rsid w:val="002728BE"/>
    <w:rsid w:val="0027299B"/>
    <w:rsid w:val="002734DF"/>
    <w:rsid w:val="00273FB8"/>
    <w:rsid w:val="0027426E"/>
    <w:rsid w:val="00274A83"/>
    <w:rsid w:val="00274C17"/>
    <w:rsid w:val="0027559C"/>
    <w:rsid w:val="002767BB"/>
    <w:rsid w:val="00277038"/>
    <w:rsid w:val="00277639"/>
    <w:rsid w:val="00277DC9"/>
    <w:rsid w:val="00280825"/>
    <w:rsid w:val="0028092B"/>
    <w:rsid w:val="00280B68"/>
    <w:rsid w:val="0028158D"/>
    <w:rsid w:val="00281F3C"/>
    <w:rsid w:val="00281FB1"/>
    <w:rsid w:val="002820B8"/>
    <w:rsid w:val="00282277"/>
    <w:rsid w:val="002826BC"/>
    <w:rsid w:val="002836D0"/>
    <w:rsid w:val="00283B08"/>
    <w:rsid w:val="0028410C"/>
    <w:rsid w:val="00284420"/>
    <w:rsid w:val="0028482A"/>
    <w:rsid w:val="00284CEB"/>
    <w:rsid w:val="00285404"/>
    <w:rsid w:val="00285534"/>
    <w:rsid w:val="00285D78"/>
    <w:rsid w:val="002860C3"/>
    <w:rsid w:val="0028617A"/>
    <w:rsid w:val="0028646E"/>
    <w:rsid w:val="00286584"/>
    <w:rsid w:val="00286705"/>
    <w:rsid w:val="00286BA4"/>
    <w:rsid w:val="0028707D"/>
    <w:rsid w:val="002874E4"/>
    <w:rsid w:val="00287B20"/>
    <w:rsid w:val="00287CF6"/>
    <w:rsid w:val="002905EB"/>
    <w:rsid w:val="00290B48"/>
    <w:rsid w:val="00290D8F"/>
    <w:rsid w:val="00291554"/>
    <w:rsid w:val="00291694"/>
    <w:rsid w:val="00291911"/>
    <w:rsid w:val="0029199D"/>
    <w:rsid w:val="002923FF"/>
    <w:rsid w:val="002928BF"/>
    <w:rsid w:val="002931E8"/>
    <w:rsid w:val="00293383"/>
    <w:rsid w:val="00293537"/>
    <w:rsid w:val="0029356B"/>
    <w:rsid w:val="00293599"/>
    <w:rsid w:val="0029362C"/>
    <w:rsid w:val="00293C2B"/>
    <w:rsid w:val="00293C3D"/>
    <w:rsid w:val="00294DE9"/>
    <w:rsid w:val="00294F04"/>
    <w:rsid w:val="00294F14"/>
    <w:rsid w:val="00294FF7"/>
    <w:rsid w:val="00295052"/>
    <w:rsid w:val="00295204"/>
    <w:rsid w:val="0029520A"/>
    <w:rsid w:val="002956D6"/>
    <w:rsid w:val="002956E8"/>
    <w:rsid w:val="0029628D"/>
    <w:rsid w:val="00296313"/>
    <w:rsid w:val="002968DB"/>
    <w:rsid w:val="002969E7"/>
    <w:rsid w:val="00296BC8"/>
    <w:rsid w:val="00297469"/>
    <w:rsid w:val="00297536"/>
    <w:rsid w:val="00297694"/>
    <w:rsid w:val="002A0ABA"/>
    <w:rsid w:val="002A0F18"/>
    <w:rsid w:val="002A13CC"/>
    <w:rsid w:val="002A14DB"/>
    <w:rsid w:val="002A1D98"/>
    <w:rsid w:val="002A2183"/>
    <w:rsid w:val="002A2428"/>
    <w:rsid w:val="002A2565"/>
    <w:rsid w:val="002A29A7"/>
    <w:rsid w:val="002A2B10"/>
    <w:rsid w:val="002A2CEB"/>
    <w:rsid w:val="002A331E"/>
    <w:rsid w:val="002A3470"/>
    <w:rsid w:val="002A414B"/>
    <w:rsid w:val="002A46CA"/>
    <w:rsid w:val="002A492E"/>
    <w:rsid w:val="002A497B"/>
    <w:rsid w:val="002A4BDA"/>
    <w:rsid w:val="002A517A"/>
    <w:rsid w:val="002A53B7"/>
    <w:rsid w:val="002A55CF"/>
    <w:rsid w:val="002A56EE"/>
    <w:rsid w:val="002A5843"/>
    <w:rsid w:val="002A63BA"/>
    <w:rsid w:val="002A64D0"/>
    <w:rsid w:val="002A6AD9"/>
    <w:rsid w:val="002A7A7B"/>
    <w:rsid w:val="002A7E69"/>
    <w:rsid w:val="002B03CF"/>
    <w:rsid w:val="002B070A"/>
    <w:rsid w:val="002B0A03"/>
    <w:rsid w:val="002B0F6E"/>
    <w:rsid w:val="002B10BB"/>
    <w:rsid w:val="002B12AB"/>
    <w:rsid w:val="002B1670"/>
    <w:rsid w:val="002B1ED9"/>
    <w:rsid w:val="002B2311"/>
    <w:rsid w:val="002B27E1"/>
    <w:rsid w:val="002B297E"/>
    <w:rsid w:val="002B2A63"/>
    <w:rsid w:val="002B2BB5"/>
    <w:rsid w:val="002B2CD4"/>
    <w:rsid w:val="002B346D"/>
    <w:rsid w:val="002B347B"/>
    <w:rsid w:val="002B3A22"/>
    <w:rsid w:val="002B3A44"/>
    <w:rsid w:val="002B419F"/>
    <w:rsid w:val="002B4402"/>
    <w:rsid w:val="002B4BA1"/>
    <w:rsid w:val="002B4DED"/>
    <w:rsid w:val="002B5268"/>
    <w:rsid w:val="002B5994"/>
    <w:rsid w:val="002B5F48"/>
    <w:rsid w:val="002B6255"/>
    <w:rsid w:val="002B62C2"/>
    <w:rsid w:val="002B66C0"/>
    <w:rsid w:val="002B67A2"/>
    <w:rsid w:val="002B7620"/>
    <w:rsid w:val="002B7885"/>
    <w:rsid w:val="002B7A9A"/>
    <w:rsid w:val="002C0764"/>
    <w:rsid w:val="002C0897"/>
    <w:rsid w:val="002C0AEC"/>
    <w:rsid w:val="002C1936"/>
    <w:rsid w:val="002C1BDF"/>
    <w:rsid w:val="002C1C57"/>
    <w:rsid w:val="002C3306"/>
    <w:rsid w:val="002C3A59"/>
    <w:rsid w:val="002C3D8B"/>
    <w:rsid w:val="002C3E01"/>
    <w:rsid w:val="002C4072"/>
    <w:rsid w:val="002C411D"/>
    <w:rsid w:val="002C4D60"/>
    <w:rsid w:val="002C5434"/>
    <w:rsid w:val="002C545D"/>
    <w:rsid w:val="002C58E1"/>
    <w:rsid w:val="002C5C3D"/>
    <w:rsid w:val="002C6604"/>
    <w:rsid w:val="002C6A56"/>
    <w:rsid w:val="002C6AE0"/>
    <w:rsid w:val="002C716E"/>
    <w:rsid w:val="002C749C"/>
    <w:rsid w:val="002C76E0"/>
    <w:rsid w:val="002C787A"/>
    <w:rsid w:val="002C790F"/>
    <w:rsid w:val="002C7E6A"/>
    <w:rsid w:val="002D0049"/>
    <w:rsid w:val="002D04F0"/>
    <w:rsid w:val="002D0772"/>
    <w:rsid w:val="002D0FCF"/>
    <w:rsid w:val="002D149D"/>
    <w:rsid w:val="002D1CD6"/>
    <w:rsid w:val="002D1D89"/>
    <w:rsid w:val="002D1FE7"/>
    <w:rsid w:val="002D23B7"/>
    <w:rsid w:val="002D2C02"/>
    <w:rsid w:val="002D3072"/>
    <w:rsid w:val="002D3231"/>
    <w:rsid w:val="002D32D4"/>
    <w:rsid w:val="002D3A3A"/>
    <w:rsid w:val="002D402B"/>
    <w:rsid w:val="002D4398"/>
    <w:rsid w:val="002D4BF7"/>
    <w:rsid w:val="002D4F53"/>
    <w:rsid w:val="002D50D5"/>
    <w:rsid w:val="002D589F"/>
    <w:rsid w:val="002D5A75"/>
    <w:rsid w:val="002D5AFC"/>
    <w:rsid w:val="002D6895"/>
    <w:rsid w:val="002D6BFE"/>
    <w:rsid w:val="002D7031"/>
    <w:rsid w:val="002D7258"/>
    <w:rsid w:val="002D72DD"/>
    <w:rsid w:val="002D74BC"/>
    <w:rsid w:val="002D7B10"/>
    <w:rsid w:val="002D7B29"/>
    <w:rsid w:val="002D7E0F"/>
    <w:rsid w:val="002E0134"/>
    <w:rsid w:val="002E074A"/>
    <w:rsid w:val="002E0812"/>
    <w:rsid w:val="002E1BD7"/>
    <w:rsid w:val="002E1C64"/>
    <w:rsid w:val="002E2114"/>
    <w:rsid w:val="002E27BF"/>
    <w:rsid w:val="002E2CBB"/>
    <w:rsid w:val="002E37D0"/>
    <w:rsid w:val="002E3EE1"/>
    <w:rsid w:val="002E4828"/>
    <w:rsid w:val="002E485D"/>
    <w:rsid w:val="002E4DC7"/>
    <w:rsid w:val="002E4FB9"/>
    <w:rsid w:val="002E5AF0"/>
    <w:rsid w:val="002E5CF9"/>
    <w:rsid w:val="002E65DF"/>
    <w:rsid w:val="002E77AB"/>
    <w:rsid w:val="002F0115"/>
    <w:rsid w:val="002F02E3"/>
    <w:rsid w:val="002F155D"/>
    <w:rsid w:val="002F15B9"/>
    <w:rsid w:val="002F1D6C"/>
    <w:rsid w:val="002F1FD2"/>
    <w:rsid w:val="002F238B"/>
    <w:rsid w:val="002F28DC"/>
    <w:rsid w:val="002F30B2"/>
    <w:rsid w:val="002F312D"/>
    <w:rsid w:val="002F3443"/>
    <w:rsid w:val="002F3E39"/>
    <w:rsid w:val="002F3EB6"/>
    <w:rsid w:val="002F3F5C"/>
    <w:rsid w:val="002F4D3C"/>
    <w:rsid w:val="002F5189"/>
    <w:rsid w:val="002F521A"/>
    <w:rsid w:val="002F5890"/>
    <w:rsid w:val="002F5FE4"/>
    <w:rsid w:val="002F6C07"/>
    <w:rsid w:val="002F6F49"/>
    <w:rsid w:val="002F7455"/>
    <w:rsid w:val="002F7E83"/>
    <w:rsid w:val="002F7E8A"/>
    <w:rsid w:val="00300767"/>
    <w:rsid w:val="00301A88"/>
    <w:rsid w:val="00301BB5"/>
    <w:rsid w:val="0030217B"/>
    <w:rsid w:val="003025E8"/>
    <w:rsid w:val="00302D19"/>
    <w:rsid w:val="00303354"/>
    <w:rsid w:val="003036A4"/>
    <w:rsid w:val="00303ACB"/>
    <w:rsid w:val="003046D3"/>
    <w:rsid w:val="0030636C"/>
    <w:rsid w:val="00306398"/>
    <w:rsid w:val="0030645A"/>
    <w:rsid w:val="0030658A"/>
    <w:rsid w:val="0030677A"/>
    <w:rsid w:val="003071A3"/>
    <w:rsid w:val="00307247"/>
    <w:rsid w:val="00307920"/>
    <w:rsid w:val="00310734"/>
    <w:rsid w:val="0031125B"/>
    <w:rsid w:val="0031128D"/>
    <w:rsid w:val="00311301"/>
    <w:rsid w:val="00312135"/>
    <w:rsid w:val="003123BB"/>
    <w:rsid w:val="00312806"/>
    <w:rsid w:val="003128D5"/>
    <w:rsid w:val="003133D6"/>
    <w:rsid w:val="00313792"/>
    <w:rsid w:val="00313C61"/>
    <w:rsid w:val="00313C8A"/>
    <w:rsid w:val="00313D75"/>
    <w:rsid w:val="00314043"/>
    <w:rsid w:val="00314BFF"/>
    <w:rsid w:val="00314E83"/>
    <w:rsid w:val="00314EE8"/>
    <w:rsid w:val="0031547E"/>
    <w:rsid w:val="00315A3F"/>
    <w:rsid w:val="00316415"/>
    <w:rsid w:val="00316C2B"/>
    <w:rsid w:val="00316D92"/>
    <w:rsid w:val="0031774E"/>
    <w:rsid w:val="00317847"/>
    <w:rsid w:val="00317C41"/>
    <w:rsid w:val="00320550"/>
    <w:rsid w:val="00320697"/>
    <w:rsid w:val="003206A4"/>
    <w:rsid w:val="00320EA2"/>
    <w:rsid w:val="00320F23"/>
    <w:rsid w:val="0032101A"/>
    <w:rsid w:val="00321C1F"/>
    <w:rsid w:val="0032243C"/>
    <w:rsid w:val="00322546"/>
    <w:rsid w:val="00322A8A"/>
    <w:rsid w:val="00322BDC"/>
    <w:rsid w:val="003236BB"/>
    <w:rsid w:val="003237AF"/>
    <w:rsid w:val="00323921"/>
    <w:rsid w:val="00323AA0"/>
    <w:rsid w:val="0032423F"/>
    <w:rsid w:val="003244DB"/>
    <w:rsid w:val="0032457E"/>
    <w:rsid w:val="0032461A"/>
    <w:rsid w:val="00324713"/>
    <w:rsid w:val="00324B0C"/>
    <w:rsid w:val="00324E8A"/>
    <w:rsid w:val="00326659"/>
    <w:rsid w:val="003274FC"/>
    <w:rsid w:val="00327C60"/>
    <w:rsid w:val="00327F9F"/>
    <w:rsid w:val="00330331"/>
    <w:rsid w:val="003306C9"/>
    <w:rsid w:val="00330EE7"/>
    <w:rsid w:val="003313B3"/>
    <w:rsid w:val="003317E6"/>
    <w:rsid w:val="00331F85"/>
    <w:rsid w:val="003320BF"/>
    <w:rsid w:val="0033240F"/>
    <w:rsid w:val="00332B7E"/>
    <w:rsid w:val="00332E9D"/>
    <w:rsid w:val="0033408F"/>
    <w:rsid w:val="003344C8"/>
    <w:rsid w:val="00334DBE"/>
    <w:rsid w:val="00335113"/>
    <w:rsid w:val="00335689"/>
    <w:rsid w:val="0033614B"/>
    <w:rsid w:val="003361AC"/>
    <w:rsid w:val="0033624D"/>
    <w:rsid w:val="003371BE"/>
    <w:rsid w:val="00337600"/>
    <w:rsid w:val="00337BA5"/>
    <w:rsid w:val="00337DCC"/>
    <w:rsid w:val="00337F18"/>
    <w:rsid w:val="00340219"/>
    <w:rsid w:val="0034021B"/>
    <w:rsid w:val="0034043B"/>
    <w:rsid w:val="00340533"/>
    <w:rsid w:val="00340838"/>
    <w:rsid w:val="00340A2C"/>
    <w:rsid w:val="003415B7"/>
    <w:rsid w:val="003415DD"/>
    <w:rsid w:val="00341888"/>
    <w:rsid w:val="00341D9E"/>
    <w:rsid w:val="00341F77"/>
    <w:rsid w:val="00342014"/>
    <w:rsid w:val="00342E61"/>
    <w:rsid w:val="00343A9B"/>
    <w:rsid w:val="00343AEA"/>
    <w:rsid w:val="00343C73"/>
    <w:rsid w:val="00344726"/>
    <w:rsid w:val="00344CA2"/>
    <w:rsid w:val="00344F9B"/>
    <w:rsid w:val="003452AC"/>
    <w:rsid w:val="003454CE"/>
    <w:rsid w:val="00345503"/>
    <w:rsid w:val="0034553A"/>
    <w:rsid w:val="00345A7F"/>
    <w:rsid w:val="00345E36"/>
    <w:rsid w:val="0034656D"/>
    <w:rsid w:val="00346CBE"/>
    <w:rsid w:val="00346FEC"/>
    <w:rsid w:val="00347064"/>
    <w:rsid w:val="00347465"/>
    <w:rsid w:val="003477A8"/>
    <w:rsid w:val="00347D5F"/>
    <w:rsid w:val="00347F2C"/>
    <w:rsid w:val="00350053"/>
    <w:rsid w:val="00350F96"/>
    <w:rsid w:val="00351509"/>
    <w:rsid w:val="00351B90"/>
    <w:rsid w:val="00351F77"/>
    <w:rsid w:val="00352384"/>
    <w:rsid w:val="00352F3A"/>
    <w:rsid w:val="00352FC5"/>
    <w:rsid w:val="003532A3"/>
    <w:rsid w:val="00353353"/>
    <w:rsid w:val="00353375"/>
    <w:rsid w:val="00353A29"/>
    <w:rsid w:val="00353EA6"/>
    <w:rsid w:val="00353F90"/>
    <w:rsid w:val="00354237"/>
    <w:rsid w:val="00354485"/>
    <w:rsid w:val="00354569"/>
    <w:rsid w:val="0035594A"/>
    <w:rsid w:val="00355F9B"/>
    <w:rsid w:val="003562BB"/>
    <w:rsid w:val="003564E4"/>
    <w:rsid w:val="00356837"/>
    <w:rsid w:val="00356923"/>
    <w:rsid w:val="00356C51"/>
    <w:rsid w:val="0035719C"/>
    <w:rsid w:val="00357329"/>
    <w:rsid w:val="0035753E"/>
    <w:rsid w:val="00357D4A"/>
    <w:rsid w:val="00360E84"/>
    <w:rsid w:val="00361B2B"/>
    <w:rsid w:val="00361E9A"/>
    <w:rsid w:val="003621EF"/>
    <w:rsid w:val="00362211"/>
    <w:rsid w:val="003627B0"/>
    <w:rsid w:val="003628C9"/>
    <w:rsid w:val="00362B87"/>
    <w:rsid w:val="00362D23"/>
    <w:rsid w:val="003632A8"/>
    <w:rsid w:val="00363B59"/>
    <w:rsid w:val="00363F4D"/>
    <w:rsid w:val="0036489C"/>
    <w:rsid w:val="00364998"/>
    <w:rsid w:val="00364A79"/>
    <w:rsid w:val="00364BD7"/>
    <w:rsid w:val="00364CEC"/>
    <w:rsid w:val="00364CF1"/>
    <w:rsid w:val="00364EA7"/>
    <w:rsid w:val="00365213"/>
    <w:rsid w:val="0036596E"/>
    <w:rsid w:val="0036601E"/>
    <w:rsid w:val="00366A5B"/>
    <w:rsid w:val="00367132"/>
    <w:rsid w:val="0036762C"/>
    <w:rsid w:val="0036772C"/>
    <w:rsid w:val="00367E46"/>
    <w:rsid w:val="00367E89"/>
    <w:rsid w:val="00370223"/>
    <w:rsid w:val="003702A5"/>
    <w:rsid w:val="00370370"/>
    <w:rsid w:val="00370859"/>
    <w:rsid w:val="00371064"/>
    <w:rsid w:val="003716C9"/>
    <w:rsid w:val="00371856"/>
    <w:rsid w:val="0037199F"/>
    <w:rsid w:val="00371F35"/>
    <w:rsid w:val="00372046"/>
    <w:rsid w:val="00372275"/>
    <w:rsid w:val="00372488"/>
    <w:rsid w:val="00372507"/>
    <w:rsid w:val="00372F48"/>
    <w:rsid w:val="003730F4"/>
    <w:rsid w:val="00373DAE"/>
    <w:rsid w:val="0037455E"/>
    <w:rsid w:val="00375C7D"/>
    <w:rsid w:val="00376942"/>
    <w:rsid w:val="00376D00"/>
    <w:rsid w:val="00377184"/>
    <w:rsid w:val="00377444"/>
    <w:rsid w:val="00377C46"/>
    <w:rsid w:val="00377FB8"/>
    <w:rsid w:val="003803A2"/>
    <w:rsid w:val="003808A6"/>
    <w:rsid w:val="00380BAD"/>
    <w:rsid w:val="00381614"/>
    <w:rsid w:val="00381CBE"/>
    <w:rsid w:val="00382682"/>
    <w:rsid w:val="003829D4"/>
    <w:rsid w:val="00382BD0"/>
    <w:rsid w:val="00383219"/>
    <w:rsid w:val="003832B2"/>
    <w:rsid w:val="00383465"/>
    <w:rsid w:val="00383468"/>
    <w:rsid w:val="00383C45"/>
    <w:rsid w:val="00383C87"/>
    <w:rsid w:val="00383CEA"/>
    <w:rsid w:val="00383EE8"/>
    <w:rsid w:val="00383F12"/>
    <w:rsid w:val="003847F1"/>
    <w:rsid w:val="00384ACF"/>
    <w:rsid w:val="003852EA"/>
    <w:rsid w:val="003864FF"/>
    <w:rsid w:val="003866B4"/>
    <w:rsid w:val="00386D3D"/>
    <w:rsid w:val="00387523"/>
    <w:rsid w:val="00387B87"/>
    <w:rsid w:val="00387E0B"/>
    <w:rsid w:val="00387F57"/>
    <w:rsid w:val="00387FDA"/>
    <w:rsid w:val="00390398"/>
    <w:rsid w:val="0039083E"/>
    <w:rsid w:val="003915E8"/>
    <w:rsid w:val="003916DA"/>
    <w:rsid w:val="0039176B"/>
    <w:rsid w:val="00391781"/>
    <w:rsid w:val="00391C40"/>
    <w:rsid w:val="0039239D"/>
    <w:rsid w:val="0039275D"/>
    <w:rsid w:val="003927AC"/>
    <w:rsid w:val="00393697"/>
    <w:rsid w:val="003939A3"/>
    <w:rsid w:val="00393B6C"/>
    <w:rsid w:val="00393E92"/>
    <w:rsid w:val="00394B0B"/>
    <w:rsid w:val="003953E3"/>
    <w:rsid w:val="00395431"/>
    <w:rsid w:val="00395831"/>
    <w:rsid w:val="00395E58"/>
    <w:rsid w:val="00396389"/>
    <w:rsid w:val="0039657D"/>
    <w:rsid w:val="003966FB"/>
    <w:rsid w:val="00396CC4"/>
    <w:rsid w:val="00396FDC"/>
    <w:rsid w:val="003972A1"/>
    <w:rsid w:val="003A03D2"/>
    <w:rsid w:val="003A0683"/>
    <w:rsid w:val="003A09D7"/>
    <w:rsid w:val="003A0A19"/>
    <w:rsid w:val="003A14EE"/>
    <w:rsid w:val="003A1751"/>
    <w:rsid w:val="003A2083"/>
    <w:rsid w:val="003A2220"/>
    <w:rsid w:val="003A2355"/>
    <w:rsid w:val="003A24D1"/>
    <w:rsid w:val="003A2666"/>
    <w:rsid w:val="003A34D9"/>
    <w:rsid w:val="003A42CE"/>
    <w:rsid w:val="003A43A9"/>
    <w:rsid w:val="003A45E5"/>
    <w:rsid w:val="003A5002"/>
    <w:rsid w:val="003A5242"/>
    <w:rsid w:val="003A539C"/>
    <w:rsid w:val="003A59A6"/>
    <w:rsid w:val="003A5B6A"/>
    <w:rsid w:val="003A6814"/>
    <w:rsid w:val="003A6DE7"/>
    <w:rsid w:val="003A7319"/>
    <w:rsid w:val="003A767E"/>
    <w:rsid w:val="003A77BD"/>
    <w:rsid w:val="003A79E3"/>
    <w:rsid w:val="003A7B16"/>
    <w:rsid w:val="003B06AC"/>
    <w:rsid w:val="003B088B"/>
    <w:rsid w:val="003B0E47"/>
    <w:rsid w:val="003B15AA"/>
    <w:rsid w:val="003B291F"/>
    <w:rsid w:val="003B2A51"/>
    <w:rsid w:val="003B2D27"/>
    <w:rsid w:val="003B314D"/>
    <w:rsid w:val="003B4537"/>
    <w:rsid w:val="003B574F"/>
    <w:rsid w:val="003B5AD9"/>
    <w:rsid w:val="003B5DC7"/>
    <w:rsid w:val="003B5E1D"/>
    <w:rsid w:val="003B5F30"/>
    <w:rsid w:val="003B6079"/>
    <w:rsid w:val="003B62D9"/>
    <w:rsid w:val="003B648D"/>
    <w:rsid w:val="003B7704"/>
    <w:rsid w:val="003B7A05"/>
    <w:rsid w:val="003B7C8A"/>
    <w:rsid w:val="003C03C5"/>
    <w:rsid w:val="003C0846"/>
    <w:rsid w:val="003C0C11"/>
    <w:rsid w:val="003C0C15"/>
    <w:rsid w:val="003C2C3F"/>
    <w:rsid w:val="003C2F92"/>
    <w:rsid w:val="003C3375"/>
    <w:rsid w:val="003C398F"/>
    <w:rsid w:val="003C39BD"/>
    <w:rsid w:val="003C45B4"/>
    <w:rsid w:val="003C461F"/>
    <w:rsid w:val="003C4645"/>
    <w:rsid w:val="003C47D2"/>
    <w:rsid w:val="003C59BD"/>
    <w:rsid w:val="003C5B8E"/>
    <w:rsid w:val="003C64B8"/>
    <w:rsid w:val="003C683A"/>
    <w:rsid w:val="003C6BF6"/>
    <w:rsid w:val="003C6D39"/>
    <w:rsid w:val="003C6EC9"/>
    <w:rsid w:val="003C71F9"/>
    <w:rsid w:val="003C795E"/>
    <w:rsid w:val="003C797F"/>
    <w:rsid w:val="003C7A48"/>
    <w:rsid w:val="003C7BD6"/>
    <w:rsid w:val="003D00B4"/>
    <w:rsid w:val="003D079C"/>
    <w:rsid w:val="003D109A"/>
    <w:rsid w:val="003D177F"/>
    <w:rsid w:val="003D17C4"/>
    <w:rsid w:val="003D197D"/>
    <w:rsid w:val="003D1E09"/>
    <w:rsid w:val="003D1E85"/>
    <w:rsid w:val="003D267B"/>
    <w:rsid w:val="003D2803"/>
    <w:rsid w:val="003D3055"/>
    <w:rsid w:val="003D3161"/>
    <w:rsid w:val="003D3B3E"/>
    <w:rsid w:val="003D459A"/>
    <w:rsid w:val="003D4FAC"/>
    <w:rsid w:val="003D5675"/>
    <w:rsid w:val="003D5EDF"/>
    <w:rsid w:val="003D6A68"/>
    <w:rsid w:val="003D6BFA"/>
    <w:rsid w:val="003D6D56"/>
    <w:rsid w:val="003D7172"/>
    <w:rsid w:val="003D78EA"/>
    <w:rsid w:val="003D7C78"/>
    <w:rsid w:val="003E0F9C"/>
    <w:rsid w:val="003E15A8"/>
    <w:rsid w:val="003E1BBD"/>
    <w:rsid w:val="003E1F3F"/>
    <w:rsid w:val="003E232E"/>
    <w:rsid w:val="003E2634"/>
    <w:rsid w:val="003E28F8"/>
    <w:rsid w:val="003E2E7E"/>
    <w:rsid w:val="003E2E83"/>
    <w:rsid w:val="003E37B7"/>
    <w:rsid w:val="003E3F2C"/>
    <w:rsid w:val="003E45A1"/>
    <w:rsid w:val="003E4B7F"/>
    <w:rsid w:val="003E4D73"/>
    <w:rsid w:val="003E6760"/>
    <w:rsid w:val="003E68DD"/>
    <w:rsid w:val="003E77EB"/>
    <w:rsid w:val="003E7A8C"/>
    <w:rsid w:val="003E7E4B"/>
    <w:rsid w:val="003F0B5B"/>
    <w:rsid w:val="003F0F4E"/>
    <w:rsid w:val="003F1591"/>
    <w:rsid w:val="003F16E3"/>
    <w:rsid w:val="003F184A"/>
    <w:rsid w:val="003F1912"/>
    <w:rsid w:val="003F1D5C"/>
    <w:rsid w:val="003F22FE"/>
    <w:rsid w:val="003F2820"/>
    <w:rsid w:val="003F299C"/>
    <w:rsid w:val="003F2D26"/>
    <w:rsid w:val="003F3078"/>
    <w:rsid w:val="003F332C"/>
    <w:rsid w:val="003F3897"/>
    <w:rsid w:val="003F46B6"/>
    <w:rsid w:val="003F4D52"/>
    <w:rsid w:val="003F4D7A"/>
    <w:rsid w:val="003F503A"/>
    <w:rsid w:val="003F5408"/>
    <w:rsid w:val="003F54AE"/>
    <w:rsid w:val="003F59DE"/>
    <w:rsid w:val="003F62E9"/>
    <w:rsid w:val="003F6B32"/>
    <w:rsid w:val="003F761B"/>
    <w:rsid w:val="003F7697"/>
    <w:rsid w:val="0040082B"/>
    <w:rsid w:val="004012AD"/>
    <w:rsid w:val="00401A93"/>
    <w:rsid w:val="00401F46"/>
    <w:rsid w:val="00402433"/>
    <w:rsid w:val="004026B0"/>
    <w:rsid w:val="00402892"/>
    <w:rsid w:val="00402B97"/>
    <w:rsid w:val="00402BF9"/>
    <w:rsid w:val="00402F73"/>
    <w:rsid w:val="00403050"/>
    <w:rsid w:val="00403A58"/>
    <w:rsid w:val="00403BE7"/>
    <w:rsid w:val="00403E72"/>
    <w:rsid w:val="00404422"/>
    <w:rsid w:val="00405F4B"/>
    <w:rsid w:val="0040636B"/>
    <w:rsid w:val="004067AC"/>
    <w:rsid w:val="00406BC6"/>
    <w:rsid w:val="00406D55"/>
    <w:rsid w:val="00406FF3"/>
    <w:rsid w:val="004071D8"/>
    <w:rsid w:val="0040773F"/>
    <w:rsid w:val="00407C25"/>
    <w:rsid w:val="00407DC8"/>
    <w:rsid w:val="004107E1"/>
    <w:rsid w:val="00411617"/>
    <w:rsid w:val="004116F3"/>
    <w:rsid w:val="00412EFA"/>
    <w:rsid w:val="00413111"/>
    <w:rsid w:val="0041356D"/>
    <w:rsid w:val="00413B12"/>
    <w:rsid w:val="00413F52"/>
    <w:rsid w:val="004145E1"/>
    <w:rsid w:val="00414741"/>
    <w:rsid w:val="004148CA"/>
    <w:rsid w:val="004148E3"/>
    <w:rsid w:val="00414B9E"/>
    <w:rsid w:val="00415447"/>
    <w:rsid w:val="0041580C"/>
    <w:rsid w:val="0041598E"/>
    <w:rsid w:val="00415CD5"/>
    <w:rsid w:val="00415D81"/>
    <w:rsid w:val="00415FAB"/>
    <w:rsid w:val="004161ED"/>
    <w:rsid w:val="00416506"/>
    <w:rsid w:val="0041651B"/>
    <w:rsid w:val="0041729E"/>
    <w:rsid w:val="0041766B"/>
    <w:rsid w:val="00420205"/>
    <w:rsid w:val="00421941"/>
    <w:rsid w:val="00421979"/>
    <w:rsid w:val="00421CFA"/>
    <w:rsid w:val="00421E88"/>
    <w:rsid w:val="004225AC"/>
    <w:rsid w:val="00422A37"/>
    <w:rsid w:val="00422F87"/>
    <w:rsid w:val="004236D6"/>
    <w:rsid w:val="004240B1"/>
    <w:rsid w:val="00424194"/>
    <w:rsid w:val="00424448"/>
    <w:rsid w:val="00424AE4"/>
    <w:rsid w:val="004252F5"/>
    <w:rsid w:val="0042561B"/>
    <w:rsid w:val="00426141"/>
    <w:rsid w:val="00426170"/>
    <w:rsid w:val="00426654"/>
    <w:rsid w:val="004266E2"/>
    <w:rsid w:val="00426AD5"/>
    <w:rsid w:val="00426F6C"/>
    <w:rsid w:val="0042769C"/>
    <w:rsid w:val="0042797C"/>
    <w:rsid w:val="00427CBE"/>
    <w:rsid w:val="004300F8"/>
    <w:rsid w:val="004310F4"/>
    <w:rsid w:val="00431BCF"/>
    <w:rsid w:val="00433D7A"/>
    <w:rsid w:val="0043423A"/>
    <w:rsid w:val="0043450C"/>
    <w:rsid w:val="0043451A"/>
    <w:rsid w:val="00434915"/>
    <w:rsid w:val="004349D1"/>
    <w:rsid w:val="00434CFC"/>
    <w:rsid w:val="00434DDC"/>
    <w:rsid w:val="00435162"/>
    <w:rsid w:val="00435CFA"/>
    <w:rsid w:val="00436211"/>
    <w:rsid w:val="00436E92"/>
    <w:rsid w:val="004371E0"/>
    <w:rsid w:val="004376AE"/>
    <w:rsid w:val="00437B4B"/>
    <w:rsid w:val="00441415"/>
    <w:rsid w:val="00441715"/>
    <w:rsid w:val="00441E7C"/>
    <w:rsid w:val="00442304"/>
    <w:rsid w:val="004423E7"/>
    <w:rsid w:val="004425CF"/>
    <w:rsid w:val="00442CEC"/>
    <w:rsid w:val="00442F0C"/>
    <w:rsid w:val="004431EE"/>
    <w:rsid w:val="00443665"/>
    <w:rsid w:val="00444061"/>
    <w:rsid w:val="00444604"/>
    <w:rsid w:val="00445073"/>
    <w:rsid w:val="004452E3"/>
    <w:rsid w:val="00446102"/>
    <w:rsid w:val="004465F6"/>
    <w:rsid w:val="00447063"/>
    <w:rsid w:val="004472D6"/>
    <w:rsid w:val="00447395"/>
    <w:rsid w:val="004474B5"/>
    <w:rsid w:val="004474B8"/>
    <w:rsid w:val="00447AB5"/>
    <w:rsid w:val="00447D40"/>
    <w:rsid w:val="00447DA9"/>
    <w:rsid w:val="00450020"/>
    <w:rsid w:val="00450F61"/>
    <w:rsid w:val="00452016"/>
    <w:rsid w:val="0045248E"/>
    <w:rsid w:val="0045296F"/>
    <w:rsid w:val="00453328"/>
    <w:rsid w:val="004534F2"/>
    <w:rsid w:val="004537A7"/>
    <w:rsid w:val="004537C7"/>
    <w:rsid w:val="00453CD8"/>
    <w:rsid w:val="00453CF2"/>
    <w:rsid w:val="00453D38"/>
    <w:rsid w:val="0045445D"/>
    <w:rsid w:val="00454A92"/>
    <w:rsid w:val="00454FA2"/>
    <w:rsid w:val="00455A04"/>
    <w:rsid w:val="004561F5"/>
    <w:rsid w:val="00456952"/>
    <w:rsid w:val="0045701D"/>
    <w:rsid w:val="00457500"/>
    <w:rsid w:val="004575E0"/>
    <w:rsid w:val="00457A07"/>
    <w:rsid w:val="00457D46"/>
    <w:rsid w:val="00457EC1"/>
    <w:rsid w:val="004601E4"/>
    <w:rsid w:val="004602CC"/>
    <w:rsid w:val="004602E6"/>
    <w:rsid w:val="00461515"/>
    <w:rsid w:val="00461944"/>
    <w:rsid w:val="004625FC"/>
    <w:rsid w:val="0046274D"/>
    <w:rsid w:val="00462BBC"/>
    <w:rsid w:val="00462EFB"/>
    <w:rsid w:val="00464074"/>
    <w:rsid w:val="004640DD"/>
    <w:rsid w:val="0046428C"/>
    <w:rsid w:val="0046569F"/>
    <w:rsid w:val="004658C7"/>
    <w:rsid w:val="0046605D"/>
    <w:rsid w:val="004661AD"/>
    <w:rsid w:val="0046698D"/>
    <w:rsid w:val="00466E58"/>
    <w:rsid w:val="00466F2E"/>
    <w:rsid w:val="0046758B"/>
    <w:rsid w:val="0046774B"/>
    <w:rsid w:val="00467ED0"/>
    <w:rsid w:val="004703F5"/>
    <w:rsid w:val="00470501"/>
    <w:rsid w:val="00470889"/>
    <w:rsid w:val="00470F9D"/>
    <w:rsid w:val="0047116C"/>
    <w:rsid w:val="00471706"/>
    <w:rsid w:val="00472608"/>
    <w:rsid w:val="00472623"/>
    <w:rsid w:val="004729C8"/>
    <w:rsid w:val="004732CD"/>
    <w:rsid w:val="00473362"/>
    <w:rsid w:val="004735E7"/>
    <w:rsid w:val="0047389E"/>
    <w:rsid w:val="00474F40"/>
    <w:rsid w:val="0047548F"/>
    <w:rsid w:val="00475A97"/>
    <w:rsid w:val="00475AF9"/>
    <w:rsid w:val="00476B66"/>
    <w:rsid w:val="00476BC1"/>
    <w:rsid w:val="00476C3B"/>
    <w:rsid w:val="00476CC5"/>
    <w:rsid w:val="004800CA"/>
    <w:rsid w:val="004809A1"/>
    <w:rsid w:val="00480E74"/>
    <w:rsid w:val="00480F5D"/>
    <w:rsid w:val="004815AA"/>
    <w:rsid w:val="00481D0A"/>
    <w:rsid w:val="00481D2E"/>
    <w:rsid w:val="004821A4"/>
    <w:rsid w:val="00482480"/>
    <w:rsid w:val="0048250B"/>
    <w:rsid w:val="004827F8"/>
    <w:rsid w:val="00483AD7"/>
    <w:rsid w:val="00483D66"/>
    <w:rsid w:val="00483DF7"/>
    <w:rsid w:val="004840E1"/>
    <w:rsid w:val="00484342"/>
    <w:rsid w:val="004849DC"/>
    <w:rsid w:val="00484B5C"/>
    <w:rsid w:val="00484DF7"/>
    <w:rsid w:val="00485428"/>
    <w:rsid w:val="004856BF"/>
    <w:rsid w:val="0048580D"/>
    <w:rsid w:val="00485A43"/>
    <w:rsid w:val="00485F33"/>
    <w:rsid w:val="0048604E"/>
    <w:rsid w:val="004865B4"/>
    <w:rsid w:val="0048676D"/>
    <w:rsid w:val="00486F22"/>
    <w:rsid w:val="00487003"/>
    <w:rsid w:val="00487143"/>
    <w:rsid w:val="00487580"/>
    <w:rsid w:val="00490245"/>
    <w:rsid w:val="00490965"/>
    <w:rsid w:val="00490A6C"/>
    <w:rsid w:val="00490D0F"/>
    <w:rsid w:val="0049168A"/>
    <w:rsid w:val="00492004"/>
    <w:rsid w:val="00492290"/>
    <w:rsid w:val="004925C2"/>
    <w:rsid w:val="00492958"/>
    <w:rsid w:val="00493569"/>
    <w:rsid w:val="004939A4"/>
    <w:rsid w:val="00493B64"/>
    <w:rsid w:val="00493CCE"/>
    <w:rsid w:val="00493D68"/>
    <w:rsid w:val="00496412"/>
    <w:rsid w:val="00496CC3"/>
    <w:rsid w:val="00497F94"/>
    <w:rsid w:val="004A00E6"/>
    <w:rsid w:val="004A0809"/>
    <w:rsid w:val="004A0921"/>
    <w:rsid w:val="004A0A65"/>
    <w:rsid w:val="004A0E8D"/>
    <w:rsid w:val="004A13DA"/>
    <w:rsid w:val="004A177C"/>
    <w:rsid w:val="004A17AF"/>
    <w:rsid w:val="004A17E0"/>
    <w:rsid w:val="004A1A89"/>
    <w:rsid w:val="004A1B4D"/>
    <w:rsid w:val="004A1D83"/>
    <w:rsid w:val="004A21D3"/>
    <w:rsid w:val="004A290E"/>
    <w:rsid w:val="004A367E"/>
    <w:rsid w:val="004A3CB8"/>
    <w:rsid w:val="004A3DBC"/>
    <w:rsid w:val="004A3EBF"/>
    <w:rsid w:val="004A421C"/>
    <w:rsid w:val="004A441F"/>
    <w:rsid w:val="004A4783"/>
    <w:rsid w:val="004A4F7F"/>
    <w:rsid w:val="004A51C4"/>
    <w:rsid w:val="004A544E"/>
    <w:rsid w:val="004A5473"/>
    <w:rsid w:val="004A557E"/>
    <w:rsid w:val="004A5CC6"/>
    <w:rsid w:val="004A5E50"/>
    <w:rsid w:val="004A5FE5"/>
    <w:rsid w:val="004A6315"/>
    <w:rsid w:val="004A6511"/>
    <w:rsid w:val="004A77A2"/>
    <w:rsid w:val="004A7DC9"/>
    <w:rsid w:val="004B0D52"/>
    <w:rsid w:val="004B18B4"/>
    <w:rsid w:val="004B1B0E"/>
    <w:rsid w:val="004B1C87"/>
    <w:rsid w:val="004B2032"/>
    <w:rsid w:val="004B2333"/>
    <w:rsid w:val="004B26D4"/>
    <w:rsid w:val="004B2743"/>
    <w:rsid w:val="004B3381"/>
    <w:rsid w:val="004B43F8"/>
    <w:rsid w:val="004B45CA"/>
    <w:rsid w:val="004B4819"/>
    <w:rsid w:val="004B488A"/>
    <w:rsid w:val="004B4987"/>
    <w:rsid w:val="004B49F0"/>
    <w:rsid w:val="004B4D30"/>
    <w:rsid w:val="004B50F6"/>
    <w:rsid w:val="004B519E"/>
    <w:rsid w:val="004B5440"/>
    <w:rsid w:val="004B5934"/>
    <w:rsid w:val="004B5ACA"/>
    <w:rsid w:val="004B5E2B"/>
    <w:rsid w:val="004B6152"/>
    <w:rsid w:val="004B6666"/>
    <w:rsid w:val="004B6A36"/>
    <w:rsid w:val="004B6B29"/>
    <w:rsid w:val="004B6D53"/>
    <w:rsid w:val="004B6E75"/>
    <w:rsid w:val="004B750D"/>
    <w:rsid w:val="004B7FCF"/>
    <w:rsid w:val="004C0AA1"/>
    <w:rsid w:val="004C165E"/>
    <w:rsid w:val="004C16BC"/>
    <w:rsid w:val="004C1A4D"/>
    <w:rsid w:val="004C1EFE"/>
    <w:rsid w:val="004C22A1"/>
    <w:rsid w:val="004C2E9A"/>
    <w:rsid w:val="004C300D"/>
    <w:rsid w:val="004C450E"/>
    <w:rsid w:val="004C488B"/>
    <w:rsid w:val="004C4C9F"/>
    <w:rsid w:val="004C5233"/>
    <w:rsid w:val="004C52E4"/>
    <w:rsid w:val="004C545E"/>
    <w:rsid w:val="004C5542"/>
    <w:rsid w:val="004C5D26"/>
    <w:rsid w:val="004C5F24"/>
    <w:rsid w:val="004C6071"/>
    <w:rsid w:val="004C60F3"/>
    <w:rsid w:val="004C6685"/>
    <w:rsid w:val="004C6B42"/>
    <w:rsid w:val="004C71CF"/>
    <w:rsid w:val="004C76EE"/>
    <w:rsid w:val="004C776E"/>
    <w:rsid w:val="004C7798"/>
    <w:rsid w:val="004C7994"/>
    <w:rsid w:val="004C7B2C"/>
    <w:rsid w:val="004C7C48"/>
    <w:rsid w:val="004D0F7A"/>
    <w:rsid w:val="004D1397"/>
    <w:rsid w:val="004D1633"/>
    <w:rsid w:val="004D1798"/>
    <w:rsid w:val="004D1803"/>
    <w:rsid w:val="004D1EFA"/>
    <w:rsid w:val="004D21C4"/>
    <w:rsid w:val="004D270C"/>
    <w:rsid w:val="004D4484"/>
    <w:rsid w:val="004D4595"/>
    <w:rsid w:val="004D4BF3"/>
    <w:rsid w:val="004D4F41"/>
    <w:rsid w:val="004D557A"/>
    <w:rsid w:val="004D6466"/>
    <w:rsid w:val="004D6A7F"/>
    <w:rsid w:val="004D6B76"/>
    <w:rsid w:val="004D7168"/>
    <w:rsid w:val="004D751C"/>
    <w:rsid w:val="004D7725"/>
    <w:rsid w:val="004E0191"/>
    <w:rsid w:val="004E0D2A"/>
    <w:rsid w:val="004E1308"/>
    <w:rsid w:val="004E1CF3"/>
    <w:rsid w:val="004E237A"/>
    <w:rsid w:val="004E2663"/>
    <w:rsid w:val="004E274F"/>
    <w:rsid w:val="004E2E88"/>
    <w:rsid w:val="004E36D2"/>
    <w:rsid w:val="004E39FE"/>
    <w:rsid w:val="004E3F35"/>
    <w:rsid w:val="004E481A"/>
    <w:rsid w:val="004E4B03"/>
    <w:rsid w:val="004E4E64"/>
    <w:rsid w:val="004E5283"/>
    <w:rsid w:val="004E5451"/>
    <w:rsid w:val="004E54B1"/>
    <w:rsid w:val="004E598F"/>
    <w:rsid w:val="004E5C79"/>
    <w:rsid w:val="004E5CA9"/>
    <w:rsid w:val="004E5E42"/>
    <w:rsid w:val="004E6F9B"/>
    <w:rsid w:val="004E7A8E"/>
    <w:rsid w:val="004F1BC5"/>
    <w:rsid w:val="004F1C7C"/>
    <w:rsid w:val="004F2044"/>
    <w:rsid w:val="004F2C59"/>
    <w:rsid w:val="004F3D56"/>
    <w:rsid w:val="004F3DB7"/>
    <w:rsid w:val="004F44C1"/>
    <w:rsid w:val="004F473C"/>
    <w:rsid w:val="004F596D"/>
    <w:rsid w:val="004F59AC"/>
    <w:rsid w:val="004F5EF7"/>
    <w:rsid w:val="004F6B65"/>
    <w:rsid w:val="004F6F77"/>
    <w:rsid w:val="004F709E"/>
    <w:rsid w:val="004F73D1"/>
    <w:rsid w:val="004F7421"/>
    <w:rsid w:val="004F7BE0"/>
    <w:rsid w:val="005002CE"/>
    <w:rsid w:val="00500604"/>
    <w:rsid w:val="0050065A"/>
    <w:rsid w:val="005007EA"/>
    <w:rsid w:val="00500847"/>
    <w:rsid w:val="00500C0B"/>
    <w:rsid w:val="00500EEC"/>
    <w:rsid w:val="0050168D"/>
    <w:rsid w:val="005028A4"/>
    <w:rsid w:val="00503AD9"/>
    <w:rsid w:val="00503F76"/>
    <w:rsid w:val="00504344"/>
    <w:rsid w:val="005044AA"/>
    <w:rsid w:val="00504675"/>
    <w:rsid w:val="00504785"/>
    <w:rsid w:val="00504AF9"/>
    <w:rsid w:val="00504D39"/>
    <w:rsid w:val="0050507E"/>
    <w:rsid w:val="00505834"/>
    <w:rsid w:val="005060D3"/>
    <w:rsid w:val="0050670F"/>
    <w:rsid w:val="00507034"/>
    <w:rsid w:val="0050716A"/>
    <w:rsid w:val="005071F9"/>
    <w:rsid w:val="005076E3"/>
    <w:rsid w:val="00507794"/>
    <w:rsid w:val="0051006E"/>
    <w:rsid w:val="0051070A"/>
    <w:rsid w:val="00510760"/>
    <w:rsid w:val="00510D3A"/>
    <w:rsid w:val="00511340"/>
    <w:rsid w:val="005114B2"/>
    <w:rsid w:val="00511A78"/>
    <w:rsid w:val="00511B0D"/>
    <w:rsid w:val="00511D1C"/>
    <w:rsid w:val="00511D2E"/>
    <w:rsid w:val="00512879"/>
    <w:rsid w:val="005129C0"/>
    <w:rsid w:val="005135E9"/>
    <w:rsid w:val="00513781"/>
    <w:rsid w:val="00513ACD"/>
    <w:rsid w:val="00514399"/>
    <w:rsid w:val="005147C2"/>
    <w:rsid w:val="00514A42"/>
    <w:rsid w:val="0051574E"/>
    <w:rsid w:val="00515BBE"/>
    <w:rsid w:val="00515E1D"/>
    <w:rsid w:val="00516214"/>
    <w:rsid w:val="0051639D"/>
    <w:rsid w:val="00516E0B"/>
    <w:rsid w:val="0051723F"/>
    <w:rsid w:val="00517791"/>
    <w:rsid w:val="00517CAF"/>
    <w:rsid w:val="00520B22"/>
    <w:rsid w:val="00521006"/>
    <w:rsid w:val="00521C4C"/>
    <w:rsid w:val="00522019"/>
    <w:rsid w:val="005221A6"/>
    <w:rsid w:val="00523D07"/>
    <w:rsid w:val="00523D6C"/>
    <w:rsid w:val="00524120"/>
    <w:rsid w:val="00524260"/>
    <w:rsid w:val="00524B42"/>
    <w:rsid w:val="0052599E"/>
    <w:rsid w:val="00525C42"/>
    <w:rsid w:val="00526A4B"/>
    <w:rsid w:val="005270C2"/>
    <w:rsid w:val="005273B3"/>
    <w:rsid w:val="00527CC2"/>
    <w:rsid w:val="0053054D"/>
    <w:rsid w:val="005305DB"/>
    <w:rsid w:val="005307A8"/>
    <w:rsid w:val="0053090A"/>
    <w:rsid w:val="00531617"/>
    <w:rsid w:val="00531EDC"/>
    <w:rsid w:val="005324E2"/>
    <w:rsid w:val="005336C1"/>
    <w:rsid w:val="0053383E"/>
    <w:rsid w:val="0053467D"/>
    <w:rsid w:val="00534CC1"/>
    <w:rsid w:val="00535735"/>
    <w:rsid w:val="00535F6E"/>
    <w:rsid w:val="005366F7"/>
    <w:rsid w:val="0053715D"/>
    <w:rsid w:val="00537BF0"/>
    <w:rsid w:val="00540A56"/>
    <w:rsid w:val="00540CFA"/>
    <w:rsid w:val="00540E38"/>
    <w:rsid w:val="00541E89"/>
    <w:rsid w:val="005424F2"/>
    <w:rsid w:val="00542881"/>
    <w:rsid w:val="00542BF5"/>
    <w:rsid w:val="005434A7"/>
    <w:rsid w:val="005438A1"/>
    <w:rsid w:val="0054394B"/>
    <w:rsid w:val="00543974"/>
    <w:rsid w:val="00543D39"/>
    <w:rsid w:val="00543EB3"/>
    <w:rsid w:val="0054429B"/>
    <w:rsid w:val="005442CC"/>
    <w:rsid w:val="00544809"/>
    <w:rsid w:val="0054499C"/>
    <w:rsid w:val="00544DF6"/>
    <w:rsid w:val="005460E1"/>
    <w:rsid w:val="00546CBF"/>
    <w:rsid w:val="005470A4"/>
    <w:rsid w:val="00547614"/>
    <w:rsid w:val="00547635"/>
    <w:rsid w:val="00547CBB"/>
    <w:rsid w:val="00550149"/>
    <w:rsid w:val="00550233"/>
    <w:rsid w:val="005505EE"/>
    <w:rsid w:val="00550B2A"/>
    <w:rsid w:val="0055225F"/>
    <w:rsid w:val="005528F1"/>
    <w:rsid w:val="005534C0"/>
    <w:rsid w:val="00553C00"/>
    <w:rsid w:val="00554010"/>
    <w:rsid w:val="00554921"/>
    <w:rsid w:val="00555179"/>
    <w:rsid w:val="0055519E"/>
    <w:rsid w:val="0055610E"/>
    <w:rsid w:val="005565CA"/>
    <w:rsid w:val="00556910"/>
    <w:rsid w:val="00556A1E"/>
    <w:rsid w:val="00557178"/>
    <w:rsid w:val="0055768B"/>
    <w:rsid w:val="005576ED"/>
    <w:rsid w:val="0056005B"/>
    <w:rsid w:val="0056036D"/>
    <w:rsid w:val="00560418"/>
    <w:rsid w:val="00560E4C"/>
    <w:rsid w:val="0056164A"/>
    <w:rsid w:val="00561A15"/>
    <w:rsid w:val="00561C16"/>
    <w:rsid w:val="005621E4"/>
    <w:rsid w:val="00562521"/>
    <w:rsid w:val="00562E4E"/>
    <w:rsid w:val="00562FB4"/>
    <w:rsid w:val="00562FC1"/>
    <w:rsid w:val="00562FF0"/>
    <w:rsid w:val="00563014"/>
    <w:rsid w:val="00563AF1"/>
    <w:rsid w:val="00563B29"/>
    <w:rsid w:val="00563FC6"/>
    <w:rsid w:val="005642BD"/>
    <w:rsid w:val="005645A4"/>
    <w:rsid w:val="00564A25"/>
    <w:rsid w:val="00564EB6"/>
    <w:rsid w:val="005654CC"/>
    <w:rsid w:val="0056572C"/>
    <w:rsid w:val="00565767"/>
    <w:rsid w:val="00565A73"/>
    <w:rsid w:val="00565DF6"/>
    <w:rsid w:val="005662B5"/>
    <w:rsid w:val="00566EE5"/>
    <w:rsid w:val="00567051"/>
    <w:rsid w:val="005673E8"/>
    <w:rsid w:val="00567FD3"/>
    <w:rsid w:val="00570282"/>
    <w:rsid w:val="0057041B"/>
    <w:rsid w:val="0057071B"/>
    <w:rsid w:val="00570ADB"/>
    <w:rsid w:val="005710FD"/>
    <w:rsid w:val="00571B36"/>
    <w:rsid w:val="00571B80"/>
    <w:rsid w:val="00571C6C"/>
    <w:rsid w:val="00572236"/>
    <w:rsid w:val="00573299"/>
    <w:rsid w:val="00573E49"/>
    <w:rsid w:val="005744C0"/>
    <w:rsid w:val="00574694"/>
    <w:rsid w:val="00574F46"/>
    <w:rsid w:val="005753B9"/>
    <w:rsid w:val="00575797"/>
    <w:rsid w:val="00575837"/>
    <w:rsid w:val="00575CA7"/>
    <w:rsid w:val="00575CF1"/>
    <w:rsid w:val="00575E7B"/>
    <w:rsid w:val="00576926"/>
    <w:rsid w:val="00576EF5"/>
    <w:rsid w:val="00576F4D"/>
    <w:rsid w:val="00576F4F"/>
    <w:rsid w:val="0057732D"/>
    <w:rsid w:val="005779AC"/>
    <w:rsid w:val="00577C72"/>
    <w:rsid w:val="00580B52"/>
    <w:rsid w:val="00580BC0"/>
    <w:rsid w:val="00580EAF"/>
    <w:rsid w:val="0058176E"/>
    <w:rsid w:val="00581DAE"/>
    <w:rsid w:val="00581F39"/>
    <w:rsid w:val="0058240E"/>
    <w:rsid w:val="00582700"/>
    <w:rsid w:val="00582A0C"/>
    <w:rsid w:val="0058328B"/>
    <w:rsid w:val="00583378"/>
    <w:rsid w:val="005833CD"/>
    <w:rsid w:val="00583E88"/>
    <w:rsid w:val="00583FFF"/>
    <w:rsid w:val="0058434F"/>
    <w:rsid w:val="005848B7"/>
    <w:rsid w:val="00584A8D"/>
    <w:rsid w:val="00585BE6"/>
    <w:rsid w:val="00587D6D"/>
    <w:rsid w:val="0059035B"/>
    <w:rsid w:val="005903DF"/>
    <w:rsid w:val="005906C2"/>
    <w:rsid w:val="00590A9B"/>
    <w:rsid w:val="00590CB0"/>
    <w:rsid w:val="00590D53"/>
    <w:rsid w:val="00590DB0"/>
    <w:rsid w:val="00590F04"/>
    <w:rsid w:val="00592591"/>
    <w:rsid w:val="00592615"/>
    <w:rsid w:val="00593967"/>
    <w:rsid w:val="00593970"/>
    <w:rsid w:val="00593BCF"/>
    <w:rsid w:val="00594129"/>
    <w:rsid w:val="00594A0C"/>
    <w:rsid w:val="00594B17"/>
    <w:rsid w:val="00595897"/>
    <w:rsid w:val="00596661"/>
    <w:rsid w:val="00596C9C"/>
    <w:rsid w:val="00597A84"/>
    <w:rsid w:val="00597B46"/>
    <w:rsid w:val="00597CAB"/>
    <w:rsid w:val="00597F01"/>
    <w:rsid w:val="005A0209"/>
    <w:rsid w:val="005A0222"/>
    <w:rsid w:val="005A023A"/>
    <w:rsid w:val="005A0481"/>
    <w:rsid w:val="005A09FF"/>
    <w:rsid w:val="005A0E5B"/>
    <w:rsid w:val="005A179D"/>
    <w:rsid w:val="005A1FEA"/>
    <w:rsid w:val="005A277F"/>
    <w:rsid w:val="005A385E"/>
    <w:rsid w:val="005A3E69"/>
    <w:rsid w:val="005A3EFE"/>
    <w:rsid w:val="005A4A78"/>
    <w:rsid w:val="005A4E51"/>
    <w:rsid w:val="005A5845"/>
    <w:rsid w:val="005A5D41"/>
    <w:rsid w:val="005A60A0"/>
    <w:rsid w:val="005A78BC"/>
    <w:rsid w:val="005A7D16"/>
    <w:rsid w:val="005B00B4"/>
    <w:rsid w:val="005B0474"/>
    <w:rsid w:val="005B0A22"/>
    <w:rsid w:val="005B0D9F"/>
    <w:rsid w:val="005B2343"/>
    <w:rsid w:val="005B35A8"/>
    <w:rsid w:val="005B45F0"/>
    <w:rsid w:val="005B4A32"/>
    <w:rsid w:val="005B4B93"/>
    <w:rsid w:val="005B4BF8"/>
    <w:rsid w:val="005B4EDE"/>
    <w:rsid w:val="005B538E"/>
    <w:rsid w:val="005B55B2"/>
    <w:rsid w:val="005B6505"/>
    <w:rsid w:val="005B6762"/>
    <w:rsid w:val="005B6B98"/>
    <w:rsid w:val="005B6BFD"/>
    <w:rsid w:val="005B6E23"/>
    <w:rsid w:val="005B70D1"/>
    <w:rsid w:val="005B77A8"/>
    <w:rsid w:val="005B78F3"/>
    <w:rsid w:val="005C0D74"/>
    <w:rsid w:val="005C1825"/>
    <w:rsid w:val="005C1A1B"/>
    <w:rsid w:val="005C1AA9"/>
    <w:rsid w:val="005C1E61"/>
    <w:rsid w:val="005C2327"/>
    <w:rsid w:val="005C26E3"/>
    <w:rsid w:val="005C2B1F"/>
    <w:rsid w:val="005C2DEB"/>
    <w:rsid w:val="005C32CC"/>
    <w:rsid w:val="005C394B"/>
    <w:rsid w:val="005C3D40"/>
    <w:rsid w:val="005C4D23"/>
    <w:rsid w:val="005C4E0D"/>
    <w:rsid w:val="005C5437"/>
    <w:rsid w:val="005C617C"/>
    <w:rsid w:val="005C6AAD"/>
    <w:rsid w:val="005C6E5D"/>
    <w:rsid w:val="005C7059"/>
    <w:rsid w:val="005C78FF"/>
    <w:rsid w:val="005D0435"/>
    <w:rsid w:val="005D075E"/>
    <w:rsid w:val="005D0A4D"/>
    <w:rsid w:val="005D0C5F"/>
    <w:rsid w:val="005D11A6"/>
    <w:rsid w:val="005D12A9"/>
    <w:rsid w:val="005D1641"/>
    <w:rsid w:val="005D178D"/>
    <w:rsid w:val="005D1AF2"/>
    <w:rsid w:val="005D1CDC"/>
    <w:rsid w:val="005D1D74"/>
    <w:rsid w:val="005D2258"/>
    <w:rsid w:val="005D2260"/>
    <w:rsid w:val="005D22F3"/>
    <w:rsid w:val="005D30E0"/>
    <w:rsid w:val="005D3501"/>
    <w:rsid w:val="005D3EDC"/>
    <w:rsid w:val="005D4105"/>
    <w:rsid w:val="005D4568"/>
    <w:rsid w:val="005D4D3D"/>
    <w:rsid w:val="005D518C"/>
    <w:rsid w:val="005D554E"/>
    <w:rsid w:val="005D5922"/>
    <w:rsid w:val="005D6008"/>
    <w:rsid w:val="005D6285"/>
    <w:rsid w:val="005D6FA7"/>
    <w:rsid w:val="005D744D"/>
    <w:rsid w:val="005E01F4"/>
    <w:rsid w:val="005E0767"/>
    <w:rsid w:val="005E0910"/>
    <w:rsid w:val="005E1146"/>
    <w:rsid w:val="005E12E5"/>
    <w:rsid w:val="005E26ED"/>
    <w:rsid w:val="005E29B8"/>
    <w:rsid w:val="005E32E7"/>
    <w:rsid w:val="005E3AC3"/>
    <w:rsid w:val="005E4FC6"/>
    <w:rsid w:val="005E5536"/>
    <w:rsid w:val="005E58DC"/>
    <w:rsid w:val="005E59BD"/>
    <w:rsid w:val="005E5A27"/>
    <w:rsid w:val="005E5C62"/>
    <w:rsid w:val="005E5E69"/>
    <w:rsid w:val="005E6999"/>
    <w:rsid w:val="005E6FBC"/>
    <w:rsid w:val="005E7010"/>
    <w:rsid w:val="005E7CAF"/>
    <w:rsid w:val="005F05AA"/>
    <w:rsid w:val="005F0B18"/>
    <w:rsid w:val="005F0CC8"/>
    <w:rsid w:val="005F0CF2"/>
    <w:rsid w:val="005F0F15"/>
    <w:rsid w:val="005F1A15"/>
    <w:rsid w:val="005F1B22"/>
    <w:rsid w:val="005F20CB"/>
    <w:rsid w:val="005F2D9D"/>
    <w:rsid w:val="005F30EA"/>
    <w:rsid w:val="005F33E1"/>
    <w:rsid w:val="005F384B"/>
    <w:rsid w:val="005F3909"/>
    <w:rsid w:val="005F3E15"/>
    <w:rsid w:val="005F400E"/>
    <w:rsid w:val="005F47E3"/>
    <w:rsid w:val="005F4DE4"/>
    <w:rsid w:val="005F59AD"/>
    <w:rsid w:val="005F5D6A"/>
    <w:rsid w:val="005F644D"/>
    <w:rsid w:val="005F6509"/>
    <w:rsid w:val="005F72B8"/>
    <w:rsid w:val="005F7F66"/>
    <w:rsid w:val="00600183"/>
    <w:rsid w:val="0060034F"/>
    <w:rsid w:val="0060036A"/>
    <w:rsid w:val="00600D50"/>
    <w:rsid w:val="00600D8E"/>
    <w:rsid w:val="00601208"/>
    <w:rsid w:val="00601725"/>
    <w:rsid w:val="00601B77"/>
    <w:rsid w:val="00601C39"/>
    <w:rsid w:val="00601FBA"/>
    <w:rsid w:val="00602366"/>
    <w:rsid w:val="0060240A"/>
    <w:rsid w:val="00602623"/>
    <w:rsid w:val="006029C2"/>
    <w:rsid w:val="00602AD1"/>
    <w:rsid w:val="00602E19"/>
    <w:rsid w:val="00602E41"/>
    <w:rsid w:val="00603A11"/>
    <w:rsid w:val="00603F84"/>
    <w:rsid w:val="0060447E"/>
    <w:rsid w:val="006045B2"/>
    <w:rsid w:val="00604806"/>
    <w:rsid w:val="00606911"/>
    <w:rsid w:val="006069C6"/>
    <w:rsid w:val="00606B47"/>
    <w:rsid w:val="00606D97"/>
    <w:rsid w:val="00607BBB"/>
    <w:rsid w:val="0061031F"/>
    <w:rsid w:val="00610A7C"/>
    <w:rsid w:val="00612328"/>
    <w:rsid w:val="00612B40"/>
    <w:rsid w:val="00613444"/>
    <w:rsid w:val="00613698"/>
    <w:rsid w:val="00613A7A"/>
    <w:rsid w:val="00613BEA"/>
    <w:rsid w:val="00614167"/>
    <w:rsid w:val="00614316"/>
    <w:rsid w:val="006143BB"/>
    <w:rsid w:val="006148CC"/>
    <w:rsid w:val="00615266"/>
    <w:rsid w:val="006153FB"/>
    <w:rsid w:val="00616054"/>
    <w:rsid w:val="0061639A"/>
    <w:rsid w:val="0061670B"/>
    <w:rsid w:val="006167C6"/>
    <w:rsid w:val="006167E3"/>
    <w:rsid w:val="00616EAE"/>
    <w:rsid w:val="0061722B"/>
    <w:rsid w:val="006174D3"/>
    <w:rsid w:val="00617DD1"/>
    <w:rsid w:val="006209E3"/>
    <w:rsid w:val="0062176D"/>
    <w:rsid w:val="00622818"/>
    <w:rsid w:val="006228E4"/>
    <w:rsid w:val="00622AE4"/>
    <w:rsid w:val="00622B4D"/>
    <w:rsid w:val="006233BC"/>
    <w:rsid w:val="00623543"/>
    <w:rsid w:val="006235F3"/>
    <w:rsid w:val="00623DDC"/>
    <w:rsid w:val="00623F5D"/>
    <w:rsid w:val="006240B6"/>
    <w:rsid w:val="00624215"/>
    <w:rsid w:val="006244EE"/>
    <w:rsid w:val="00624518"/>
    <w:rsid w:val="00624605"/>
    <w:rsid w:val="0062486B"/>
    <w:rsid w:val="00624E42"/>
    <w:rsid w:val="00625340"/>
    <w:rsid w:val="00625844"/>
    <w:rsid w:val="00625BEF"/>
    <w:rsid w:val="00627088"/>
    <w:rsid w:val="006274D0"/>
    <w:rsid w:val="00627AD2"/>
    <w:rsid w:val="00627C2C"/>
    <w:rsid w:val="00627D96"/>
    <w:rsid w:val="00627F33"/>
    <w:rsid w:val="00627FDA"/>
    <w:rsid w:val="006310D9"/>
    <w:rsid w:val="00631418"/>
    <w:rsid w:val="00631562"/>
    <w:rsid w:val="006317F4"/>
    <w:rsid w:val="00631AF0"/>
    <w:rsid w:val="00633C9B"/>
    <w:rsid w:val="006340A7"/>
    <w:rsid w:val="006342CF"/>
    <w:rsid w:val="00634345"/>
    <w:rsid w:val="00634B36"/>
    <w:rsid w:val="006360E9"/>
    <w:rsid w:val="0063641F"/>
    <w:rsid w:val="006366FB"/>
    <w:rsid w:val="006367C5"/>
    <w:rsid w:val="0063684C"/>
    <w:rsid w:val="00637197"/>
    <w:rsid w:val="00637BA3"/>
    <w:rsid w:val="00637BB1"/>
    <w:rsid w:val="00640B1F"/>
    <w:rsid w:val="00640E5F"/>
    <w:rsid w:val="00641214"/>
    <w:rsid w:val="00641657"/>
    <w:rsid w:val="00641AD9"/>
    <w:rsid w:val="00641CC8"/>
    <w:rsid w:val="00641FCB"/>
    <w:rsid w:val="00642495"/>
    <w:rsid w:val="0064295D"/>
    <w:rsid w:val="00643061"/>
    <w:rsid w:val="00643531"/>
    <w:rsid w:val="00643C08"/>
    <w:rsid w:val="00643FCF"/>
    <w:rsid w:val="00643FF4"/>
    <w:rsid w:val="00644E31"/>
    <w:rsid w:val="0064574B"/>
    <w:rsid w:val="00645D65"/>
    <w:rsid w:val="00645E50"/>
    <w:rsid w:val="00645FE6"/>
    <w:rsid w:val="006462EA"/>
    <w:rsid w:val="00646B67"/>
    <w:rsid w:val="00646E10"/>
    <w:rsid w:val="00646F18"/>
    <w:rsid w:val="00647803"/>
    <w:rsid w:val="00650144"/>
    <w:rsid w:val="0065053B"/>
    <w:rsid w:val="006508B7"/>
    <w:rsid w:val="0065131F"/>
    <w:rsid w:val="006513CC"/>
    <w:rsid w:val="00651FD9"/>
    <w:rsid w:val="006523D6"/>
    <w:rsid w:val="00652589"/>
    <w:rsid w:val="00652969"/>
    <w:rsid w:val="00652C9C"/>
    <w:rsid w:val="00652FD2"/>
    <w:rsid w:val="006537AD"/>
    <w:rsid w:val="00653883"/>
    <w:rsid w:val="00653B22"/>
    <w:rsid w:val="0065413E"/>
    <w:rsid w:val="00654A5E"/>
    <w:rsid w:val="00654C78"/>
    <w:rsid w:val="00654DE7"/>
    <w:rsid w:val="006559E5"/>
    <w:rsid w:val="006568D3"/>
    <w:rsid w:val="00656997"/>
    <w:rsid w:val="00657764"/>
    <w:rsid w:val="00657E10"/>
    <w:rsid w:val="00657E56"/>
    <w:rsid w:val="00660816"/>
    <w:rsid w:val="00660E05"/>
    <w:rsid w:val="00660E79"/>
    <w:rsid w:val="006613E3"/>
    <w:rsid w:val="0066141A"/>
    <w:rsid w:val="00662781"/>
    <w:rsid w:val="006627BF"/>
    <w:rsid w:val="006628B0"/>
    <w:rsid w:val="00662B69"/>
    <w:rsid w:val="00663A8D"/>
    <w:rsid w:val="00663CCC"/>
    <w:rsid w:val="006641A9"/>
    <w:rsid w:val="00664DBF"/>
    <w:rsid w:val="00665334"/>
    <w:rsid w:val="006653C0"/>
    <w:rsid w:val="0066549F"/>
    <w:rsid w:val="00665867"/>
    <w:rsid w:val="00665EBD"/>
    <w:rsid w:val="0066769C"/>
    <w:rsid w:val="00667C94"/>
    <w:rsid w:val="00670051"/>
    <w:rsid w:val="006701EF"/>
    <w:rsid w:val="00670AF8"/>
    <w:rsid w:val="00670D64"/>
    <w:rsid w:val="00671363"/>
    <w:rsid w:val="00672285"/>
    <w:rsid w:val="006722D1"/>
    <w:rsid w:val="006732AD"/>
    <w:rsid w:val="0067360E"/>
    <w:rsid w:val="006737D9"/>
    <w:rsid w:val="00673B35"/>
    <w:rsid w:val="00674128"/>
    <w:rsid w:val="00674190"/>
    <w:rsid w:val="00674FD0"/>
    <w:rsid w:val="00675593"/>
    <w:rsid w:val="00675671"/>
    <w:rsid w:val="00676903"/>
    <w:rsid w:val="0067735E"/>
    <w:rsid w:val="006773F2"/>
    <w:rsid w:val="00677898"/>
    <w:rsid w:val="006779AB"/>
    <w:rsid w:val="00677A01"/>
    <w:rsid w:val="00677AA3"/>
    <w:rsid w:val="006810C8"/>
    <w:rsid w:val="00681F08"/>
    <w:rsid w:val="00682368"/>
    <w:rsid w:val="00682395"/>
    <w:rsid w:val="006824B2"/>
    <w:rsid w:val="00682C51"/>
    <w:rsid w:val="006834F7"/>
    <w:rsid w:val="006837CC"/>
    <w:rsid w:val="00683FB9"/>
    <w:rsid w:val="00684F66"/>
    <w:rsid w:val="006854D2"/>
    <w:rsid w:val="00685A6A"/>
    <w:rsid w:val="00685F7E"/>
    <w:rsid w:val="00686994"/>
    <w:rsid w:val="00686C6A"/>
    <w:rsid w:val="00686E1D"/>
    <w:rsid w:val="0068775F"/>
    <w:rsid w:val="0069024A"/>
    <w:rsid w:val="0069053C"/>
    <w:rsid w:val="00690B95"/>
    <w:rsid w:val="00690FEB"/>
    <w:rsid w:val="00691037"/>
    <w:rsid w:val="006916DB"/>
    <w:rsid w:val="006924CF"/>
    <w:rsid w:val="00692EBA"/>
    <w:rsid w:val="006933C5"/>
    <w:rsid w:val="00694639"/>
    <w:rsid w:val="00694C0A"/>
    <w:rsid w:val="00694E3C"/>
    <w:rsid w:val="00694E5B"/>
    <w:rsid w:val="00695D69"/>
    <w:rsid w:val="00696153"/>
    <w:rsid w:val="0069659F"/>
    <w:rsid w:val="00696A2D"/>
    <w:rsid w:val="00697088"/>
    <w:rsid w:val="006970A0"/>
    <w:rsid w:val="006971F8"/>
    <w:rsid w:val="00697387"/>
    <w:rsid w:val="006973FC"/>
    <w:rsid w:val="00697E6C"/>
    <w:rsid w:val="006A0076"/>
    <w:rsid w:val="006A0321"/>
    <w:rsid w:val="006A0C38"/>
    <w:rsid w:val="006A15F0"/>
    <w:rsid w:val="006A19AE"/>
    <w:rsid w:val="006A208A"/>
    <w:rsid w:val="006A2AB9"/>
    <w:rsid w:val="006A3023"/>
    <w:rsid w:val="006A3216"/>
    <w:rsid w:val="006A3570"/>
    <w:rsid w:val="006A3798"/>
    <w:rsid w:val="006A4369"/>
    <w:rsid w:val="006A436B"/>
    <w:rsid w:val="006A4A11"/>
    <w:rsid w:val="006A52CB"/>
    <w:rsid w:val="006A55A8"/>
    <w:rsid w:val="006A562D"/>
    <w:rsid w:val="006A6679"/>
    <w:rsid w:val="006A6DC6"/>
    <w:rsid w:val="006A7020"/>
    <w:rsid w:val="006A731D"/>
    <w:rsid w:val="006A76EA"/>
    <w:rsid w:val="006A7706"/>
    <w:rsid w:val="006A7D5C"/>
    <w:rsid w:val="006A7F60"/>
    <w:rsid w:val="006B06D9"/>
    <w:rsid w:val="006B0B37"/>
    <w:rsid w:val="006B0D0E"/>
    <w:rsid w:val="006B0D41"/>
    <w:rsid w:val="006B0F85"/>
    <w:rsid w:val="006B1228"/>
    <w:rsid w:val="006B1334"/>
    <w:rsid w:val="006B1339"/>
    <w:rsid w:val="006B1AF7"/>
    <w:rsid w:val="006B1BC5"/>
    <w:rsid w:val="006B1C96"/>
    <w:rsid w:val="006B1DC0"/>
    <w:rsid w:val="006B2056"/>
    <w:rsid w:val="006B223B"/>
    <w:rsid w:val="006B22AC"/>
    <w:rsid w:val="006B2471"/>
    <w:rsid w:val="006B262A"/>
    <w:rsid w:val="006B2D3E"/>
    <w:rsid w:val="006B39CA"/>
    <w:rsid w:val="006B3AC7"/>
    <w:rsid w:val="006B4FD5"/>
    <w:rsid w:val="006B572B"/>
    <w:rsid w:val="006B6B11"/>
    <w:rsid w:val="006B6E23"/>
    <w:rsid w:val="006B6FF4"/>
    <w:rsid w:val="006B72BF"/>
    <w:rsid w:val="006B7A78"/>
    <w:rsid w:val="006B7C55"/>
    <w:rsid w:val="006C0352"/>
    <w:rsid w:val="006C0F88"/>
    <w:rsid w:val="006C16C2"/>
    <w:rsid w:val="006C1E40"/>
    <w:rsid w:val="006C28C2"/>
    <w:rsid w:val="006C2C9D"/>
    <w:rsid w:val="006C2E9B"/>
    <w:rsid w:val="006C3673"/>
    <w:rsid w:val="006C3740"/>
    <w:rsid w:val="006C41C9"/>
    <w:rsid w:val="006C452C"/>
    <w:rsid w:val="006C4928"/>
    <w:rsid w:val="006C494E"/>
    <w:rsid w:val="006C4A29"/>
    <w:rsid w:val="006C4CDF"/>
    <w:rsid w:val="006C4E54"/>
    <w:rsid w:val="006C4F01"/>
    <w:rsid w:val="006C5323"/>
    <w:rsid w:val="006C55A0"/>
    <w:rsid w:val="006C5937"/>
    <w:rsid w:val="006C69B3"/>
    <w:rsid w:val="006C6AA7"/>
    <w:rsid w:val="006C6E4F"/>
    <w:rsid w:val="006C720F"/>
    <w:rsid w:val="006C76C8"/>
    <w:rsid w:val="006D0EB2"/>
    <w:rsid w:val="006D1D64"/>
    <w:rsid w:val="006D1FBB"/>
    <w:rsid w:val="006D2444"/>
    <w:rsid w:val="006D25DA"/>
    <w:rsid w:val="006D27C5"/>
    <w:rsid w:val="006D2FB6"/>
    <w:rsid w:val="006D31AD"/>
    <w:rsid w:val="006D3392"/>
    <w:rsid w:val="006D343A"/>
    <w:rsid w:val="006D3503"/>
    <w:rsid w:val="006D35C9"/>
    <w:rsid w:val="006D39B2"/>
    <w:rsid w:val="006D53CB"/>
    <w:rsid w:val="006D5504"/>
    <w:rsid w:val="006D596E"/>
    <w:rsid w:val="006D60FA"/>
    <w:rsid w:val="006D65F7"/>
    <w:rsid w:val="006D6682"/>
    <w:rsid w:val="006D6876"/>
    <w:rsid w:val="006D6877"/>
    <w:rsid w:val="006D6E06"/>
    <w:rsid w:val="006D6F0B"/>
    <w:rsid w:val="006D72AA"/>
    <w:rsid w:val="006D7495"/>
    <w:rsid w:val="006D75F9"/>
    <w:rsid w:val="006D7ACD"/>
    <w:rsid w:val="006D7CE5"/>
    <w:rsid w:val="006D7D0C"/>
    <w:rsid w:val="006E0303"/>
    <w:rsid w:val="006E041E"/>
    <w:rsid w:val="006E0819"/>
    <w:rsid w:val="006E0F73"/>
    <w:rsid w:val="006E11BC"/>
    <w:rsid w:val="006E14E4"/>
    <w:rsid w:val="006E1933"/>
    <w:rsid w:val="006E1C4B"/>
    <w:rsid w:val="006E377D"/>
    <w:rsid w:val="006E49FB"/>
    <w:rsid w:val="006E4EAE"/>
    <w:rsid w:val="006E59F9"/>
    <w:rsid w:val="006E5B57"/>
    <w:rsid w:val="006E5DB2"/>
    <w:rsid w:val="006E5E59"/>
    <w:rsid w:val="006E66C6"/>
    <w:rsid w:val="006E7150"/>
    <w:rsid w:val="006E7922"/>
    <w:rsid w:val="006F1D02"/>
    <w:rsid w:val="006F2B4A"/>
    <w:rsid w:val="006F2EEC"/>
    <w:rsid w:val="006F3092"/>
    <w:rsid w:val="006F39E1"/>
    <w:rsid w:val="006F4047"/>
    <w:rsid w:val="006F4B40"/>
    <w:rsid w:val="006F4CD6"/>
    <w:rsid w:val="006F4D14"/>
    <w:rsid w:val="006F55B1"/>
    <w:rsid w:val="006F64C7"/>
    <w:rsid w:val="006F66ED"/>
    <w:rsid w:val="006F68B4"/>
    <w:rsid w:val="006F69D7"/>
    <w:rsid w:val="006F6E5F"/>
    <w:rsid w:val="006F72C1"/>
    <w:rsid w:val="007000A1"/>
    <w:rsid w:val="007009CE"/>
    <w:rsid w:val="00700A38"/>
    <w:rsid w:val="00701353"/>
    <w:rsid w:val="00701999"/>
    <w:rsid w:val="00701AB7"/>
    <w:rsid w:val="007026CF"/>
    <w:rsid w:val="00702730"/>
    <w:rsid w:val="00702DD4"/>
    <w:rsid w:val="00703199"/>
    <w:rsid w:val="007031DC"/>
    <w:rsid w:val="0070422B"/>
    <w:rsid w:val="007044E0"/>
    <w:rsid w:val="007046BB"/>
    <w:rsid w:val="007048E7"/>
    <w:rsid w:val="00704F97"/>
    <w:rsid w:val="007053B7"/>
    <w:rsid w:val="00705564"/>
    <w:rsid w:val="007057C0"/>
    <w:rsid w:val="007057F7"/>
    <w:rsid w:val="00705D07"/>
    <w:rsid w:val="00705E60"/>
    <w:rsid w:val="0070664E"/>
    <w:rsid w:val="007068A5"/>
    <w:rsid w:val="00706A6F"/>
    <w:rsid w:val="00706B26"/>
    <w:rsid w:val="00707A43"/>
    <w:rsid w:val="00707DA3"/>
    <w:rsid w:val="00710657"/>
    <w:rsid w:val="007106E1"/>
    <w:rsid w:val="007111BC"/>
    <w:rsid w:val="00711953"/>
    <w:rsid w:val="0071247E"/>
    <w:rsid w:val="00712640"/>
    <w:rsid w:val="007141BD"/>
    <w:rsid w:val="0071475C"/>
    <w:rsid w:val="00714826"/>
    <w:rsid w:val="007148B0"/>
    <w:rsid w:val="00714E94"/>
    <w:rsid w:val="0071517A"/>
    <w:rsid w:val="00715DD3"/>
    <w:rsid w:val="007160E1"/>
    <w:rsid w:val="00716877"/>
    <w:rsid w:val="0071737B"/>
    <w:rsid w:val="00717687"/>
    <w:rsid w:val="00717868"/>
    <w:rsid w:val="00717A79"/>
    <w:rsid w:val="00717C9F"/>
    <w:rsid w:val="00717E48"/>
    <w:rsid w:val="0072068F"/>
    <w:rsid w:val="00720767"/>
    <w:rsid w:val="00720B2E"/>
    <w:rsid w:val="007225CD"/>
    <w:rsid w:val="007226D6"/>
    <w:rsid w:val="0072275B"/>
    <w:rsid w:val="00722920"/>
    <w:rsid w:val="00722B23"/>
    <w:rsid w:val="00722FDF"/>
    <w:rsid w:val="0072365F"/>
    <w:rsid w:val="00723798"/>
    <w:rsid w:val="007239E2"/>
    <w:rsid w:val="00724106"/>
    <w:rsid w:val="00724547"/>
    <w:rsid w:val="0072634D"/>
    <w:rsid w:val="00726597"/>
    <w:rsid w:val="00727491"/>
    <w:rsid w:val="00730C83"/>
    <w:rsid w:val="00730DF6"/>
    <w:rsid w:val="00731136"/>
    <w:rsid w:val="007315AA"/>
    <w:rsid w:val="0073195E"/>
    <w:rsid w:val="007321DF"/>
    <w:rsid w:val="00732235"/>
    <w:rsid w:val="00732D33"/>
    <w:rsid w:val="007332D3"/>
    <w:rsid w:val="00733832"/>
    <w:rsid w:val="00733917"/>
    <w:rsid w:val="007339D9"/>
    <w:rsid w:val="00733CF7"/>
    <w:rsid w:val="00734470"/>
    <w:rsid w:val="00734833"/>
    <w:rsid w:val="0073512E"/>
    <w:rsid w:val="00735D4D"/>
    <w:rsid w:val="00735DA4"/>
    <w:rsid w:val="007365BC"/>
    <w:rsid w:val="007367B7"/>
    <w:rsid w:val="0073681D"/>
    <w:rsid w:val="00736A8F"/>
    <w:rsid w:val="00736EB2"/>
    <w:rsid w:val="00737114"/>
    <w:rsid w:val="0073745E"/>
    <w:rsid w:val="00737B32"/>
    <w:rsid w:val="00737F40"/>
    <w:rsid w:val="0074070B"/>
    <w:rsid w:val="00740885"/>
    <w:rsid w:val="00740C86"/>
    <w:rsid w:val="00740E00"/>
    <w:rsid w:val="007410CE"/>
    <w:rsid w:val="007413BB"/>
    <w:rsid w:val="00741C82"/>
    <w:rsid w:val="0074250A"/>
    <w:rsid w:val="007425C7"/>
    <w:rsid w:val="0074262B"/>
    <w:rsid w:val="007429AF"/>
    <w:rsid w:val="00742AFF"/>
    <w:rsid w:val="00742E3D"/>
    <w:rsid w:val="00743836"/>
    <w:rsid w:val="00743AA9"/>
    <w:rsid w:val="00743B35"/>
    <w:rsid w:val="007445C8"/>
    <w:rsid w:val="007447DE"/>
    <w:rsid w:val="00744858"/>
    <w:rsid w:val="00744CE6"/>
    <w:rsid w:val="00744ED7"/>
    <w:rsid w:val="007451F2"/>
    <w:rsid w:val="007452D9"/>
    <w:rsid w:val="00745439"/>
    <w:rsid w:val="00745442"/>
    <w:rsid w:val="00745533"/>
    <w:rsid w:val="00745EA8"/>
    <w:rsid w:val="00746068"/>
    <w:rsid w:val="007462F6"/>
    <w:rsid w:val="007464C1"/>
    <w:rsid w:val="00746588"/>
    <w:rsid w:val="007469AD"/>
    <w:rsid w:val="00746B85"/>
    <w:rsid w:val="00747047"/>
    <w:rsid w:val="00747C02"/>
    <w:rsid w:val="00747C10"/>
    <w:rsid w:val="0075037E"/>
    <w:rsid w:val="007503E6"/>
    <w:rsid w:val="00751092"/>
    <w:rsid w:val="007510E3"/>
    <w:rsid w:val="007514D2"/>
    <w:rsid w:val="00751933"/>
    <w:rsid w:val="00751D41"/>
    <w:rsid w:val="00751DA6"/>
    <w:rsid w:val="007520A1"/>
    <w:rsid w:val="0075228A"/>
    <w:rsid w:val="007526C0"/>
    <w:rsid w:val="00752BAD"/>
    <w:rsid w:val="00752D65"/>
    <w:rsid w:val="00752E8A"/>
    <w:rsid w:val="007533F7"/>
    <w:rsid w:val="00753A2A"/>
    <w:rsid w:val="0075437E"/>
    <w:rsid w:val="0075458B"/>
    <w:rsid w:val="00755792"/>
    <w:rsid w:val="007558B7"/>
    <w:rsid w:val="00755D2D"/>
    <w:rsid w:val="00755F7B"/>
    <w:rsid w:val="00756056"/>
    <w:rsid w:val="00756D94"/>
    <w:rsid w:val="00756F7C"/>
    <w:rsid w:val="007570C8"/>
    <w:rsid w:val="00757250"/>
    <w:rsid w:val="00757261"/>
    <w:rsid w:val="00757A16"/>
    <w:rsid w:val="007604AA"/>
    <w:rsid w:val="00760B3D"/>
    <w:rsid w:val="00760D65"/>
    <w:rsid w:val="007611D6"/>
    <w:rsid w:val="007614F2"/>
    <w:rsid w:val="007618B0"/>
    <w:rsid w:val="00761BFC"/>
    <w:rsid w:val="00761C4B"/>
    <w:rsid w:val="00761F7D"/>
    <w:rsid w:val="00762458"/>
    <w:rsid w:val="00762C18"/>
    <w:rsid w:val="007636AD"/>
    <w:rsid w:val="00763785"/>
    <w:rsid w:val="007639A7"/>
    <w:rsid w:val="00764913"/>
    <w:rsid w:val="007649F2"/>
    <w:rsid w:val="00765878"/>
    <w:rsid w:val="007658BC"/>
    <w:rsid w:val="00765AE0"/>
    <w:rsid w:val="00765FFB"/>
    <w:rsid w:val="0076649A"/>
    <w:rsid w:val="007664F4"/>
    <w:rsid w:val="007667F7"/>
    <w:rsid w:val="007672FF"/>
    <w:rsid w:val="00767AD6"/>
    <w:rsid w:val="00767C86"/>
    <w:rsid w:val="0077018F"/>
    <w:rsid w:val="00770430"/>
    <w:rsid w:val="00771252"/>
    <w:rsid w:val="00771CA5"/>
    <w:rsid w:val="00771D01"/>
    <w:rsid w:val="007720AE"/>
    <w:rsid w:val="007723E2"/>
    <w:rsid w:val="00772AC7"/>
    <w:rsid w:val="00773219"/>
    <w:rsid w:val="00773439"/>
    <w:rsid w:val="007734E7"/>
    <w:rsid w:val="0077377D"/>
    <w:rsid w:val="00773DA7"/>
    <w:rsid w:val="00774E5B"/>
    <w:rsid w:val="007757DC"/>
    <w:rsid w:val="007758E0"/>
    <w:rsid w:val="00775A38"/>
    <w:rsid w:val="00775E47"/>
    <w:rsid w:val="00776C80"/>
    <w:rsid w:val="007778EA"/>
    <w:rsid w:val="00777D49"/>
    <w:rsid w:val="00780189"/>
    <w:rsid w:val="00780EE6"/>
    <w:rsid w:val="007814B6"/>
    <w:rsid w:val="007818FA"/>
    <w:rsid w:val="007819CB"/>
    <w:rsid w:val="007821A9"/>
    <w:rsid w:val="00782FFE"/>
    <w:rsid w:val="0078377D"/>
    <w:rsid w:val="00783D64"/>
    <w:rsid w:val="00784990"/>
    <w:rsid w:val="00786D6B"/>
    <w:rsid w:val="007870D9"/>
    <w:rsid w:val="00787FCC"/>
    <w:rsid w:val="007901A6"/>
    <w:rsid w:val="00790218"/>
    <w:rsid w:val="007907A9"/>
    <w:rsid w:val="00791AC4"/>
    <w:rsid w:val="00791BED"/>
    <w:rsid w:val="00793381"/>
    <w:rsid w:val="007934AD"/>
    <w:rsid w:val="00793897"/>
    <w:rsid w:val="00793AE4"/>
    <w:rsid w:val="00794221"/>
    <w:rsid w:val="00794676"/>
    <w:rsid w:val="00794EE5"/>
    <w:rsid w:val="00795625"/>
    <w:rsid w:val="007961D3"/>
    <w:rsid w:val="007966AC"/>
    <w:rsid w:val="007970AC"/>
    <w:rsid w:val="0079747C"/>
    <w:rsid w:val="00797C9F"/>
    <w:rsid w:val="00797D4E"/>
    <w:rsid w:val="007A0B5B"/>
    <w:rsid w:val="007A0B8D"/>
    <w:rsid w:val="007A2AC9"/>
    <w:rsid w:val="007A2C70"/>
    <w:rsid w:val="007A3775"/>
    <w:rsid w:val="007A3BC7"/>
    <w:rsid w:val="007A3F5D"/>
    <w:rsid w:val="007A47DA"/>
    <w:rsid w:val="007A4864"/>
    <w:rsid w:val="007A4D40"/>
    <w:rsid w:val="007A4D57"/>
    <w:rsid w:val="007A5536"/>
    <w:rsid w:val="007A631B"/>
    <w:rsid w:val="007A66F8"/>
    <w:rsid w:val="007A6B97"/>
    <w:rsid w:val="007A6D35"/>
    <w:rsid w:val="007A6FE3"/>
    <w:rsid w:val="007A731F"/>
    <w:rsid w:val="007A77E4"/>
    <w:rsid w:val="007A7E82"/>
    <w:rsid w:val="007B0786"/>
    <w:rsid w:val="007B0C6F"/>
    <w:rsid w:val="007B0F0D"/>
    <w:rsid w:val="007B158F"/>
    <w:rsid w:val="007B180C"/>
    <w:rsid w:val="007B2252"/>
    <w:rsid w:val="007B24B5"/>
    <w:rsid w:val="007B2814"/>
    <w:rsid w:val="007B30E7"/>
    <w:rsid w:val="007B3510"/>
    <w:rsid w:val="007B38CA"/>
    <w:rsid w:val="007B43A3"/>
    <w:rsid w:val="007B45C7"/>
    <w:rsid w:val="007B48AA"/>
    <w:rsid w:val="007B50E0"/>
    <w:rsid w:val="007B5231"/>
    <w:rsid w:val="007B5436"/>
    <w:rsid w:val="007B5DC2"/>
    <w:rsid w:val="007B6445"/>
    <w:rsid w:val="007B6546"/>
    <w:rsid w:val="007B6594"/>
    <w:rsid w:val="007B6FA3"/>
    <w:rsid w:val="007B72DD"/>
    <w:rsid w:val="007B736A"/>
    <w:rsid w:val="007B7BCB"/>
    <w:rsid w:val="007C03F8"/>
    <w:rsid w:val="007C15AC"/>
    <w:rsid w:val="007C17B0"/>
    <w:rsid w:val="007C191E"/>
    <w:rsid w:val="007C1DF5"/>
    <w:rsid w:val="007C202A"/>
    <w:rsid w:val="007C2A6A"/>
    <w:rsid w:val="007C2B19"/>
    <w:rsid w:val="007C2E25"/>
    <w:rsid w:val="007C3380"/>
    <w:rsid w:val="007C3D25"/>
    <w:rsid w:val="007C4FA2"/>
    <w:rsid w:val="007C5533"/>
    <w:rsid w:val="007C58B6"/>
    <w:rsid w:val="007C6001"/>
    <w:rsid w:val="007C608D"/>
    <w:rsid w:val="007C69A1"/>
    <w:rsid w:val="007C6D4A"/>
    <w:rsid w:val="007C70FB"/>
    <w:rsid w:val="007C73C1"/>
    <w:rsid w:val="007C7723"/>
    <w:rsid w:val="007C7780"/>
    <w:rsid w:val="007C79FD"/>
    <w:rsid w:val="007D0007"/>
    <w:rsid w:val="007D058B"/>
    <w:rsid w:val="007D09C9"/>
    <w:rsid w:val="007D1D3E"/>
    <w:rsid w:val="007D2EA8"/>
    <w:rsid w:val="007D2F5D"/>
    <w:rsid w:val="007D3015"/>
    <w:rsid w:val="007D3555"/>
    <w:rsid w:val="007D35B2"/>
    <w:rsid w:val="007D375D"/>
    <w:rsid w:val="007D382E"/>
    <w:rsid w:val="007D3F9C"/>
    <w:rsid w:val="007D4149"/>
    <w:rsid w:val="007D4508"/>
    <w:rsid w:val="007D4FCD"/>
    <w:rsid w:val="007D511E"/>
    <w:rsid w:val="007D5208"/>
    <w:rsid w:val="007D555C"/>
    <w:rsid w:val="007D6415"/>
    <w:rsid w:val="007D6F9B"/>
    <w:rsid w:val="007D70EA"/>
    <w:rsid w:val="007D7984"/>
    <w:rsid w:val="007D7B68"/>
    <w:rsid w:val="007D7EC2"/>
    <w:rsid w:val="007E0F28"/>
    <w:rsid w:val="007E1E75"/>
    <w:rsid w:val="007E1F00"/>
    <w:rsid w:val="007E2899"/>
    <w:rsid w:val="007E2E95"/>
    <w:rsid w:val="007E4EC6"/>
    <w:rsid w:val="007E5323"/>
    <w:rsid w:val="007E57FA"/>
    <w:rsid w:val="007E5A4E"/>
    <w:rsid w:val="007E6973"/>
    <w:rsid w:val="007E6D58"/>
    <w:rsid w:val="007E6EB0"/>
    <w:rsid w:val="007E75F3"/>
    <w:rsid w:val="007E76E5"/>
    <w:rsid w:val="007E7A58"/>
    <w:rsid w:val="007E7DF2"/>
    <w:rsid w:val="007E7E0D"/>
    <w:rsid w:val="007E7E9E"/>
    <w:rsid w:val="007F0080"/>
    <w:rsid w:val="007F0106"/>
    <w:rsid w:val="007F03C8"/>
    <w:rsid w:val="007F07A8"/>
    <w:rsid w:val="007F09F8"/>
    <w:rsid w:val="007F1E6E"/>
    <w:rsid w:val="007F29E5"/>
    <w:rsid w:val="007F2D76"/>
    <w:rsid w:val="007F36B0"/>
    <w:rsid w:val="007F3F88"/>
    <w:rsid w:val="007F4FA5"/>
    <w:rsid w:val="007F50D4"/>
    <w:rsid w:val="007F533B"/>
    <w:rsid w:val="007F54A6"/>
    <w:rsid w:val="007F5500"/>
    <w:rsid w:val="007F5878"/>
    <w:rsid w:val="007F588B"/>
    <w:rsid w:val="007F62A3"/>
    <w:rsid w:val="007F6892"/>
    <w:rsid w:val="007F6EB3"/>
    <w:rsid w:val="007F718D"/>
    <w:rsid w:val="007F7B67"/>
    <w:rsid w:val="007F7CCC"/>
    <w:rsid w:val="007F7E16"/>
    <w:rsid w:val="0080036F"/>
    <w:rsid w:val="00800C7A"/>
    <w:rsid w:val="00801649"/>
    <w:rsid w:val="00802055"/>
    <w:rsid w:val="0080211D"/>
    <w:rsid w:val="00802543"/>
    <w:rsid w:val="00803568"/>
    <w:rsid w:val="00803E8F"/>
    <w:rsid w:val="008047FC"/>
    <w:rsid w:val="00804DDA"/>
    <w:rsid w:val="00804F46"/>
    <w:rsid w:val="00805564"/>
    <w:rsid w:val="0080559A"/>
    <w:rsid w:val="00805BF1"/>
    <w:rsid w:val="00805D0C"/>
    <w:rsid w:val="00806097"/>
    <w:rsid w:val="008061A3"/>
    <w:rsid w:val="00806311"/>
    <w:rsid w:val="00806635"/>
    <w:rsid w:val="00806DE1"/>
    <w:rsid w:val="008070BA"/>
    <w:rsid w:val="008070D0"/>
    <w:rsid w:val="008073C4"/>
    <w:rsid w:val="008076A1"/>
    <w:rsid w:val="00807B6B"/>
    <w:rsid w:val="00807F99"/>
    <w:rsid w:val="0081070F"/>
    <w:rsid w:val="00811383"/>
    <w:rsid w:val="008114F1"/>
    <w:rsid w:val="00812744"/>
    <w:rsid w:val="00812869"/>
    <w:rsid w:val="00812D18"/>
    <w:rsid w:val="008130C0"/>
    <w:rsid w:val="00813607"/>
    <w:rsid w:val="008139D9"/>
    <w:rsid w:val="00813D0C"/>
    <w:rsid w:val="00814072"/>
    <w:rsid w:val="008143FD"/>
    <w:rsid w:val="00815A8B"/>
    <w:rsid w:val="00815F78"/>
    <w:rsid w:val="0081605F"/>
    <w:rsid w:val="0081628C"/>
    <w:rsid w:val="00816667"/>
    <w:rsid w:val="0081686F"/>
    <w:rsid w:val="00816CD5"/>
    <w:rsid w:val="0081728D"/>
    <w:rsid w:val="008177BF"/>
    <w:rsid w:val="00817E85"/>
    <w:rsid w:val="008201FE"/>
    <w:rsid w:val="00820651"/>
    <w:rsid w:val="0082082B"/>
    <w:rsid w:val="00820E6F"/>
    <w:rsid w:val="00821659"/>
    <w:rsid w:val="00821C18"/>
    <w:rsid w:val="00821CFC"/>
    <w:rsid w:val="00822040"/>
    <w:rsid w:val="00822444"/>
    <w:rsid w:val="00822910"/>
    <w:rsid w:val="00822D25"/>
    <w:rsid w:val="00823208"/>
    <w:rsid w:val="008233C3"/>
    <w:rsid w:val="0082347D"/>
    <w:rsid w:val="00823911"/>
    <w:rsid w:val="00823B58"/>
    <w:rsid w:val="00823BED"/>
    <w:rsid w:val="00823F8F"/>
    <w:rsid w:val="008242BD"/>
    <w:rsid w:val="008245B8"/>
    <w:rsid w:val="00824A7F"/>
    <w:rsid w:val="008256F8"/>
    <w:rsid w:val="008257BC"/>
    <w:rsid w:val="00825C5C"/>
    <w:rsid w:val="00825FE4"/>
    <w:rsid w:val="00826660"/>
    <w:rsid w:val="008266FB"/>
    <w:rsid w:val="008268C7"/>
    <w:rsid w:val="008268D6"/>
    <w:rsid w:val="00827052"/>
    <w:rsid w:val="008307E2"/>
    <w:rsid w:val="00831672"/>
    <w:rsid w:val="00831680"/>
    <w:rsid w:val="0083236E"/>
    <w:rsid w:val="008330D5"/>
    <w:rsid w:val="008330EC"/>
    <w:rsid w:val="00833704"/>
    <w:rsid w:val="00833A5E"/>
    <w:rsid w:val="00833B65"/>
    <w:rsid w:val="0083592B"/>
    <w:rsid w:val="0083610D"/>
    <w:rsid w:val="008368DE"/>
    <w:rsid w:val="00837943"/>
    <w:rsid w:val="00837DAD"/>
    <w:rsid w:val="0084026E"/>
    <w:rsid w:val="00840A27"/>
    <w:rsid w:val="00840C1F"/>
    <w:rsid w:val="00841219"/>
    <w:rsid w:val="00841722"/>
    <w:rsid w:val="0084298C"/>
    <w:rsid w:val="00842AE1"/>
    <w:rsid w:val="00842FCE"/>
    <w:rsid w:val="00843444"/>
    <w:rsid w:val="00843500"/>
    <w:rsid w:val="0084365B"/>
    <w:rsid w:val="008439D4"/>
    <w:rsid w:val="00843B55"/>
    <w:rsid w:val="00843B96"/>
    <w:rsid w:val="00844827"/>
    <w:rsid w:val="00845329"/>
    <w:rsid w:val="00845534"/>
    <w:rsid w:val="0084553C"/>
    <w:rsid w:val="00845736"/>
    <w:rsid w:val="00845897"/>
    <w:rsid w:val="00845E8F"/>
    <w:rsid w:val="008461CC"/>
    <w:rsid w:val="00846A03"/>
    <w:rsid w:val="00846B53"/>
    <w:rsid w:val="00847002"/>
    <w:rsid w:val="0084715E"/>
    <w:rsid w:val="00847611"/>
    <w:rsid w:val="00847725"/>
    <w:rsid w:val="0084786B"/>
    <w:rsid w:val="00847ADE"/>
    <w:rsid w:val="00847CED"/>
    <w:rsid w:val="008500AC"/>
    <w:rsid w:val="00850600"/>
    <w:rsid w:val="008508FF"/>
    <w:rsid w:val="00850AFF"/>
    <w:rsid w:val="00850BEA"/>
    <w:rsid w:val="008513E1"/>
    <w:rsid w:val="00851603"/>
    <w:rsid w:val="00852A99"/>
    <w:rsid w:val="00852E23"/>
    <w:rsid w:val="00853292"/>
    <w:rsid w:val="008535B6"/>
    <w:rsid w:val="0085439C"/>
    <w:rsid w:val="0085450F"/>
    <w:rsid w:val="00854D05"/>
    <w:rsid w:val="00855275"/>
    <w:rsid w:val="00855DF0"/>
    <w:rsid w:val="00855E7D"/>
    <w:rsid w:val="00855EF3"/>
    <w:rsid w:val="008564A8"/>
    <w:rsid w:val="00856FA1"/>
    <w:rsid w:val="00857A73"/>
    <w:rsid w:val="00857FFC"/>
    <w:rsid w:val="008603B6"/>
    <w:rsid w:val="0086057A"/>
    <w:rsid w:val="008606CE"/>
    <w:rsid w:val="0086079F"/>
    <w:rsid w:val="00860900"/>
    <w:rsid w:val="00861391"/>
    <w:rsid w:val="00861583"/>
    <w:rsid w:val="0086170A"/>
    <w:rsid w:val="00861960"/>
    <w:rsid w:val="00861ACA"/>
    <w:rsid w:val="008623FD"/>
    <w:rsid w:val="0086278A"/>
    <w:rsid w:val="00862823"/>
    <w:rsid w:val="00862857"/>
    <w:rsid w:val="00862C9D"/>
    <w:rsid w:val="00863451"/>
    <w:rsid w:val="0086399F"/>
    <w:rsid w:val="0086547B"/>
    <w:rsid w:val="008654AD"/>
    <w:rsid w:val="00865582"/>
    <w:rsid w:val="008657CA"/>
    <w:rsid w:val="00866092"/>
    <w:rsid w:val="00866CA9"/>
    <w:rsid w:val="0086763B"/>
    <w:rsid w:val="008677F7"/>
    <w:rsid w:val="00867C06"/>
    <w:rsid w:val="0087051C"/>
    <w:rsid w:val="00870563"/>
    <w:rsid w:val="00870C83"/>
    <w:rsid w:val="00870E8C"/>
    <w:rsid w:val="008715C7"/>
    <w:rsid w:val="00871F24"/>
    <w:rsid w:val="008727B3"/>
    <w:rsid w:val="008728F8"/>
    <w:rsid w:val="00872A21"/>
    <w:rsid w:val="008730F0"/>
    <w:rsid w:val="00873518"/>
    <w:rsid w:val="00873A0A"/>
    <w:rsid w:val="00873F8F"/>
    <w:rsid w:val="00874292"/>
    <w:rsid w:val="00874B5C"/>
    <w:rsid w:val="008757CD"/>
    <w:rsid w:val="00875E2B"/>
    <w:rsid w:val="00876A70"/>
    <w:rsid w:val="0087713E"/>
    <w:rsid w:val="00877736"/>
    <w:rsid w:val="008777BE"/>
    <w:rsid w:val="00877F32"/>
    <w:rsid w:val="00877F67"/>
    <w:rsid w:val="0088035F"/>
    <w:rsid w:val="0088088A"/>
    <w:rsid w:val="00880F7B"/>
    <w:rsid w:val="00880F8A"/>
    <w:rsid w:val="008816B3"/>
    <w:rsid w:val="00881862"/>
    <w:rsid w:val="00881B43"/>
    <w:rsid w:val="00881C0C"/>
    <w:rsid w:val="008825BD"/>
    <w:rsid w:val="00882CAC"/>
    <w:rsid w:val="00883168"/>
    <w:rsid w:val="00883A57"/>
    <w:rsid w:val="00883AD0"/>
    <w:rsid w:val="00883F2C"/>
    <w:rsid w:val="00884B8C"/>
    <w:rsid w:val="00884E87"/>
    <w:rsid w:val="008859C4"/>
    <w:rsid w:val="00885A4B"/>
    <w:rsid w:val="00885F6C"/>
    <w:rsid w:val="008865B4"/>
    <w:rsid w:val="008866C0"/>
    <w:rsid w:val="00886A20"/>
    <w:rsid w:val="00886BD1"/>
    <w:rsid w:val="00887067"/>
    <w:rsid w:val="008874D0"/>
    <w:rsid w:val="008875F8"/>
    <w:rsid w:val="00887691"/>
    <w:rsid w:val="00890255"/>
    <w:rsid w:val="008909CA"/>
    <w:rsid w:val="008910F1"/>
    <w:rsid w:val="00891512"/>
    <w:rsid w:val="00891605"/>
    <w:rsid w:val="00891BFF"/>
    <w:rsid w:val="00891E7B"/>
    <w:rsid w:val="00892134"/>
    <w:rsid w:val="0089280C"/>
    <w:rsid w:val="0089343C"/>
    <w:rsid w:val="00893917"/>
    <w:rsid w:val="00893989"/>
    <w:rsid w:val="008940F8"/>
    <w:rsid w:val="00894452"/>
    <w:rsid w:val="0089465C"/>
    <w:rsid w:val="00894EAB"/>
    <w:rsid w:val="0089534C"/>
    <w:rsid w:val="008954C6"/>
    <w:rsid w:val="0089577E"/>
    <w:rsid w:val="008968BB"/>
    <w:rsid w:val="00896EAD"/>
    <w:rsid w:val="00897488"/>
    <w:rsid w:val="00897B13"/>
    <w:rsid w:val="00897DDC"/>
    <w:rsid w:val="008A0BCA"/>
    <w:rsid w:val="008A0BD2"/>
    <w:rsid w:val="008A0C79"/>
    <w:rsid w:val="008A0F3F"/>
    <w:rsid w:val="008A1243"/>
    <w:rsid w:val="008A16F8"/>
    <w:rsid w:val="008A1F4F"/>
    <w:rsid w:val="008A2190"/>
    <w:rsid w:val="008A25D6"/>
    <w:rsid w:val="008A43DC"/>
    <w:rsid w:val="008A515A"/>
    <w:rsid w:val="008A5199"/>
    <w:rsid w:val="008A5399"/>
    <w:rsid w:val="008A54DC"/>
    <w:rsid w:val="008A6090"/>
    <w:rsid w:val="008A60A3"/>
    <w:rsid w:val="008A64F8"/>
    <w:rsid w:val="008A75BB"/>
    <w:rsid w:val="008A7881"/>
    <w:rsid w:val="008A7EFC"/>
    <w:rsid w:val="008B016E"/>
    <w:rsid w:val="008B0708"/>
    <w:rsid w:val="008B10E1"/>
    <w:rsid w:val="008B12F0"/>
    <w:rsid w:val="008B18C1"/>
    <w:rsid w:val="008B35AB"/>
    <w:rsid w:val="008B3B59"/>
    <w:rsid w:val="008B3C77"/>
    <w:rsid w:val="008B4187"/>
    <w:rsid w:val="008B4602"/>
    <w:rsid w:val="008B4747"/>
    <w:rsid w:val="008B4980"/>
    <w:rsid w:val="008B52DB"/>
    <w:rsid w:val="008B5F29"/>
    <w:rsid w:val="008B680C"/>
    <w:rsid w:val="008B6C14"/>
    <w:rsid w:val="008B6C9A"/>
    <w:rsid w:val="008B72C5"/>
    <w:rsid w:val="008B7E7E"/>
    <w:rsid w:val="008C0460"/>
    <w:rsid w:val="008C074C"/>
    <w:rsid w:val="008C11C6"/>
    <w:rsid w:val="008C11E0"/>
    <w:rsid w:val="008C1E3D"/>
    <w:rsid w:val="008C1EEB"/>
    <w:rsid w:val="008C2071"/>
    <w:rsid w:val="008C20FA"/>
    <w:rsid w:val="008C2203"/>
    <w:rsid w:val="008C36B9"/>
    <w:rsid w:val="008C3F07"/>
    <w:rsid w:val="008C413B"/>
    <w:rsid w:val="008C4237"/>
    <w:rsid w:val="008C48FA"/>
    <w:rsid w:val="008C53E5"/>
    <w:rsid w:val="008C5AC2"/>
    <w:rsid w:val="008C60A9"/>
    <w:rsid w:val="008C63B9"/>
    <w:rsid w:val="008C674F"/>
    <w:rsid w:val="008C68C4"/>
    <w:rsid w:val="008C6990"/>
    <w:rsid w:val="008C6D65"/>
    <w:rsid w:val="008C7526"/>
    <w:rsid w:val="008D0159"/>
    <w:rsid w:val="008D07DB"/>
    <w:rsid w:val="008D2084"/>
    <w:rsid w:val="008D2244"/>
    <w:rsid w:val="008D2AE1"/>
    <w:rsid w:val="008D3942"/>
    <w:rsid w:val="008D395C"/>
    <w:rsid w:val="008D4025"/>
    <w:rsid w:val="008D4048"/>
    <w:rsid w:val="008D41CF"/>
    <w:rsid w:val="008D4993"/>
    <w:rsid w:val="008D4A4F"/>
    <w:rsid w:val="008D4C63"/>
    <w:rsid w:val="008D5749"/>
    <w:rsid w:val="008D5CE1"/>
    <w:rsid w:val="008D5D9A"/>
    <w:rsid w:val="008D64A5"/>
    <w:rsid w:val="008D6AF8"/>
    <w:rsid w:val="008D6B42"/>
    <w:rsid w:val="008D6EBF"/>
    <w:rsid w:val="008D7033"/>
    <w:rsid w:val="008D70C3"/>
    <w:rsid w:val="008D7407"/>
    <w:rsid w:val="008D7421"/>
    <w:rsid w:val="008D7624"/>
    <w:rsid w:val="008D7737"/>
    <w:rsid w:val="008D79D8"/>
    <w:rsid w:val="008D7AEE"/>
    <w:rsid w:val="008D7B9B"/>
    <w:rsid w:val="008E0035"/>
    <w:rsid w:val="008E08D6"/>
    <w:rsid w:val="008E095B"/>
    <w:rsid w:val="008E0E69"/>
    <w:rsid w:val="008E1738"/>
    <w:rsid w:val="008E1F7C"/>
    <w:rsid w:val="008E22C4"/>
    <w:rsid w:val="008E28B3"/>
    <w:rsid w:val="008E2C55"/>
    <w:rsid w:val="008E2CDF"/>
    <w:rsid w:val="008E2E98"/>
    <w:rsid w:val="008E2F94"/>
    <w:rsid w:val="008E314B"/>
    <w:rsid w:val="008E367C"/>
    <w:rsid w:val="008E3A38"/>
    <w:rsid w:val="008E3AF5"/>
    <w:rsid w:val="008E4152"/>
    <w:rsid w:val="008E4163"/>
    <w:rsid w:val="008E4393"/>
    <w:rsid w:val="008E485A"/>
    <w:rsid w:val="008E4EF5"/>
    <w:rsid w:val="008E5781"/>
    <w:rsid w:val="008E5E28"/>
    <w:rsid w:val="008E5F4D"/>
    <w:rsid w:val="008E620A"/>
    <w:rsid w:val="008E632C"/>
    <w:rsid w:val="008E64D9"/>
    <w:rsid w:val="008E6A66"/>
    <w:rsid w:val="008E6ED9"/>
    <w:rsid w:val="008E712D"/>
    <w:rsid w:val="008E72B7"/>
    <w:rsid w:val="008E7D7E"/>
    <w:rsid w:val="008F03C8"/>
    <w:rsid w:val="008F0692"/>
    <w:rsid w:val="008F0C0F"/>
    <w:rsid w:val="008F0CE9"/>
    <w:rsid w:val="008F0E39"/>
    <w:rsid w:val="008F1889"/>
    <w:rsid w:val="008F1C33"/>
    <w:rsid w:val="008F216D"/>
    <w:rsid w:val="008F2491"/>
    <w:rsid w:val="008F2870"/>
    <w:rsid w:val="008F2E38"/>
    <w:rsid w:val="008F37BB"/>
    <w:rsid w:val="008F3BD1"/>
    <w:rsid w:val="008F427F"/>
    <w:rsid w:val="008F49EC"/>
    <w:rsid w:val="008F4E6F"/>
    <w:rsid w:val="008F51E7"/>
    <w:rsid w:val="008F57CB"/>
    <w:rsid w:val="008F5CDB"/>
    <w:rsid w:val="008F60F9"/>
    <w:rsid w:val="008F6511"/>
    <w:rsid w:val="008F65D8"/>
    <w:rsid w:val="008F6B55"/>
    <w:rsid w:val="008F6D0F"/>
    <w:rsid w:val="008F72E5"/>
    <w:rsid w:val="008F782C"/>
    <w:rsid w:val="00900008"/>
    <w:rsid w:val="00900642"/>
    <w:rsid w:val="009006EB"/>
    <w:rsid w:val="00900A65"/>
    <w:rsid w:val="00900AC9"/>
    <w:rsid w:val="00900E48"/>
    <w:rsid w:val="009016AA"/>
    <w:rsid w:val="00901A4F"/>
    <w:rsid w:val="009025DF"/>
    <w:rsid w:val="00902949"/>
    <w:rsid w:val="00902B15"/>
    <w:rsid w:val="00902CBB"/>
    <w:rsid w:val="00902D08"/>
    <w:rsid w:val="0090377C"/>
    <w:rsid w:val="009045E1"/>
    <w:rsid w:val="009053FC"/>
    <w:rsid w:val="00905827"/>
    <w:rsid w:val="009058DA"/>
    <w:rsid w:val="00905B4C"/>
    <w:rsid w:val="00906455"/>
    <w:rsid w:val="009067AA"/>
    <w:rsid w:val="00906E1F"/>
    <w:rsid w:val="00907053"/>
    <w:rsid w:val="00907214"/>
    <w:rsid w:val="00907804"/>
    <w:rsid w:val="00907E0C"/>
    <w:rsid w:val="00907FEA"/>
    <w:rsid w:val="009100B8"/>
    <w:rsid w:val="00910845"/>
    <w:rsid w:val="00910CD1"/>
    <w:rsid w:val="009116DF"/>
    <w:rsid w:val="009117D4"/>
    <w:rsid w:val="00911A85"/>
    <w:rsid w:val="00911DA1"/>
    <w:rsid w:val="0091233E"/>
    <w:rsid w:val="0091234C"/>
    <w:rsid w:val="00913F13"/>
    <w:rsid w:val="009141EE"/>
    <w:rsid w:val="0091448B"/>
    <w:rsid w:val="00914E97"/>
    <w:rsid w:val="00914F27"/>
    <w:rsid w:val="00915BAA"/>
    <w:rsid w:val="00915BF0"/>
    <w:rsid w:val="00915C5C"/>
    <w:rsid w:val="00915F9F"/>
    <w:rsid w:val="00916B3C"/>
    <w:rsid w:val="00916E9B"/>
    <w:rsid w:val="00916FEA"/>
    <w:rsid w:val="00917F26"/>
    <w:rsid w:val="00917F8A"/>
    <w:rsid w:val="00920049"/>
    <w:rsid w:val="009206C2"/>
    <w:rsid w:val="0092163D"/>
    <w:rsid w:val="00921716"/>
    <w:rsid w:val="00921953"/>
    <w:rsid w:val="00921C5A"/>
    <w:rsid w:val="00921CC4"/>
    <w:rsid w:val="00922076"/>
    <w:rsid w:val="009224F9"/>
    <w:rsid w:val="009228F9"/>
    <w:rsid w:val="00922A7E"/>
    <w:rsid w:val="0092414A"/>
    <w:rsid w:val="009244BE"/>
    <w:rsid w:val="00924F00"/>
    <w:rsid w:val="00924F3A"/>
    <w:rsid w:val="009262B2"/>
    <w:rsid w:val="009264F9"/>
    <w:rsid w:val="009266F3"/>
    <w:rsid w:val="00926960"/>
    <w:rsid w:val="00926C47"/>
    <w:rsid w:val="009300FF"/>
    <w:rsid w:val="009304AA"/>
    <w:rsid w:val="00930745"/>
    <w:rsid w:val="009308F5"/>
    <w:rsid w:val="00930986"/>
    <w:rsid w:val="00930A43"/>
    <w:rsid w:val="00930D30"/>
    <w:rsid w:val="009316CB"/>
    <w:rsid w:val="0093179B"/>
    <w:rsid w:val="009319AE"/>
    <w:rsid w:val="009320EA"/>
    <w:rsid w:val="00932111"/>
    <w:rsid w:val="009326E1"/>
    <w:rsid w:val="00932BEE"/>
    <w:rsid w:val="0093342E"/>
    <w:rsid w:val="009339FB"/>
    <w:rsid w:val="00933A31"/>
    <w:rsid w:val="00933DB6"/>
    <w:rsid w:val="00934050"/>
    <w:rsid w:val="0093450E"/>
    <w:rsid w:val="00934547"/>
    <w:rsid w:val="00934917"/>
    <w:rsid w:val="00934CE1"/>
    <w:rsid w:val="00935BB5"/>
    <w:rsid w:val="00935C45"/>
    <w:rsid w:val="009362B1"/>
    <w:rsid w:val="00936C73"/>
    <w:rsid w:val="00936CB1"/>
    <w:rsid w:val="00937453"/>
    <w:rsid w:val="0093758B"/>
    <w:rsid w:val="00940D1C"/>
    <w:rsid w:val="009414E1"/>
    <w:rsid w:val="0094189E"/>
    <w:rsid w:val="00941A87"/>
    <w:rsid w:val="00941B6D"/>
    <w:rsid w:val="00941DA9"/>
    <w:rsid w:val="0094257F"/>
    <w:rsid w:val="00942B44"/>
    <w:rsid w:val="00942DEA"/>
    <w:rsid w:val="00942E4C"/>
    <w:rsid w:val="00943012"/>
    <w:rsid w:val="009431C5"/>
    <w:rsid w:val="009433B6"/>
    <w:rsid w:val="00943BAD"/>
    <w:rsid w:val="00943E91"/>
    <w:rsid w:val="009440DA"/>
    <w:rsid w:val="0094541C"/>
    <w:rsid w:val="009456F9"/>
    <w:rsid w:val="00945705"/>
    <w:rsid w:val="009459E0"/>
    <w:rsid w:val="00945A2D"/>
    <w:rsid w:val="00945A89"/>
    <w:rsid w:val="00945AE8"/>
    <w:rsid w:val="00945BC9"/>
    <w:rsid w:val="00946595"/>
    <w:rsid w:val="0094699A"/>
    <w:rsid w:val="00946E2D"/>
    <w:rsid w:val="009473FC"/>
    <w:rsid w:val="009477F7"/>
    <w:rsid w:val="00947B46"/>
    <w:rsid w:val="00950391"/>
    <w:rsid w:val="00950394"/>
    <w:rsid w:val="00950999"/>
    <w:rsid w:val="009512CF"/>
    <w:rsid w:val="00951473"/>
    <w:rsid w:val="00951554"/>
    <w:rsid w:val="009515AB"/>
    <w:rsid w:val="00952287"/>
    <w:rsid w:val="009522C6"/>
    <w:rsid w:val="009534DA"/>
    <w:rsid w:val="00953CF5"/>
    <w:rsid w:val="00953FB8"/>
    <w:rsid w:val="00954052"/>
    <w:rsid w:val="0095472C"/>
    <w:rsid w:val="00954770"/>
    <w:rsid w:val="00954797"/>
    <w:rsid w:val="0095488E"/>
    <w:rsid w:val="009553D0"/>
    <w:rsid w:val="009554D6"/>
    <w:rsid w:val="009555FF"/>
    <w:rsid w:val="00955656"/>
    <w:rsid w:val="00955ADD"/>
    <w:rsid w:val="0095608F"/>
    <w:rsid w:val="009562ED"/>
    <w:rsid w:val="00956852"/>
    <w:rsid w:val="009568ED"/>
    <w:rsid w:val="0095699C"/>
    <w:rsid w:val="00956D0A"/>
    <w:rsid w:val="00956E3B"/>
    <w:rsid w:val="009573EB"/>
    <w:rsid w:val="00957CB3"/>
    <w:rsid w:val="00960143"/>
    <w:rsid w:val="009601E5"/>
    <w:rsid w:val="00960598"/>
    <w:rsid w:val="00960B0A"/>
    <w:rsid w:val="00960F3C"/>
    <w:rsid w:val="00960F8A"/>
    <w:rsid w:val="0096113D"/>
    <w:rsid w:val="0096139D"/>
    <w:rsid w:val="00961657"/>
    <w:rsid w:val="009616A8"/>
    <w:rsid w:val="009621E6"/>
    <w:rsid w:val="00962439"/>
    <w:rsid w:val="00962DA9"/>
    <w:rsid w:val="00963101"/>
    <w:rsid w:val="009632F1"/>
    <w:rsid w:val="0096359A"/>
    <w:rsid w:val="009635AB"/>
    <w:rsid w:val="00963614"/>
    <w:rsid w:val="00963942"/>
    <w:rsid w:val="00964285"/>
    <w:rsid w:val="00964B8D"/>
    <w:rsid w:val="00964CD8"/>
    <w:rsid w:val="009652A4"/>
    <w:rsid w:val="0096598C"/>
    <w:rsid w:val="00967138"/>
    <w:rsid w:val="00967D9E"/>
    <w:rsid w:val="00970248"/>
    <w:rsid w:val="0097044A"/>
    <w:rsid w:val="00970C04"/>
    <w:rsid w:val="009713D0"/>
    <w:rsid w:val="0097167C"/>
    <w:rsid w:val="0097199D"/>
    <w:rsid w:val="00971E26"/>
    <w:rsid w:val="00972665"/>
    <w:rsid w:val="00972C17"/>
    <w:rsid w:val="00972E51"/>
    <w:rsid w:val="009733D5"/>
    <w:rsid w:val="00973E2F"/>
    <w:rsid w:val="009741DD"/>
    <w:rsid w:val="009742AD"/>
    <w:rsid w:val="009745E6"/>
    <w:rsid w:val="009746CF"/>
    <w:rsid w:val="0097475F"/>
    <w:rsid w:val="00974C1A"/>
    <w:rsid w:val="009758FC"/>
    <w:rsid w:val="00975DF6"/>
    <w:rsid w:val="0097624C"/>
    <w:rsid w:val="0097678E"/>
    <w:rsid w:val="009767E6"/>
    <w:rsid w:val="00976951"/>
    <w:rsid w:val="00976F5A"/>
    <w:rsid w:val="00977049"/>
    <w:rsid w:val="009771C1"/>
    <w:rsid w:val="009774F9"/>
    <w:rsid w:val="00977EE9"/>
    <w:rsid w:val="0098049A"/>
    <w:rsid w:val="00980D92"/>
    <w:rsid w:val="009813C4"/>
    <w:rsid w:val="0098182F"/>
    <w:rsid w:val="009820D8"/>
    <w:rsid w:val="009820FF"/>
    <w:rsid w:val="00982634"/>
    <w:rsid w:val="0098279E"/>
    <w:rsid w:val="00982E3B"/>
    <w:rsid w:val="00982F38"/>
    <w:rsid w:val="00983F9D"/>
    <w:rsid w:val="00985299"/>
    <w:rsid w:val="0098634E"/>
    <w:rsid w:val="009877BB"/>
    <w:rsid w:val="00987EE4"/>
    <w:rsid w:val="009903D4"/>
    <w:rsid w:val="0099069C"/>
    <w:rsid w:val="0099139E"/>
    <w:rsid w:val="009913E5"/>
    <w:rsid w:val="00992060"/>
    <w:rsid w:val="009921F9"/>
    <w:rsid w:val="00992B34"/>
    <w:rsid w:val="00992D2B"/>
    <w:rsid w:val="00993C7F"/>
    <w:rsid w:val="0099433C"/>
    <w:rsid w:val="00994521"/>
    <w:rsid w:val="00994ABF"/>
    <w:rsid w:val="00994B34"/>
    <w:rsid w:val="00995777"/>
    <w:rsid w:val="00995796"/>
    <w:rsid w:val="00996104"/>
    <w:rsid w:val="0099709B"/>
    <w:rsid w:val="00997828"/>
    <w:rsid w:val="00997B4F"/>
    <w:rsid w:val="00997E77"/>
    <w:rsid w:val="00997F7A"/>
    <w:rsid w:val="00997F9C"/>
    <w:rsid w:val="009A00E7"/>
    <w:rsid w:val="009A10FE"/>
    <w:rsid w:val="009A13ED"/>
    <w:rsid w:val="009A198B"/>
    <w:rsid w:val="009A1D44"/>
    <w:rsid w:val="009A1F50"/>
    <w:rsid w:val="009A2388"/>
    <w:rsid w:val="009A2A99"/>
    <w:rsid w:val="009A46EB"/>
    <w:rsid w:val="009A4D0E"/>
    <w:rsid w:val="009A51CC"/>
    <w:rsid w:val="009A5289"/>
    <w:rsid w:val="009A544E"/>
    <w:rsid w:val="009A5820"/>
    <w:rsid w:val="009A5955"/>
    <w:rsid w:val="009A5F49"/>
    <w:rsid w:val="009A69D4"/>
    <w:rsid w:val="009A6DE1"/>
    <w:rsid w:val="009A797D"/>
    <w:rsid w:val="009A7D9C"/>
    <w:rsid w:val="009A7F81"/>
    <w:rsid w:val="009B0172"/>
    <w:rsid w:val="009B0B8F"/>
    <w:rsid w:val="009B11BB"/>
    <w:rsid w:val="009B126B"/>
    <w:rsid w:val="009B1641"/>
    <w:rsid w:val="009B207F"/>
    <w:rsid w:val="009B4058"/>
    <w:rsid w:val="009B4167"/>
    <w:rsid w:val="009B42C5"/>
    <w:rsid w:val="009B4562"/>
    <w:rsid w:val="009B45FA"/>
    <w:rsid w:val="009B479C"/>
    <w:rsid w:val="009B54F2"/>
    <w:rsid w:val="009B55E8"/>
    <w:rsid w:val="009B5ED6"/>
    <w:rsid w:val="009B5F04"/>
    <w:rsid w:val="009B5FDB"/>
    <w:rsid w:val="009B6231"/>
    <w:rsid w:val="009B6F61"/>
    <w:rsid w:val="009B70B0"/>
    <w:rsid w:val="009B7BD5"/>
    <w:rsid w:val="009B7E11"/>
    <w:rsid w:val="009C010C"/>
    <w:rsid w:val="009C0575"/>
    <w:rsid w:val="009C089B"/>
    <w:rsid w:val="009C0A84"/>
    <w:rsid w:val="009C16C9"/>
    <w:rsid w:val="009C21D3"/>
    <w:rsid w:val="009C25E9"/>
    <w:rsid w:val="009C2674"/>
    <w:rsid w:val="009C2B2B"/>
    <w:rsid w:val="009C2E0F"/>
    <w:rsid w:val="009C2EC0"/>
    <w:rsid w:val="009C3271"/>
    <w:rsid w:val="009C4241"/>
    <w:rsid w:val="009C4328"/>
    <w:rsid w:val="009C457C"/>
    <w:rsid w:val="009C458F"/>
    <w:rsid w:val="009C5612"/>
    <w:rsid w:val="009C5674"/>
    <w:rsid w:val="009C56B8"/>
    <w:rsid w:val="009C5DEC"/>
    <w:rsid w:val="009C60FB"/>
    <w:rsid w:val="009C6115"/>
    <w:rsid w:val="009C6661"/>
    <w:rsid w:val="009C6968"/>
    <w:rsid w:val="009C6D6B"/>
    <w:rsid w:val="009C75FC"/>
    <w:rsid w:val="009C7976"/>
    <w:rsid w:val="009C7B59"/>
    <w:rsid w:val="009C7F1A"/>
    <w:rsid w:val="009D06CB"/>
    <w:rsid w:val="009D0E8D"/>
    <w:rsid w:val="009D0ED6"/>
    <w:rsid w:val="009D1541"/>
    <w:rsid w:val="009D1B37"/>
    <w:rsid w:val="009D1F3B"/>
    <w:rsid w:val="009D27BC"/>
    <w:rsid w:val="009D29E1"/>
    <w:rsid w:val="009D2A05"/>
    <w:rsid w:val="009D2DA4"/>
    <w:rsid w:val="009D2E7B"/>
    <w:rsid w:val="009D455D"/>
    <w:rsid w:val="009D4A25"/>
    <w:rsid w:val="009D4C6B"/>
    <w:rsid w:val="009D4FC1"/>
    <w:rsid w:val="009D5306"/>
    <w:rsid w:val="009D5B26"/>
    <w:rsid w:val="009D5F6A"/>
    <w:rsid w:val="009D60F4"/>
    <w:rsid w:val="009D6538"/>
    <w:rsid w:val="009D6AE1"/>
    <w:rsid w:val="009D6B72"/>
    <w:rsid w:val="009D7021"/>
    <w:rsid w:val="009D7204"/>
    <w:rsid w:val="009D760D"/>
    <w:rsid w:val="009E0015"/>
    <w:rsid w:val="009E085E"/>
    <w:rsid w:val="009E12E6"/>
    <w:rsid w:val="009E2705"/>
    <w:rsid w:val="009E278F"/>
    <w:rsid w:val="009E32D1"/>
    <w:rsid w:val="009E3F44"/>
    <w:rsid w:val="009E4573"/>
    <w:rsid w:val="009E52A2"/>
    <w:rsid w:val="009E5797"/>
    <w:rsid w:val="009E68E9"/>
    <w:rsid w:val="009E731E"/>
    <w:rsid w:val="009E743F"/>
    <w:rsid w:val="009E76C9"/>
    <w:rsid w:val="009E7710"/>
    <w:rsid w:val="009F07F2"/>
    <w:rsid w:val="009F0B18"/>
    <w:rsid w:val="009F0D81"/>
    <w:rsid w:val="009F0E5A"/>
    <w:rsid w:val="009F1424"/>
    <w:rsid w:val="009F143C"/>
    <w:rsid w:val="009F1D06"/>
    <w:rsid w:val="009F1DD3"/>
    <w:rsid w:val="009F1DF6"/>
    <w:rsid w:val="009F20F3"/>
    <w:rsid w:val="009F289B"/>
    <w:rsid w:val="009F2D9E"/>
    <w:rsid w:val="009F315A"/>
    <w:rsid w:val="009F3829"/>
    <w:rsid w:val="009F3C94"/>
    <w:rsid w:val="009F42E2"/>
    <w:rsid w:val="009F43A8"/>
    <w:rsid w:val="009F44A5"/>
    <w:rsid w:val="009F4C11"/>
    <w:rsid w:val="009F55E1"/>
    <w:rsid w:val="009F588B"/>
    <w:rsid w:val="009F589A"/>
    <w:rsid w:val="009F5B63"/>
    <w:rsid w:val="009F5CF5"/>
    <w:rsid w:val="009F66A5"/>
    <w:rsid w:val="009F6A51"/>
    <w:rsid w:val="009F6A87"/>
    <w:rsid w:val="009F6BE3"/>
    <w:rsid w:val="009F73F1"/>
    <w:rsid w:val="009F7403"/>
    <w:rsid w:val="009F778B"/>
    <w:rsid w:val="009F78D7"/>
    <w:rsid w:val="009F7B54"/>
    <w:rsid w:val="009F7C48"/>
    <w:rsid w:val="009F7C6F"/>
    <w:rsid w:val="009F7D08"/>
    <w:rsid w:val="00A005C0"/>
    <w:rsid w:val="00A011A9"/>
    <w:rsid w:val="00A012B2"/>
    <w:rsid w:val="00A012F7"/>
    <w:rsid w:val="00A014AF"/>
    <w:rsid w:val="00A01576"/>
    <w:rsid w:val="00A01989"/>
    <w:rsid w:val="00A01B48"/>
    <w:rsid w:val="00A02CFA"/>
    <w:rsid w:val="00A03110"/>
    <w:rsid w:val="00A0360B"/>
    <w:rsid w:val="00A03781"/>
    <w:rsid w:val="00A04785"/>
    <w:rsid w:val="00A047E0"/>
    <w:rsid w:val="00A04BF8"/>
    <w:rsid w:val="00A04C5D"/>
    <w:rsid w:val="00A04C7E"/>
    <w:rsid w:val="00A04D30"/>
    <w:rsid w:val="00A05C5E"/>
    <w:rsid w:val="00A05DC5"/>
    <w:rsid w:val="00A06149"/>
    <w:rsid w:val="00A066C2"/>
    <w:rsid w:val="00A068C3"/>
    <w:rsid w:val="00A079A5"/>
    <w:rsid w:val="00A07B35"/>
    <w:rsid w:val="00A07D49"/>
    <w:rsid w:val="00A10057"/>
    <w:rsid w:val="00A102A1"/>
    <w:rsid w:val="00A10976"/>
    <w:rsid w:val="00A10C17"/>
    <w:rsid w:val="00A1210C"/>
    <w:rsid w:val="00A12738"/>
    <w:rsid w:val="00A128FA"/>
    <w:rsid w:val="00A12B0B"/>
    <w:rsid w:val="00A12C26"/>
    <w:rsid w:val="00A134C5"/>
    <w:rsid w:val="00A13AEA"/>
    <w:rsid w:val="00A14B60"/>
    <w:rsid w:val="00A157DA"/>
    <w:rsid w:val="00A161D7"/>
    <w:rsid w:val="00A16E1C"/>
    <w:rsid w:val="00A175D5"/>
    <w:rsid w:val="00A20375"/>
    <w:rsid w:val="00A2068D"/>
    <w:rsid w:val="00A2083A"/>
    <w:rsid w:val="00A20BF7"/>
    <w:rsid w:val="00A20BFB"/>
    <w:rsid w:val="00A20CBF"/>
    <w:rsid w:val="00A20F64"/>
    <w:rsid w:val="00A2133D"/>
    <w:rsid w:val="00A217E5"/>
    <w:rsid w:val="00A2262C"/>
    <w:rsid w:val="00A228A8"/>
    <w:rsid w:val="00A22B36"/>
    <w:rsid w:val="00A23189"/>
    <w:rsid w:val="00A23437"/>
    <w:rsid w:val="00A23680"/>
    <w:rsid w:val="00A2374B"/>
    <w:rsid w:val="00A23E3A"/>
    <w:rsid w:val="00A23E58"/>
    <w:rsid w:val="00A25402"/>
    <w:rsid w:val="00A2540C"/>
    <w:rsid w:val="00A259C6"/>
    <w:rsid w:val="00A25E8A"/>
    <w:rsid w:val="00A2656B"/>
    <w:rsid w:val="00A2686E"/>
    <w:rsid w:val="00A279E9"/>
    <w:rsid w:val="00A3024B"/>
    <w:rsid w:val="00A302BE"/>
    <w:rsid w:val="00A30E8D"/>
    <w:rsid w:val="00A30F43"/>
    <w:rsid w:val="00A31564"/>
    <w:rsid w:val="00A31579"/>
    <w:rsid w:val="00A31A0B"/>
    <w:rsid w:val="00A31C1B"/>
    <w:rsid w:val="00A321F0"/>
    <w:rsid w:val="00A3256E"/>
    <w:rsid w:val="00A325A6"/>
    <w:rsid w:val="00A3286D"/>
    <w:rsid w:val="00A32DD1"/>
    <w:rsid w:val="00A32E6D"/>
    <w:rsid w:val="00A330DD"/>
    <w:rsid w:val="00A33109"/>
    <w:rsid w:val="00A341F3"/>
    <w:rsid w:val="00A34257"/>
    <w:rsid w:val="00A34632"/>
    <w:rsid w:val="00A347F7"/>
    <w:rsid w:val="00A348C1"/>
    <w:rsid w:val="00A355FA"/>
    <w:rsid w:val="00A35B00"/>
    <w:rsid w:val="00A35E42"/>
    <w:rsid w:val="00A35EFC"/>
    <w:rsid w:val="00A36101"/>
    <w:rsid w:val="00A36B6E"/>
    <w:rsid w:val="00A36D6F"/>
    <w:rsid w:val="00A36DF6"/>
    <w:rsid w:val="00A3719C"/>
    <w:rsid w:val="00A4002D"/>
    <w:rsid w:val="00A40475"/>
    <w:rsid w:val="00A4062C"/>
    <w:rsid w:val="00A407ED"/>
    <w:rsid w:val="00A40F1A"/>
    <w:rsid w:val="00A40FB1"/>
    <w:rsid w:val="00A414E6"/>
    <w:rsid w:val="00A415F8"/>
    <w:rsid w:val="00A418EE"/>
    <w:rsid w:val="00A41B66"/>
    <w:rsid w:val="00A42082"/>
    <w:rsid w:val="00A423F9"/>
    <w:rsid w:val="00A42AA4"/>
    <w:rsid w:val="00A43032"/>
    <w:rsid w:val="00A4351C"/>
    <w:rsid w:val="00A43954"/>
    <w:rsid w:val="00A43AD6"/>
    <w:rsid w:val="00A43EB7"/>
    <w:rsid w:val="00A440B0"/>
    <w:rsid w:val="00A44294"/>
    <w:rsid w:val="00A44887"/>
    <w:rsid w:val="00A44DCF"/>
    <w:rsid w:val="00A450A7"/>
    <w:rsid w:val="00A454E1"/>
    <w:rsid w:val="00A45C81"/>
    <w:rsid w:val="00A45FF0"/>
    <w:rsid w:val="00A46987"/>
    <w:rsid w:val="00A500FD"/>
    <w:rsid w:val="00A50D76"/>
    <w:rsid w:val="00A51B2D"/>
    <w:rsid w:val="00A51C9C"/>
    <w:rsid w:val="00A51E9E"/>
    <w:rsid w:val="00A5213B"/>
    <w:rsid w:val="00A528A7"/>
    <w:rsid w:val="00A528BD"/>
    <w:rsid w:val="00A52936"/>
    <w:rsid w:val="00A530E0"/>
    <w:rsid w:val="00A5320E"/>
    <w:rsid w:val="00A532AF"/>
    <w:rsid w:val="00A53A84"/>
    <w:rsid w:val="00A53B75"/>
    <w:rsid w:val="00A5432C"/>
    <w:rsid w:val="00A54B38"/>
    <w:rsid w:val="00A5566A"/>
    <w:rsid w:val="00A556BD"/>
    <w:rsid w:val="00A56DEE"/>
    <w:rsid w:val="00A571BE"/>
    <w:rsid w:val="00A575BC"/>
    <w:rsid w:val="00A57F14"/>
    <w:rsid w:val="00A60109"/>
    <w:rsid w:val="00A601C5"/>
    <w:rsid w:val="00A60F07"/>
    <w:rsid w:val="00A61681"/>
    <w:rsid w:val="00A61790"/>
    <w:rsid w:val="00A61962"/>
    <w:rsid w:val="00A61C3E"/>
    <w:rsid w:val="00A61ED7"/>
    <w:rsid w:val="00A61FC0"/>
    <w:rsid w:val="00A62420"/>
    <w:rsid w:val="00A649CE"/>
    <w:rsid w:val="00A64C6F"/>
    <w:rsid w:val="00A64ECE"/>
    <w:rsid w:val="00A659FD"/>
    <w:rsid w:val="00A6642B"/>
    <w:rsid w:val="00A6787C"/>
    <w:rsid w:val="00A70191"/>
    <w:rsid w:val="00A708FC"/>
    <w:rsid w:val="00A70B96"/>
    <w:rsid w:val="00A70F4B"/>
    <w:rsid w:val="00A70FFA"/>
    <w:rsid w:val="00A71717"/>
    <w:rsid w:val="00A717D2"/>
    <w:rsid w:val="00A717DA"/>
    <w:rsid w:val="00A71D01"/>
    <w:rsid w:val="00A71F4B"/>
    <w:rsid w:val="00A723E3"/>
    <w:rsid w:val="00A72A73"/>
    <w:rsid w:val="00A72D05"/>
    <w:rsid w:val="00A72D43"/>
    <w:rsid w:val="00A72E68"/>
    <w:rsid w:val="00A72F33"/>
    <w:rsid w:val="00A73794"/>
    <w:rsid w:val="00A73E74"/>
    <w:rsid w:val="00A73EA1"/>
    <w:rsid w:val="00A7419D"/>
    <w:rsid w:val="00A74539"/>
    <w:rsid w:val="00A7467A"/>
    <w:rsid w:val="00A74AE8"/>
    <w:rsid w:val="00A75C51"/>
    <w:rsid w:val="00A75C68"/>
    <w:rsid w:val="00A76961"/>
    <w:rsid w:val="00A8050F"/>
    <w:rsid w:val="00A80761"/>
    <w:rsid w:val="00A80FCF"/>
    <w:rsid w:val="00A81126"/>
    <w:rsid w:val="00A8145D"/>
    <w:rsid w:val="00A814D1"/>
    <w:rsid w:val="00A81E99"/>
    <w:rsid w:val="00A820CC"/>
    <w:rsid w:val="00A82C47"/>
    <w:rsid w:val="00A82FA8"/>
    <w:rsid w:val="00A83083"/>
    <w:rsid w:val="00A834EE"/>
    <w:rsid w:val="00A839FA"/>
    <w:rsid w:val="00A83AB9"/>
    <w:rsid w:val="00A83B4F"/>
    <w:rsid w:val="00A8585B"/>
    <w:rsid w:val="00A8599F"/>
    <w:rsid w:val="00A85D98"/>
    <w:rsid w:val="00A86376"/>
    <w:rsid w:val="00A86BDA"/>
    <w:rsid w:val="00A86FB1"/>
    <w:rsid w:val="00A873D1"/>
    <w:rsid w:val="00A87B67"/>
    <w:rsid w:val="00A87F22"/>
    <w:rsid w:val="00A905C3"/>
    <w:rsid w:val="00A9061C"/>
    <w:rsid w:val="00A90A77"/>
    <w:rsid w:val="00A91376"/>
    <w:rsid w:val="00A91851"/>
    <w:rsid w:val="00A918DB"/>
    <w:rsid w:val="00A91E58"/>
    <w:rsid w:val="00A92645"/>
    <w:rsid w:val="00A92A8B"/>
    <w:rsid w:val="00A93B66"/>
    <w:rsid w:val="00A93BD8"/>
    <w:rsid w:val="00A93ED9"/>
    <w:rsid w:val="00A9408D"/>
    <w:rsid w:val="00A940C7"/>
    <w:rsid w:val="00A94E84"/>
    <w:rsid w:val="00A9529D"/>
    <w:rsid w:val="00A954CB"/>
    <w:rsid w:val="00A95A60"/>
    <w:rsid w:val="00A95D62"/>
    <w:rsid w:val="00A9623A"/>
    <w:rsid w:val="00A96974"/>
    <w:rsid w:val="00A96A36"/>
    <w:rsid w:val="00A9746F"/>
    <w:rsid w:val="00A97E09"/>
    <w:rsid w:val="00A97E91"/>
    <w:rsid w:val="00AA048D"/>
    <w:rsid w:val="00AA0527"/>
    <w:rsid w:val="00AA05B9"/>
    <w:rsid w:val="00AA10BC"/>
    <w:rsid w:val="00AA1A6C"/>
    <w:rsid w:val="00AA1E82"/>
    <w:rsid w:val="00AA2017"/>
    <w:rsid w:val="00AA24C5"/>
    <w:rsid w:val="00AA253D"/>
    <w:rsid w:val="00AA2806"/>
    <w:rsid w:val="00AA299F"/>
    <w:rsid w:val="00AA3158"/>
    <w:rsid w:val="00AA3C97"/>
    <w:rsid w:val="00AA425E"/>
    <w:rsid w:val="00AA45B4"/>
    <w:rsid w:val="00AA4BEB"/>
    <w:rsid w:val="00AA4D5F"/>
    <w:rsid w:val="00AA513B"/>
    <w:rsid w:val="00AA52AC"/>
    <w:rsid w:val="00AA5E45"/>
    <w:rsid w:val="00AA63B3"/>
    <w:rsid w:val="00AA640D"/>
    <w:rsid w:val="00AA672B"/>
    <w:rsid w:val="00AA6BE7"/>
    <w:rsid w:val="00AA765E"/>
    <w:rsid w:val="00AA78AA"/>
    <w:rsid w:val="00AB0225"/>
    <w:rsid w:val="00AB04F4"/>
    <w:rsid w:val="00AB0EFF"/>
    <w:rsid w:val="00AB10C8"/>
    <w:rsid w:val="00AB10EF"/>
    <w:rsid w:val="00AB1E20"/>
    <w:rsid w:val="00AB1F99"/>
    <w:rsid w:val="00AB27B1"/>
    <w:rsid w:val="00AB30D6"/>
    <w:rsid w:val="00AB4209"/>
    <w:rsid w:val="00AB4CB8"/>
    <w:rsid w:val="00AB4E45"/>
    <w:rsid w:val="00AB511C"/>
    <w:rsid w:val="00AB59CB"/>
    <w:rsid w:val="00AB59D7"/>
    <w:rsid w:val="00AB5E52"/>
    <w:rsid w:val="00AB668A"/>
    <w:rsid w:val="00AB76F6"/>
    <w:rsid w:val="00AC0C0B"/>
    <w:rsid w:val="00AC14A9"/>
    <w:rsid w:val="00AC1AEC"/>
    <w:rsid w:val="00AC1F6A"/>
    <w:rsid w:val="00AC20DD"/>
    <w:rsid w:val="00AC26E3"/>
    <w:rsid w:val="00AC2768"/>
    <w:rsid w:val="00AC2BDD"/>
    <w:rsid w:val="00AC2C4B"/>
    <w:rsid w:val="00AC446F"/>
    <w:rsid w:val="00AC50CC"/>
    <w:rsid w:val="00AC5578"/>
    <w:rsid w:val="00AC5666"/>
    <w:rsid w:val="00AC5DCC"/>
    <w:rsid w:val="00AC5E1A"/>
    <w:rsid w:val="00AC65DC"/>
    <w:rsid w:val="00AC66E1"/>
    <w:rsid w:val="00AC6F73"/>
    <w:rsid w:val="00AC7598"/>
    <w:rsid w:val="00AD0096"/>
    <w:rsid w:val="00AD047E"/>
    <w:rsid w:val="00AD06DD"/>
    <w:rsid w:val="00AD0827"/>
    <w:rsid w:val="00AD1758"/>
    <w:rsid w:val="00AD1DF6"/>
    <w:rsid w:val="00AD200B"/>
    <w:rsid w:val="00AD21DF"/>
    <w:rsid w:val="00AD21FB"/>
    <w:rsid w:val="00AD2854"/>
    <w:rsid w:val="00AD2A15"/>
    <w:rsid w:val="00AD362A"/>
    <w:rsid w:val="00AD37E2"/>
    <w:rsid w:val="00AD39B0"/>
    <w:rsid w:val="00AD3C77"/>
    <w:rsid w:val="00AD3E03"/>
    <w:rsid w:val="00AD44E3"/>
    <w:rsid w:val="00AD4668"/>
    <w:rsid w:val="00AD53BA"/>
    <w:rsid w:val="00AD5561"/>
    <w:rsid w:val="00AD55CE"/>
    <w:rsid w:val="00AD5B8B"/>
    <w:rsid w:val="00AD5BDF"/>
    <w:rsid w:val="00AD5D8D"/>
    <w:rsid w:val="00AD5DF8"/>
    <w:rsid w:val="00AD6241"/>
    <w:rsid w:val="00AD63F4"/>
    <w:rsid w:val="00AD6421"/>
    <w:rsid w:val="00AD66AE"/>
    <w:rsid w:val="00AD72DD"/>
    <w:rsid w:val="00AD74B4"/>
    <w:rsid w:val="00AE0133"/>
    <w:rsid w:val="00AE027E"/>
    <w:rsid w:val="00AE070D"/>
    <w:rsid w:val="00AE12C9"/>
    <w:rsid w:val="00AE1C89"/>
    <w:rsid w:val="00AE1E4D"/>
    <w:rsid w:val="00AE1EAD"/>
    <w:rsid w:val="00AE2105"/>
    <w:rsid w:val="00AE23CB"/>
    <w:rsid w:val="00AE31A4"/>
    <w:rsid w:val="00AE3D26"/>
    <w:rsid w:val="00AE415E"/>
    <w:rsid w:val="00AE4764"/>
    <w:rsid w:val="00AE56B1"/>
    <w:rsid w:val="00AE605D"/>
    <w:rsid w:val="00AE611C"/>
    <w:rsid w:val="00AE6524"/>
    <w:rsid w:val="00AE6652"/>
    <w:rsid w:val="00AE779A"/>
    <w:rsid w:val="00AE7D66"/>
    <w:rsid w:val="00AF01CD"/>
    <w:rsid w:val="00AF0419"/>
    <w:rsid w:val="00AF06E2"/>
    <w:rsid w:val="00AF08D2"/>
    <w:rsid w:val="00AF105E"/>
    <w:rsid w:val="00AF13E3"/>
    <w:rsid w:val="00AF14D8"/>
    <w:rsid w:val="00AF213A"/>
    <w:rsid w:val="00AF2239"/>
    <w:rsid w:val="00AF2727"/>
    <w:rsid w:val="00AF292E"/>
    <w:rsid w:val="00AF2A02"/>
    <w:rsid w:val="00AF2B7D"/>
    <w:rsid w:val="00AF2F95"/>
    <w:rsid w:val="00AF3384"/>
    <w:rsid w:val="00AF36D6"/>
    <w:rsid w:val="00AF37FE"/>
    <w:rsid w:val="00AF3F47"/>
    <w:rsid w:val="00AF48A6"/>
    <w:rsid w:val="00AF4C14"/>
    <w:rsid w:val="00AF4DE5"/>
    <w:rsid w:val="00AF54C3"/>
    <w:rsid w:val="00AF5543"/>
    <w:rsid w:val="00AF5F11"/>
    <w:rsid w:val="00AF6865"/>
    <w:rsid w:val="00AF6996"/>
    <w:rsid w:val="00AF6C6B"/>
    <w:rsid w:val="00AF7A65"/>
    <w:rsid w:val="00AF7ADA"/>
    <w:rsid w:val="00AF7E88"/>
    <w:rsid w:val="00B0000E"/>
    <w:rsid w:val="00B00547"/>
    <w:rsid w:val="00B009E8"/>
    <w:rsid w:val="00B019DE"/>
    <w:rsid w:val="00B01AFA"/>
    <w:rsid w:val="00B02A72"/>
    <w:rsid w:val="00B03063"/>
    <w:rsid w:val="00B033C1"/>
    <w:rsid w:val="00B03B4D"/>
    <w:rsid w:val="00B03C68"/>
    <w:rsid w:val="00B04339"/>
    <w:rsid w:val="00B045A6"/>
    <w:rsid w:val="00B04EFA"/>
    <w:rsid w:val="00B04F44"/>
    <w:rsid w:val="00B05807"/>
    <w:rsid w:val="00B05934"/>
    <w:rsid w:val="00B059A8"/>
    <w:rsid w:val="00B05DE1"/>
    <w:rsid w:val="00B065E4"/>
    <w:rsid w:val="00B06948"/>
    <w:rsid w:val="00B07292"/>
    <w:rsid w:val="00B072C1"/>
    <w:rsid w:val="00B073F0"/>
    <w:rsid w:val="00B07A97"/>
    <w:rsid w:val="00B1045F"/>
    <w:rsid w:val="00B1048D"/>
    <w:rsid w:val="00B105C8"/>
    <w:rsid w:val="00B11A91"/>
    <w:rsid w:val="00B121AF"/>
    <w:rsid w:val="00B12B36"/>
    <w:rsid w:val="00B13247"/>
    <w:rsid w:val="00B136A6"/>
    <w:rsid w:val="00B13C6B"/>
    <w:rsid w:val="00B13EE4"/>
    <w:rsid w:val="00B14C50"/>
    <w:rsid w:val="00B16123"/>
    <w:rsid w:val="00B163C2"/>
    <w:rsid w:val="00B16F43"/>
    <w:rsid w:val="00B170D0"/>
    <w:rsid w:val="00B174F9"/>
    <w:rsid w:val="00B17530"/>
    <w:rsid w:val="00B17E53"/>
    <w:rsid w:val="00B202A5"/>
    <w:rsid w:val="00B206E4"/>
    <w:rsid w:val="00B207B6"/>
    <w:rsid w:val="00B20994"/>
    <w:rsid w:val="00B20AB1"/>
    <w:rsid w:val="00B20C81"/>
    <w:rsid w:val="00B20E57"/>
    <w:rsid w:val="00B21118"/>
    <w:rsid w:val="00B21A7D"/>
    <w:rsid w:val="00B224D8"/>
    <w:rsid w:val="00B22534"/>
    <w:rsid w:val="00B22A31"/>
    <w:rsid w:val="00B231A8"/>
    <w:rsid w:val="00B23567"/>
    <w:rsid w:val="00B23AC9"/>
    <w:rsid w:val="00B23FD9"/>
    <w:rsid w:val="00B24724"/>
    <w:rsid w:val="00B248BB"/>
    <w:rsid w:val="00B24927"/>
    <w:rsid w:val="00B24C96"/>
    <w:rsid w:val="00B24E62"/>
    <w:rsid w:val="00B24EA9"/>
    <w:rsid w:val="00B251AD"/>
    <w:rsid w:val="00B25426"/>
    <w:rsid w:val="00B25495"/>
    <w:rsid w:val="00B25E24"/>
    <w:rsid w:val="00B26167"/>
    <w:rsid w:val="00B266BA"/>
    <w:rsid w:val="00B26937"/>
    <w:rsid w:val="00B26DDF"/>
    <w:rsid w:val="00B2723A"/>
    <w:rsid w:val="00B278CB"/>
    <w:rsid w:val="00B27B76"/>
    <w:rsid w:val="00B30E15"/>
    <w:rsid w:val="00B317D5"/>
    <w:rsid w:val="00B31F5A"/>
    <w:rsid w:val="00B324CB"/>
    <w:rsid w:val="00B32615"/>
    <w:rsid w:val="00B32B82"/>
    <w:rsid w:val="00B335EF"/>
    <w:rsid w:val="00B339E2"/>
    <w:rsid w:val="00B3452C"/>
    <w:rsid w:val="00B35241"/>
    <w:rsid w:val="00B35B27"/>
    <w:rsid w:val="00B35BE7"/>
    <w:rsid w:val="00B35CF8"/>
    <w:rsid w:val="00B360BF"/>
    <w:rsid w:val="00B365FF"/>
    <w:rsid w:val="00B36CCE"/>
    <w:rsid w:val="00B37462"/>
    <w:rsid w:val="00B374DB"/>
    <w:rsid w:val="00B374E4"/>
    <w:rsid w:val="00B40A62"/>
    <w:rsid w:val="00B40B96"/>
    <w:rsid w:val="00B40CCF"/>
    <w:rsid w:val="00B414BD"/>
    <w:rsid w:val="00B416E2"/>
    <w:rsid w:val="00B4177F"/>
    <w:rsid w:val="00B41F05"/>
    <w:rsid w:val="00B424EA"/>
    <w:rsid w:val="00B42819"/>
    <w:rsid w:val="00B42BB8"/>
    <w:rsid w:val="00B42F3B"/>
    <w:rsid w:val="00B430A5"/>
    <w:rsid w:val="00B432AF"/>
    <w:rsid w:val="00B43B54"/>
    <w:rsid w:val="00B44BEF"/>
    <w:rsid w:val="00B44CD7"/>
    <w:rsid w:val="00B44EFF"/>
    <w:rsid w:val="00B4512E"/>
    <w:rsid w:val="00B452E9"/>
    <w:rsid w:val="00B45771"/>
    <w:rsid w:val="00B46472"/>
    <w:rsid w:val="00B46CF1"/>
    <w:rsid w:val="00B47129"/>
    <w:rsid w:val="00B47346"/>
    <w:rsid w:val="00B47DDA"/>
    <w:rsid w:val="00B47F3E"/>
    <w:rsid w:val="00B47F68"/>
    <w:rsid w:val="00B508A5"/>
    <w:rsid w:val="00B51B6C"/>
    <w:rsid w:val="00B51D62"/>
    <w:rsid w:val="00B523D6"/>
    <w:rsid w:val="00B52F4E"/>
    <w:rsid w:val="00B52F8E"/>
    <w:rsid w:val="00B532F1"/>
    <w:rsid w:val="00B53788"/>
    <w:rsid w:val="00B5393F"/>
    <w:rsid w:val="00B546F5"/>
    <w:rsid w:val="00B547FB"/>
    <w:rsid w:val="00B54B89"/>
    <w:rsid w:val="00B55796"/>
    <w:rsid w:val="00B5597F"/>
    <w:rsid w:val="00B5599B"/>
    <w:rsid w:val="00B55A3E"/>
    <w:rsid w:val="00B561E1"/>
    <w:rsid w:val="00B566B1"/>
    <w:rsid w:val="00B56773"/>
    <w:rsid w:val="00B56BD9"/>
    <w:rsid w:val="00B57152"/>
    <w:rsid w:val="00B57450"/>
    <w:rsid w:val="00B57E14"/>
    <w:rsid w:val="00B60521"/>
    <w:rsid w:val="00B608E9"/>
    <w:rsid w:val="00B624E5"/>
    <w:rsid w:val="00B62622"/>
    <w:rsid w:val="00B62B0B"/>
    <w:rsid w:val="00B63013"/>
    <w:rsid w:val="00B6312F"/>
    <w:rsid w:val="00B63142"/>
    <w:rsid w:val="00B639FF"/>
    <w:rsid w:val="00B63A0A"/>
    <w:rsid w:val="00B64043"/>
    <w:rsid w:val="00B6441C"/>
    <w:rsid w:val="00B6444B"/>
    <w:rsid w:val="00B644B9"/>
    <w:rsid w:val="00B6460B"/>
    <w:rsid w:val="00B6461A"/>
    <w:rsid w:val="00B64A61"/>
    <w:rsid w:val="00B65278"/>
    <w:rsid w:val="00B65533"/>
    <w:rsid w:val="00B655EA"/>
    <w:rsid w:val="00B65B62"/>
    <w:rsid w:val="00B65B9D"/>
    <w:rsid w:val="00B6668A"/>
    <w:rsid w:val="00B6720A"/>
    <w:rsid w:val="00B674FC"/>
    <w:rsid w:val="00B678C6"/>
    <w:rsid w:val="00B679F3"/>
    <w:rsid w:val="00B67B93"/>
    <w:rsid w:val="00B706CA"/>
    <w:rsid w:val="00B706EF"/>
    <w:rsid w:val="00B70A44"/>
    <w:rsid w:val="00B7149C"/>
    <w:rsid w:val="00B71616"/>
    <w:rsid w:val="00B717B6"/>
    <w:rsid w:val="00B717F7"/>
    <w:rsid w:val="00B71CB1"/>
    <w:rsid w:val="00B7223B"/>
    <w:rsid w:val="00B7236B"/>
    <w:rsid w:val="00B728A6"/>
    <w:rsid w:val="00B73033"/>
    <w:rsid w:val="00B7317E"/>
    <w:rsid w:val="00B738AA"/>
    <w:rsid w:val="00B73A8A"/>
    <w:rsid w:val="00B73CE9"/>
    <w:rsid w:val="00B740D0"/>
    <w:rsid w:val="00B743FA"/>
    <w:rsid w:val="00B74979"/>
    <w:rsid w:val="00B74A70"/>
    <w:rsid w:val="00B7591D"/>
    <w:rsid w:val="00B75D3F"/>
    <w:rsid w:val="00B76B88"/>
    <w:rsid w:val="00B76E8F"/>
    <w:rsid w:val="00B77241"/>
    <w:rsid w:val="00B775FB"/>
    <w:rsid w:val="00B77644"/>
    <w:rsid w:val="00B77B70"/>
    <w:rsid w:val="00B77DEF"/>
    <w:rsid w:val="00B8014F"/>
    <w:rsid w:val="00B810DC"/>
    <w:rsid w:val="00B81BE2"/>
    <w:rsid w:val="00B81D1E"/>
    <w:rsid w:val="00B82A9B"/>
    <w:rsid w:val="00B82AE8"/>
    <w:rsid w:val="00B831E7"/>
    <w:rsid w:val="00B833D3"/>
    <w:rsid w:val="00B83412"/>
    <w:rsid w:val="00B83766"/>
    <w:rsid w:val="00B8383D"/>
    <w:rsid w:val="00B83962"/>
    <w:rsid w:val="00B839EE"/>
    <w:rsid w:val="00B83CA0"/>
    <w:rsid w:val="00B84168"/>
    <w:rsid w:val="00B8417A"/>
    <w:rsid w:val="00B84603"/>
    <w:rsid w:val="00B84827"/>
    <w:rsid w:val="00B84A47"/>
    <w:rsid w:val="00B84B9D"/>
    <w:rsid w:val="00B84CA2"/>
    <w:rsid w:val="00B853F9"/>
    <w:rsid w:val="00B85900"/>
    <w:rsid w:val="00B85DB4"/>
    <w:rsid w:val="00B86782"/>
    <w:rsid w:val="00B87553"/>
    <w:rsid w:val="00B876AE"/>
    <w:rsid w:val="00B87B52"/>
    <w:rsid w:val="00B902CE"/>
    <w:rsid w:val="00B9032E"/>
    <w:rsid w:val="00B91438"/>
    <w:rsid w:val="00B91552"/>
    <w:rsid w:val="00B91A05"/>
    <w:rsid w:val="00B91BAE"/>
    <w:rsid w:val="00B92780"/>
    <w:rsid w:val="00B9279A"/>
    <w:rsid w:val="00B928B1"/>
    <w:rsid w:val="00B9305D"/>
    <w:rsid w:val="00B93498"/>
    <w:rsid w:val="00B93C3F"/>
    <w:rsid w:val="00B94987"/>
    <w:rsid w:val="00B94BD6"/>
    <w:rsid w:val="00B94DD9"/>
    <w:rsid w:val="00B95ACA"/>
    <w:rsid w:val="00B95C18"/>
    <w:rsid w:val="00B95C32"/>
    <w:rsid w:val="00B966BA"/>
    <w:rsid w:val="00B976EB"/>
    <w:rsid w:val="00B976F8"/>
    <w:rsid w:val="00B97DEB"/>
    <w:rsid w:val="00B97E7E"/>
    <w:rsid w:val="00BA09EC"/>
    <w:rsid w:val="00BA1060"/>
    <w:rsid w:val="00BA20D4"/>
    <w:rsid w:val="00BA2C57"/>
    <w:rsid w:val="00BA3DC4"/>
    <w:rsid w:val="00BA4684"/>
    <w:rsid w:val="00BA495E"/>
    <w:rsid w:val="00BA4DDC"/>
    <w:rsid w:val="00BA53D3"/>
    <w:rsid w:val="00BA5C2A"/>
    <w:rsid w:val="00BA63E4"/>
    <w:rsid w:val="00BA685D"/>
    <w:rsid w:val="00BA6DB4"/>
    <w:rsid w:val="00BA76F3"/>
    <w:rsid w:val="00BB0A6D"/>
    <w:rsid w:val="00BB0DEA"/>
    <w:rsid w:val="00BB101E"/>
    <w:rsid w:val="00BB11FE"/>
    <w:rsid w:val="00BB12ED"/>
    <w:rsid w:val="00BB1487"/>
    <w:rsid w:val="00BB1BC1"/>
    <w:rsid w:val="00BB1DD0"/>
    <w:rsid w:val="00BB25F9"/>
    <w:rsid w:val="00BB2B65"/>
    <w:rsid w:val="00BB361B"/>
    <w:rsid w:val="00BB4935"/>
    <w:rsid w:val="00BB5802"/>
    <w:rsid w:val="00BB6404"/>
    <w:rsid w:val="00BB6811"/>
    <w:rsid w:val="00BB6C94"/>
    <w:rsid w:val="00BB6F41"/>
    <w:rsid w:val="00BB7088"/>
    <w:rsid w:val="00BB73A3"/>
    <w:rsid w:val="00BB7536"/>
    <w:rsid w:val="00BB79AF"/>
    <w:rsid w:val="00BB7A06"/>
    <w:rsid w:val="00BB7FC3"/>
    <w:rsid w:val="00BC0128"/>
    <w:rsid w:val="00BC06F8"/>
    <w:rsid w:val="00BC0D39"/>
    <w:rsid w:val="00BC0E70"/>
    <w:rsid w:val="00BC12C3"/>
    <w:rsid w:val="00BC2743"/>
    <w:rsid w:val="00BC3A28"/>
    <w:rsid w:val="00BC3B7A"/>
    <w:rsid w:val="00BC3C05"/>
    <w:rsid w:val="00BC40A4"/>
    <w:rsid w:val="00BC40C4"/>
    <w:rsid w:val="00BC414D"/>
    <w:rsid w:val="00BC41DE"/>
    <w:rsid w:val="00BC664B"/>
    <w:rsid w:val="00BC67D5"/>
    <w:rsid w:val="00BC73C7"/>
    <w:rsid w:val="00BC786D"/>
    <w:rsid w:val="00BD05DD"/>
    <w:rsid w:val="00BD1B4D"/>
    <w:rsid w:val="00BD2A1E"/>
    <w:rsid w:val="00BD3398"/>
    <w:rsid w:val="00BD3668"/>
    <w:rsid w:val="00BD3B54"/>
    <w:rsid w:val="00BD3C13"/>
    <w:rsid w:val="00BD3C7E"/>
    <w:rsid w:val="00BD4137"/>
    <w:rsid w:val="00BD4573"/>
    <w:rsid w:val="00BD5024"/>
    <w:rsid w:val="00BD554E"/>
    <w:rsid w:val="00BD6B79"/>
    <w:rsid w:val="00BD7031"/>
    <w:rsid w:val="00BD7798"/>
    <w:rsid w:val="00BE02CD"/>
    <w:rsid w:val="00BE097C"/>
    <w:rsid w:val="00BE1840"/>
    <w:rsid w:val="00BE1DF5"/>
    <w:rsid w:val="00BE2021"/>
    <w:rsid w:val="00BE24FB"/>
    <w:rsid w:val="00BE2B5B"/>
    <w:rsid w:val="00BE321B"/>
    <w:rsid w:val="00BE3519"/>
    <w:rsid w:val="00BE3881"/>
    <w:rsid w:val="00BE419B"/>
    <w:rsid w:val="00BE4280"/>
    <w:rsid w:val="00BE5984"/>
    <w:rsid w:val="00BE5B27"/>
    <w:rsid w:val="00BE617A"/>
    <w:rsid w:val="00BE6DCC"/>
    <w:rsid w:val="00BE6E16"/>
    <w:rsid w:val="00BE7644"/>
    <w:rsid w:val="00BF049F"/>
    <w:rsid w:val="00BF04E2"/>
    <w:rsid w:val="00BF0CB0"/>
    <w:rsid w:val="00BF0E00"/>
    <w:rsid w:val="00BF15E2"/>
    <w:rsid w:val="00BF1CCD"/>
    <w:rsid w:val="00BF29A5"/>
    <w:rsid w:val="00BF2E02"/>
    <w:rsid w:val="00BF34F3"/>
    <w:rsid w:val="00BF4B82"/>
    <w:rsid w:val="00BF4F11"/>
    <w:rsid w:val="00BF5C78"/>
    <w:rsid w:val="00BF60A4"/>
    <w:rsid w:val="00BF60B6"/>
    <w:rsid w:val="00BF616E"/>
    <w:rsid w:val="00BF663C"/>
    <w:rsid w:val="00BF6690"/>
    <w:rsid w:val="00BF676F"/>
    <w:rsid w:val="00BF6D10"/>
    <w:rsid w:val="00BF6D36"/>
    <w:rsid w:val="00BF7532"/>
    <w:rsid w:val="00BF7B0B"/>
    <w:rsid w:val="00BF7DC9"/>
    <w:rsid w:val="00BF7ECF"/>
    <w:rsid w:val="00BF7EF1"/>
    <w:rsid w:val="00C00046"/>
    <w:rsid w:val="00C00236"/>
    <w:rsid w:val="00C00258"/>
    <w:rsid w:val="00C00270"/>
    <w:rsid w:val="00C00D67"/>
    <w:rsid w:val="00C01369"/>
    <w:rsid w:val="00C014B9"/>
    <w:rsid w:val="00C025FD"/>
    <w:rsid w:val="00C03418"/>
    <w:rsid w:val="00C03990"/>
    <w:rsid w:val="00C03D09"/>
    <w:rsid w:val="00C040D1"/>
    <w:rsid w:val="00C04517"/>
    <w:rsid w:val="00C04C33"/>
    <w:rsid w:val="00C04D1E"/>
    <w:rsid w:val="00C054D2"/>
    <w:rsid w:val="00C05710"/>
    <w:rsid w:val="00C05E91"/>
    <w:rsid w:val="00C07877"/>
    <w:rsid w:val="00C07A02"/>
    <w:rsid w:val="00C07C1C"/>
    <w:rsid w:val="00C1022E"/>
    <w:rsid w:val="00C104C7"/>
    <w:rsid w:val="00C10559"/>
    <w:rsid w:val="00C10D2D"/>
    <w:rsid w:val="00C10F97"/>
    <w:rsid w:val="00C116A9"/>
    <w:rsid w:val="00C11933"/>
    <w:rsid w:val="00C11971"/>
    <w:rsid w:val="00C11BE3"/>
    <w:rsid w:val="00C11C9F"/>
    <w:rsid w:val="00C11E67"/>
    <w:rsid w:val="00C11E87"/>
    <w:rsid w:val="00C12AD7"/>
    <w:rsid w:val="00C12C62"/>
    <w:rsid w:val="00C1309F"/>
    <w:rsid w:val="00C13D12"/>
    <w:rsid w:val="00C13F95"/>
    <w:rsid w:val="00C142BA"/>
    <w:rsid w:val="00C14ECF"/>
    <w:rsid w:val="00C150C0"/>
    <w:rsid w:val="00C15A5B"/>
    <w:rsid w:val="00C16006"/>
    <w:rsid w:val="00C16025"/>
    <w:rsid w:val="00C1631E"/>
    <w:rsid w:val="00C16674"/>
    <w:rsid w:val="00C16EF5"/>
    <w:rsid w:val="00C1718C"/>
    <w:rsid w:val="00C173FE"/>
    <w:rsid w:val="00C175CD"/>
    <w:rsid w:val="00C1781B"/>
    <w:rsid w:val="00C17B7F"/>
    <w:rsid w:val="00C17E70"/>
    <w:rsid w:val="00C2004C"/>
    <w:rsid w:val="00C220CC"/>
    <w:rsid w:val="00C220FC"/>
    <w:rsid w:val="00C22FFD"/>
    <w:rsid w:val="00C23130"/>
    <w:rsid w:val="00C238CC"/>
    <w:rsid w:val="00C23A17"/>
    <w:rsid w:val="00C24F4D"/>
    <w:rsid w:val="00C25524"/>
    <w:rsid w:val="00C25978"/>
    <w:rsid w:val="00C25DD9"/>
    <w:rsid w:val="00C25F7C"/>
    <w:rsid w:val="00C261F1"/>
    <w:rsid w:val="00C26538"/>
    <w:rsid w:val="00C267D3"/>
    <w:rsid w:val="00C267FB"/>
    <w:rsid w:val="00C26F10"/>
    <w:rsid w:val="00C2744D"/>
    <w:rsid w:val="00C2774A"/>
    <w:rsid w:val="00C30AE4"/>
    <w:rsid w:val="00C30CD5"/>
    <w:rsid w:val="00C30F01"/>
    <w:rsid w:val="00C30FC1"/>
    <w:rsid w:val="00C315FB"/>
    <w:rsid w:val="00C31CD7"/>
    <w:rsid w:val="00C31D2F"/>
    <w:rsid w:val="00C32130"/>
    <w:rsid w:val="00C321E5"/>
    <w:rsid w:val="00C323E4"/>
    <w:rsid w:val="00C3260D"/>
    <w:rsid w:val="00C32AAF"/>
    <w:rsid w:val="00C32C05"/>
    <w:rsid w:val="00C32C57"/>
    <w:rsid w:val="00C32C9F"/>
    <w:rsid w:val="00C33380"/>
    <w:rsid w:val="00C33453"/>
    <w:rsid w:val="00C33B2C"/>
    <w:rsid w:val="00C344D2"/>
    <w:rsid w:val="00C34CDE"/>
    <w:rsid w:val="00C354AF"/>
    <w:rsid w:val="00C36077"/>
    <w:rsid w:val="00C36159"/>
    <w:rsid w:val="00C369A5"/>
    <w:rsid w:val="00C37542"/>
    <w:rsid w:val="00C3763B"/>
    <w:rsid w:val="00C37DF6"/>
    <w:rsid w:val="00C4061A"/>
    <w:rsid w:val="00C40744"/>
    <w:rsid w:val="00C4137E"/>
    <w:rsid w:val="00C41A24"/>
    <w:rsid w:val="00C4227F"/>
    <w:rsid w:val="00C42A85"/>
    <w:rsid w:val="00C43023"/>
    <w:rsid w:val="00C431C1"/>
    <w:rsid w:val="00C431D4"/>
    <w:rsid w:val="00C43680"/>
    <w:rsid w:val="00C43743"/>
    <w:rsid w:val="00C43839"/>
    <w:rsid w:val="00C44812"/>
    <w:rsid w:val="00C44ACD"/>
    <w:rsid w:val="00C44BAA"/>
    <w:rsid w:val="00C44C1E"/>
    <w:rsid w:val="00C45AB5"/>
    <w:rsid w:val="00C4606D"/>
    <w:rsid w:val="00C46F6A"/>
    <w:rsid w:val="00C4728B"/>
    <w:rsid w:val="00C472E5"/>
    <w:rsid w:val="00C479A9"/>
    <w:rsid w:val="00C47A03"/>
    <w:rsid w:val="00C47A7A"/>
    <w:rsid w:val="00C47DCE"/>
    <w:rsid w:val="00C505F3"/>
    <w:rsid w:val="00C50789"/>
    <w:rsid w:val="00C507E5"/>
    <w:rsid w:val="00C508CA"/>
    <w:rsid w:val="00C520B5"/>
    <w:rsid w:val="00C520DB"/>
    <w:rsid w:val="00C524E1"/>
    <w:rsid w:val="00C53192"/>
    <w:rsid w:val="00C54028"/>
    <w:rsid w:val="00C543B7"/>
    <w:rsid w:val="00C55051"/>
    <w:rsid w:val="00C55237"/>
    <w:rsid w:val="00C554B5"/>
    <w:rsid w:val="00C55E60"/>
    <w:rsid w:val="00C56166"/>
    <w:rsid w:val="00C5756A"/>
    <w:rsid w:val="00C57B1B"/>
    <w:rsid w:val="00C6061A"/>
    <w:rsid w:val="00C60663"/>
    <w:rsid w:val="00C615BD"/>
    <w:rsid w:val="00C616D8"/>
    <w:rsid w:val="00C617A3"/>
    <w:rsid w:val="00C61803"/>
    <w:rsid w:val="00C622D1"/>
    <w:rsid w:val="00C62657"/>
    <w:rsid w:val="00C62798"/>
    <w:rsid w:val="00C62E56"/>
    <w:rsid w:val="00C62FA9"/>
    <w:rsid w:val="00C635F6"/>
    <w:rsid w:val="00C63676"/>
    <w:rsid w:val="00C63E40"/>
    <w:rsid w:val="00C6405F"/>
    <w:rsid w:val="00C64931"/>
    <w:rsid w:val="00C64A82"/>
    <w:rsid w:val="00C651B7"/>
    <w:rsid w:val="00C653DF"/>
    <w:rsid w:val="00C6555D"/>
    <w:rsid w:val="00C6584B"/>
    <w:rsid w:val="00C662D3"/>
    <w:rsid w:val="00C667E4"/>
    <w:rsid w:val="00C66A6A"/>
    <w:rsid w:val="00C66C30"/>
    <w:rsid w:val="00C676D0"/>
    <w:rsid w:val="00C7100D"/>
    <w:rsid w:val="00C71067"/>
    <w:rsid w:val="00C7161D"/>
    <w:rsid w:val="00C717F8"/>
    <w:rsid w:val="00C71F6F"/>
    <w:rsid w:val="00C727AE"/>
    <w:rsid w:val="00C7286B"/>
    <w:rsid w:val="00C7295D"/>
    <w:rsid w:val="00C73F56"/>
    <w:rsid w:val="00C745E8"/>
    <w:rsid w:val="00C747F5"/>
    <w:rsid w:val="00C74B76"/>
    <w:rsid w:val="00C74E59"/>
    <w:rsid w:val="00C75872"/>
    <w:rsid w:val="00C75EF5"/>
    <w:rsid w:val="00C764CE"/>
    <w:rsid w:val="00C7702A"/>
    <w:rsid w:val="00C77EDB"/>
    <w:rsid w:val="00C80124"/>
    <w:rsid w:val="00C814A6"/>
    <w:rsid w:val="00C814DC"/>
    <w:rsid w:val="00C817F9"/>
    <w:rsid w:val="00C817FC"/>
    <w:rsid w:val="00C818FE"/>
    <w:rsid w:val="00C82521"/>
    <w:rsid w:val="00C82907"/>
    <w:rsid w:val="00C82BFE"/>
    <w:rsid w:val="00C83020"/>
    <w:rsid w:val="00C84065"/>
    <w:rsid w:val="00C84412"/>
    <w:rsid w:val="00C85226"/>
    <w:rsid w:val="00C8619F"/>
    <w:rsid w:val="00C86BDF"/>
    <w:rsid w:val="00C872BF"/>
    <w:rsid w:val="00C87531"/>
    <w:rsid w:val="00C87D62"/>
    <w:rsid w:val="00C904C2"/>
    <w:rsid w:val="00C90F26"/>
    <w:rsid w:val="00C91C62"/>
    <w:rsid w:val="00C91E80"/>
    <w:rsid w:val="00C91FF6"/>
    <w:rsid w:val="00C929C2"/>
    <w:rsid w:val="00C92A6C"/>
    <w:rsid w:val="00C931F8"/>
    <w:rsid w:val="00C9337A"/>
    <w:rsid w:val="00C934D5"/>
    <w:rsid w:val="00C93689"/>
    <w:rsid w:val="00C93DBB"/>
    <w:rsid w:val="00C94345"/>
    <w:rsid w:val="00C9455B"/>
    <w:rsid w:val="00C946B2"/>
    <w:rsid w:val="00C94C8B"/>
    <w:rsid w:val="00C95246"/>
    <w:rsid w:val="00C95368"/>
    <w:rsid w:val="00C9657D"/>
    <w:rsid w:val="00C96C65"/>
    <w:rsid w:val="00C97244"/>
    <w:rsid w:val="00C97AFD"/>
    <w:rsid w:val="00CA0150"/>
    <w:rsid w:val="00CA02C6"/>
    <w:rsid w:val="00CA0331"/>
    <w:rsid w:val="00CA07F6"/>
    <w:rsid w:val="00CA152C"/>
    <w:rsid w:val="00CA175D"/>
    <w:rsid w:val="00CA1A86"/>
    <w:rsid w:val="00CA1B09"/>
    <w:rsid w:val="00CA1B76"/>
    <w:rsid w:val="00CA1CDE"/>
    <w:rsid w:val="00CA227C"/>
    <w:rsid w:val="00CA247C"/>
    <w:rsid w:val="00CA2653"/>
    <w:rsid w:val="00CA2722"/>
    <w:rsid w:val="00CA2A0D"/>
    <w:rsid w:val="00CA32C8"/>
    <w:rsid w:val="00CA35B8"/>
    <w:rsid w:val="00CA37B6"/>
    <w:rsid w:val="00CA3A55"/>
    <w:rsid w:val="00CA409D"/>
    <w:rsid w:val="00CA4109"/>
    <w:rsid w:val="00CA44DD"/>
    <w:rsid w:val="00CA4D0B"/>
    <w:rsid w:val="00CA4D6C"/>
    <w:rsid w:val="00CA4F2F"/>
    <w:rsid w:val="00CA53A0"/>
    <w:rsid w:val="00CA5688"/>
    <w:rsid w:val="00CA5AC9"/>
    <w:rsid w:val="00CA5B7B"/>
    <w:rsid w:val="00CA60D9"/>
    <w:rsid w:val="00CA6267"/>
    <w:rsid w:val="00CA6CD6"/>
    <w:rsid w:val="00CA72B3"/>
    <w:rsid w:val="00CA7300"/>
    <w:rsid w:val="00CA73BF"/>
    <w:rsid w:val="00CB0D83"/>
    <w:rsid w:val="00CB0EA6"/>
    <w:rsid w:val="00CB1826"/>
    <w:rsid w:val="00CB1A5B"/>
    <w:rsid w:val="00CB1D0E"/>
    <w:rsid w:val="00CB2394"/>
    <w:rsid w:val="00CB2BAA"/>
    <w:rsid w:val="00CB2EA9"/>
    <w:rsid w:val="00CB3269"/>
    <w:rsid w:val="00CB39EA"/>
    <w:rsid w:val="00CB3BA5"/>
    <w:rsid w:val="00CB3E28"/>
    <w:rsid w:val="00CB4339"/>
    <w:rsid w:val="00CB4367"/>
    <w:rsid w:val="00CB53D6"/>
    <w:rsid w:val="00CB59FB"/>
    <w:rsid w:val="00CB5CCE"/>
    <w:rsid w:val="00CB5CF4"/>
    <w:rsid w:val="00CB6187"/>
    <w:rsid w:val="00CB631B"/>
    <w:rsid w:val="00CB6323"/>
    <w:rsid w:val="00CB6883"/>
    <w:rsid w:val="00CB6938"/>
    <w:rsid w:val="00CB6B83"/>
    <w:rsid w:val="00CB6FA7"/>
    <w:rsid w:val="00CB751B"/>
    <w:rsid w:val="00CB7BFF"/>
    <w:rsid w:val="00CB7E35"/>
    <w:rsid w:val="00CC1C1F"/>
    <w:rsid w:val="00CC1C75"/>
    <w:rsid w:val="00CC1D6F"/>
    <w:rsid w:val="00CC282E"/>
    <w:rsid w:val="00CC2A22"/>
    <w:rsid w:val="00CC3182"/>
    <w:rsid w:val="00CC364D"/>
    <w:rsid w:val="00CC36CF"/>
    <w:rsid w:val="00CC40F6"/>
    <w:rsid w:val="00CC5C72"/>
    <w:rsid w:val="00CC5E8A"/>
    <w:rsid w:val="00CC7EFB"/>
    <w:rsid w:val="00CC7FDC"/>
    <w:rsid w:val="00CD05E6"/>
    <w:rsid w:val="00CD09EC"/>
    <w:rsid w:val="00CD0E24"/>
    <w:rsid w:val="00CD11C5"/>
    <w:rsid w:val="00CD2848"/>
    <w:rsid w:val="00CD2952"/>
    <w:rsid w:val="00CD2B20"/>
    <w:rsid w:val="00CD4AC7"/>
    <w:rsid w:val="00CD4F9B"/>
    <w:rsid w:val="00CD532A"/>
    <w:rsid w:val="00CD575C"/>
    <w:rsid w:val="00CD58A4"/>
    <w:rsid w:val="00CD5BAC"/>
    <w:rsid w:val="00CD5FB4"/>
    <w:rsid w:val="00CD616E"/>
    <w:rsid w:val="00CD6782"/>
    <w:rsid w:val="00CD6CC5"/>
    <w:rsid w:val="00CD75C3"/>
    <w:rsid w:val="00CD7900"/>
    <w:rsid w:val="00CD7F57"/>
    <w:rsid w:val="00CE0679"/>
    <w:rsid w:val="00CE0951"/>
    <w:rsid w:val="00CE1826"/>
    <w:rsid w:val="00CE1FC9"/>
    <w:rsid w:val="00CE38EF"/>
    <w:rsid w:val="00CE390D"/>
    <w:rsid w:val="00CE4012"/>
    <w:rsid w:val="00CE4079"/>
    <w:rsid w:val="00CE4506"/>
    <w:rsid w:val="00CE4649"/>
    <w:rsid w:val="00CE46D6"/>
    <w:rsid w:val="00CE4D63"/>
    <w:rsid w:val="00CE50C0"/>
    <w:rsid w:val="00CE5552"/>
    <w:rsid w:val="00CE58C0"/>
    <w:rsid w:val="00CE5E85"/>
    <w:rsid w:val="00CE65E8"/>
    <w:rsid w:val="00CE6D0F"/>
    <w:rsid w:val="00CE73ED"/>
    <w:rsid w:val="00CF032D"/>
    <w:rsid w:val="00CF0347"/>
    <w:rsid w:val="00CF057D"/>
    <w:rsid w:val="00CF080A"/>
    <w:rsid w:val="00CF0A25"/>
    <w:rsid w:val="00CF1154"/>
    <w:rsid w:val="00CF149D"/>
    <w:rsid w:val="00CF1544"/>
    <w:rsid w:val="00CF16A6"/>
    <w:rsid w:val="00CF1B17"/>
    <w:rsid w:val="00CF2905"/>
    <w:rsid w:val="00CF2DE8"/>
    <w:rsid w:val="00CF2E52"/>
    <w:rsid w:val="00CF393F"/>
    <w:rsid w:val="00CF4C63"/>
    <w:rsid w:val="00CF4DC2"/>
    <w:rsid w:val="00CF51BE"/>
    <w:rsid w:val="00CF557D"/>
    <w:rsid w:val="00CF5A80"/>
    <w:rsid w:val="00CF6509"/>
    <w:rsid w:val="00CF6D3F"/>
    <w:rsid w:val="00CF6DB3"/>
    <w:rsid w:val="00CF6DCC"/>
    <w:rsid w:val="00CF6F10"/>
    <w:rsid w:val="00CF753E"/>
    <w:rsid w:val="00CF7595"/>
    <w:rsid w:val="00CF76D2"/>
    <w:rsid w:val="00CF7A36"/>
    <w:rsid w:val="00CF7F4D"/>
    <w:rsid w:val="00D00FE9"/>
    <w:rsid w:val="00D010FB"/>
    <w:rsid w:val="00D017C6"/>
    <w:rsid w:val="00D020A9"/>
    <w:rsid w:val="00D026CB"/>
    <w:rsid w:val="00D03203"/>
    <w:rsid w:val="00D03466"/>
    <w:rsid w:val="00D034F0"/>
    <w:rsid w:val="00D03887"/>
    <w:rsid w:val="00D0496E"/>
    <w:rsid w:val="00D0554E"/>
    <w:rsid w:val="00D05BBB"/>
    <w:rsid w:val="00D05D71"/>
    <w:rsid w:val="00D05F5F"/>
    <w:rsid w:val="00D06186"/>
    <w:rsid w:val="00D0654F"/>
    <w:rsid w:val="00D06659"/>
    <w:rsid w:val="00D07609"/>
    <w:rsid w:val="00D07796"/>
    <w:rsid w:val="00D10E56"/>
    <w:rsid w:val="00D112D1"/>
    <w:rsid w:val="00D118E0"/>
    <w:rsid w:val="00D119D1"/>
    <w:rsid w:val="00D11E87"/>
    <w:rsid w:val="00D1233D"/>
    <w:rsid w:val="00D129D1"/>
    <w:rsid w:val="00D13167"/>
    <w:rsid w:val="00D1345A"/>
    <w:rsid w:val="00D1363A"/>
    <w:rsid w:val="00D13CC0"/>
    <w:rsid w:val="00D13D60"/>
    <w:rsid w:val="00D13FC6"/>
    <w:rsid w:val="00D142AA"/>
    <w:rsid w:val="00D14DC0"/>
    <w:rsid w:val="00D14EA9"/>
    <w:rsid w:val="00D16069"/>
    <w:rsid w:val="00D16314"/>
    <w:rsid w:val="00D16D2F"/>
    <w:rsid w:val="00D172A8"/>
    <w:rsid w:val="00D210EA"/>
    <w:rsid w:val="00D2178A"/>
    <w:rsid w:val="00D21D35"/>
    <w:rsid w:val="00D21F20"/>
    <w:rsid w:val="00D22641"/>
    <w:rsid w:val="00D227B2"/>
    <w:rsid w:val="00D23813"/>
    <w:rsid w:val="00D238FE"/>
    <w:rsid w:val="00D241FE"/>
    <w:rsid w:val="00D24DC8"/>
    <w:rsid w:val="00D25114"/>
    <w:rsid w:val="00D259B7"/>
    <w:rsid w:val="00D25E20"/>
    <w:rsid w:val="00D264FE"/>
    <w:rsid w:val="00D2650C"/>
    <w:rsid w:val="00D266DA"/>
    <w:rsid w:val="00D26FCC"/>
    <w:rsid w:val="00D27306"/>
    <w:rsid w:val="00D27A60"/>
    <w:rsid w:val="00D27C54"/>
    <w:rsid w:val="00D30222"/>
    <w:rsid w:val="00D30897"/>
    <w:rsid w:val="00D30CB8"/>
    <w:rsid w:val="00D31235"/>
    <w:rsid w:val="00D314FA"/>
    <w:rsid w:val="00D31AFB"/>
    <w:rsid w:val="00D3207C"/>
    <w:rsid w:val="00D320EE"/>
    <w:rsid w:val="00D321C7"/>
    <w:rsid w:val="00D321DF"/>
    <w:rsid w:val="00D3282A"/>
    <w:rsid w:val="00D32FC0"/>
    <w:rsid w:val="00D33ABA"/>
    <w:rsid w:val="00D33B50"/>
    <w:rsid w:val="00D34545"/>
    <w:rsid w:val="00D34692"/>
    <w:rsid w:val="00D34EFC"/>
    <w:rsid w:val="00D3504E"/>
    <w:rsid w:val="00D360B3"/>
    <w:rsid w:val="00D363AE"/>
    <w:rsid w:val="00D363B5"/>
    <w:rsid w:val="00D36AAF"/>
    <w:rsid w:val="00D376DC"/>
    <w:rsid w:val="00D3777D"/>
    <w:rsid w:val="00D37E5F"/>
    <w:rsid w:val="00D40547"/>
    <w:rsid w:val="00D40561"/>
    <w:rsid w:val="00D40E37"/>
    <w:rsid w:val="00D40E6D"/>
    <w:rsid w:val="00D41012"/>
    <w:rsid w:val="00D4140D"/>
    <w:rsid w:val="00D414C7"/>
    <w:rsid w:val="00D41ADF"/>
    <w:rsid w:val="00D41C8F"/>
    <w:rsid w:val="00D41D94"/>
    <w:rsid w:val="00D41F23"/>
    <w:rsid w:val="00D41FC7"/>
    <w:rsid w:val="00D4227D"/>
    <w:rsid w:val="00D422F8"/>
    <w:rsid w:val="00D42F1B"/>
    <w:rsid w:val="00D43297"/>
    <w:rsid w:val="00D43742"/>
    <w:rsid w:val="00D43B02"/>
    <w:rsid w:val="00D43B2E"/>
    <w:rsid w:val="00D43CB5"/>
    <w:rsid w:val="00D43E70"/>
    <w:rsid w:val="00D440B6"/>
    <w:rsid w:val="00D44953"/>
    <w:rsid w:val="00D44980"/>
    <w:rsid w:val="00D4530A"/>
    <w:rsid w:val="00D465FD"/>
    <w:rsid w:val="00D466C9"/>
    <w:rsid w:val="00D4671E"/>
    <w:rsid w:val="00D46733"/>
    <w:rsid w:val="00D4677F"/>
    <w:rsid w:val="00D467AD"/>
    <w:rsid w:val="00D467C3"/>
    <w:rsid w:val="00D4693C"/>
    <w:rsid w:val="00D46A53"/>
    <w:rsid w:val="00D46A95"/>
    <w:rsid w:val="00D478EF"/>
    <w:rsid w:val="00D47911"/>
    <w:rsid w:val="00D50213"/>
    <w:rsid w:val="00D509D1"/>
    <w:rsid w:val="00D51442"/>
    <w:rsid w:val="00D5144F"/>
    <w:rsid w:val="00D5148F"/>
    <w:rsid w:val="00D514B3"/>
    <w:rsid w:val="00D5154C"/>
    <w:rsid w:val="00D51825"/>
    <w:rsid w:val="00D51AA8"/>
    <w:rsid w:val="00D51B5F"/>
    <w:rsid w:val="00D51D79"/>
    <w:rsid w:val="00D51E74"/>
    <w:rsid w:val="00D52702"/>
    <w:rsid w:val="00D5296A"/>
    <w:rsid w:val="00D529B5"/>
    <w:rsid w:val="00D539E2"/>
    <w:rsid w:val="00D53A92"/>
    <w:rsid w:val="00D53FA9"/>
    <w:rsid w:val="00D5524E"/>
    <w:rsid w:val="00D55907"/>
    <w:rsid w:val="00D5606A"/>
    <w:rsid w:val="00D56AF6"/>
    <w:rsid w:val="00D56BAF"/>
    <w:rsid w:val="00D5743B"/>
    <w:rsid w:val="00D57A4F"/>
    <w:rsid w:val="00D57DBF"/>
    <w:rsid w:val="00D6023C"/>
    <w:rsid w:val="00D60695"/>
    <w:rsid w:val="00D608BA"/>
    <w:rsid w:val="00D614D9"/>
    <w:rsid w:val="00D617F8"/>
    <w:rsid w:val="00D6209F"/>
    <w:rsid w:val="00D62888"/>
    <w:rsid w:val="00D63448"/>
    <w:rsid w:val="00D63ED9"/>
    <w:rsid w:val="00D6423F"/>
    <w:rsid w:val="00D6440B"/>
    <w:rsid w:val="00D6469A"/>
    <w:rsid w:val="00D64867"/>
    <w:rsid w:val="00D650E5"/>
    <w:rsid w:val="00D651A2"/>
    <w:rsid w:val="00D65651"/>
    <w:rsid w:val="00D656A0"/>
    <w:rsid w:val="00D659C8"/>
    <w:rsid w:val="00D65E3D"/>
    <w:rsid w:val="00D66252"/>
    <w:rsid w:val="00D666D4"/>
    <w:rsid w:val="00D670A2"/>
    <w:rsid w:val="00D67DC6"/>
    <w:rsid w:val="00D703B7"/>
    <w:rsid w:val="00D706D0"/>
    <w:rsid w:val="00D70D37"/>
    <w:rsid w:val="00D71100"/>
    <w:rsid w:val="00D71644"/>
    <w:rsid w:val="00D71982"/>
    <w:rsid w:val="00D71A00"/>
    <w:rsid w:val="00D71AE2"/>
    <w:rsid w:val="00D71B82"/>
    <w:rsid w:val="00D71D79"/>
    <w:rsid w:val="00D7269B"/>
    <w:rsid w:val="00D731AD"/>
    <w:rsid w:val="00D73ED8"/>
    <w:rsid w:val="00D73EF8"/>
    <w:rsid w:val="00D740A1"/>
    <w:rsid w:val="00D742E4"/>
    <w:rsid w:val="00D75287"/>
    <w:rsid w:val="00D7544E"/>
    <w:rsid w:val="00D76127"/>
    <w:rsid w:val="00D76289"/>
    <w:rsid w:val="00D768C2"/>
    <w:rsid w:val="00D76A93"/>
    <w:rsid w:val="00D77423"/>
    <w:rsid w:val="00D77486"/>
    <w:rsid w:val="00D77688"/>
    <w:rsid w:val="00D7795B"/>
    <w:rsid w:val="00D77AF2"/>
    <w:rsid w:val="00D8000D"/>
    <w:rsid w:val="00D802A7"/>
    <w:rsid w:val="00D80967"/>
    <w:rsid w:val="00D813E4"/>
    <w:rsid w:val="00D81CC4"/>
    <w:rsid w:val="00D82604"/>
    <w:rsid w:val="00D82E86"/>
    <w:rsid w:val="00D83243"/>
    <w:rsid w:val="00D83AFF"/>
    <w:rsid w:val="00D83EA2"/>
    <w:rsid w:val="00D84225"/>
    <w:rsid w:val="00D8439D"/>
    <w:rsid w:val="00D844FB"/>
    <w:rsid w:val="00D84E83"/>
    <w:rsid w:val="00D84F8E"/>
    <w:rsid w:val="00D853A5"/>
    <w:rsid w:val="00D85451"/>
    <w:rsid w:val="00D863DC"/>
    <w:rsid w:val="00D867E6"/>
    <w:rsid w:val="00D8682E"/>
    <w:rsid w:val="00D86CBE"/>
    <w:rsid w:val="00D87162"/>
    <w:rsid w:val="00D87A24"/>
    <w:rsid w:val="00D87B29"/>
    <w:rsid w:val="00D904BE"/>
    <w:rsid w:val="00D906DC"/>
    <w:rsid w:val="00D90A63"/>
    <w:rsid w:val="00D90ACA"/>
    <w:rsid w:val="00D90CB0"/>
    <w:rsid w:val="00D91194"/>
    <w:rsid w:val="00D9171E"/>
    <w:rsid w:val="00D91997"/>
    <w:rsid w:val="00D91A4D"/>
    <w:rsid w:val="00D91AD3"/>
    <w:rsid w:val="00D91EB5"/>
    <w:rsid w:val="00D91FA5"/>
    <w:rsid w:val="00D92494"/>
    <w:rsid w:val="00D92ABD"/>
    <w:rsid w:val="00D92E3F"/>
    <w:rsid w:val="00D92EAB"/>
    <w:rsid w:val="00D92F73"/>
    <w:rsid w:val="00D93BDD"/>
    <w:rsid w:val="00D94116"/>
    <w:rsid w:val="00D94AE3"/>
    <w:rsid w:val="00D94B77"/>
    <w:rsid w:val="00D94B95"/>
    <w:rsid w:val="00D94CCB"/>
    <w:rsid w:val="00D94E8A"/>
    <w:rsid w:val="00D951C7"/>
    <w:rsid w:val="00D95AF6"/>
    <w:rsid w:val="00D966E0"/>
    <w:rsid w:val="00D9720E"/>
    <w:rsid w:val="00D9739F"/>
    <w:rsid w:val="00D97996"/>
    <w:rsid w:val="00DA02F3"/>
    <w:rsid w:val="00DA14AD"/>
    <w:rsid w:val="00DA15EA"/>
    <w:rsid w:val="00DA2A5B"/>
    <w:rsid w:val="00DA3448"/>
    <w:rsid w:val="00DA34AF"/>
    <w:rsid w:val="00DA38FD"/>
    <w:rsid w:val="00DA3945"/>
    <w:rsid w:val="00DA39AB"/>
    <w:rsid w:val="00DA40E5"/>
    <w:rsid w:val="00DA4141"/>
    <w:rsid w:val="00DA4A90"/>
    <w:rsid w:val="00DA4C92"/>
    <w:rsid w:val="00DA50AF"/>
    <w:rsid w:val="00DA58DD"/>
    <w:rsid w:val="00DA683D"/>
    <w:rsid w:val="00DA68B4"/>
    <w:rsid w:val="00DA72B3"/>
    <w:rsid w:val="00DA731C"/>
    <w:rsid w:val="00DA7411"/>
    <w:rsid w:val="00DA742B"/>
    <w:rsid w:val="00DA76AC"/>
    <w:rsid w:val="00DA7BF0"/>
    <w:rsid w:val="00DA7F91"/>
    <w:rsid w:val="00DB019C"/>
    <w:rsid w:val="00DB0291"/>
    <w:rsid w:val="00DB07A7"/>
    <w:rsid w:val="00DB0AEA"/>
    <w:rsid w:val="00DB0E05"/>
    <w:rsid w:val="00DB13A2"/>
    <w:rsid w:val="00DB1876"/>
    <w:rsid w:val="00DB1ADF"/>
    <w:rsid w:val="00DB2B4C"/>
    <w:rsid w:val="00DB2CF7"/>
    <w:rsid w:val="00DB2EAE"/>
    <w:rsid w:val="00DB3263"/>
    <w:rsid w:val="00DB35FB"/>
    <w:rsid w:val="00DB3A4B"/>
    <w:rsid w:val="00DB3BEC"/>
    <w:rsid w:val="00DB480A"/>
    <w:rsid w:val="00DB4993"/>
    <w:rsid w:val="00DB49B1"/>
    <w:rsid w:val="00DB4BF2"/>
    <w:rsid w:val="00DB591A"/>
    <w:rsid w:val="00DB5CEC"/>
    <w:rsid w:val="00DB5D0F"/>
    <w:rsid w:val="00DB784A"/>
    <w:rsid w:val="00DC0765"/>
    <w:rsid w:val="00DC093E"/>
    <w:rsid w:val="00DC1946"/>
    <w:rsid w:val="00DC27E1"/>
    <w:rsid w:val="00DC2C53"/>
    <w:rsid w:val="00DC2DC9"/>
    <w:rsid w:val="00DC2DFD"/>
    <w:rsid w:val="00DC3D65"/>
    <w:rsid w:val="00DC466D"/>
    <w:rsid w:val="00DC55C4"/>
    <w:rsid w:val="00DC5760"/>
    <w:rsid w:val="00DC5789"/>
    <w:rsid w:val="00DC57AB"/>
    <w:rsid w:val="00DC5A50"/>
    <w:rsid w:val="00DC66DA"/>
    <w:rsid w:val="00DC743C"/>
    <w:rsid w:val="00DC75C6"/>
    <w:rsid w:val="00DC7B05"/>
    <w:rsid w:val="00DC7E93"/>
    <w:rsid w:val="00DD02F8"/>
    <w:rsid w:val="00DD06B7"/>
    <w:rsid w:val="00DD0EEF"/>
    <w:rsid w:val="00DD0F25"/>
    <w:rsid w:val="00DD102A"/>
    <w:rsid w:val="00DD14D6"/>
    <w:rsid w:val="00DD15B7"/>
    <w:rsid w:val="00DD163B"/>
    <w:rsid w:val="00DD1C69"/>
    <w:rsid w:val="00DD21B2"/>
    <w:rsid w:val="00DD2341"/>
    <w:rsid w:val="00DD237F"/>
    <w:rsid w:val="00DD3703"/>
    <w:rsid w:val="00DD3CA7"/>
    <w:rsid w:val="00DD40B6"/>
    <w:rsid w:val="00DD4186"/>
    <w:rsid w:val="00DD4544"/>
    <w:rsid w:val="00DD4BB0"/>
    <w:rsid w:val="00DD526F"/>
    <w:rsid w:val="00DD5356"/>
    <w:rsid w:val="00DD54E0"/>
    <w:rsid w:val="00DD5633"/>
    <w:rsid w:val="00DD59B8"/>
    <w:rsid w:val="00DD5ADF"/>
    <w:rsid w:val="00DD61D0"/>
    <w:rsid w:val="00DD624E"/>
    <w:rsid w:val="00DD625D"/>
    <w:rsid w:val="00DD6326"/>
    <w:rsid w:val="00DD635C"/>
    <w:rsid w:val="00DD6C59"/>
    <w:rsid w:val="00DD78E7"/>
    <w:rsid w:val="00DD7979"/>
    <w:rsid w:val="00DD7CFA"/>
    <w:rsid w:val="00DD7EF6"/>
    <w:rsid w:val="00DE0003"/>
    <w:rsid w:val="00DE0752"/>
    <w:rsid w:val="00DE0858"/>
    <w:rsid w:val="00DE093A"/>
    <w:rsid w:val="00DE0A9A"/>
    <w:rsid w:val="00DE11A5"/>
    <w:rsid w:val="00DE139A"/>
    <w:rsid w:val="00DE2414"/>
    <w:rsid w:val="00DE2A0A"/>
    <w:rsid w:val="00DE2DC1"/>
    <w:rsid w:val="00DE3377"/>
    <w:rsid w:val="00DE3968"/>
    <w:rsid w:val="00DE4608"/>
    <w:rsid w:val="00DE46C7"/>
    <w:rsid w:val="00DE4CF5"/>
    <w:rsid w:val="00DE5105"/>
    <w:rsid w:val="00DE5114"/>
    <w:rsid w:val="00DE55BC"/>
    <w:rsid w:val="00DE5A56"/>
    <w:rsid w:val="00DE5CF5"/>
    <w:rsid w:val="00DE5D13"/>
    <w:rsid w:val="00DE6672"/>
    <w:rsid w:val="00DE698E"/>
    <w:rsid w:val="00DE6A02"/>
    <w:rsid w:val="00DE7319"/>
    <w:rsid w:val="00DE73BF"/>
    <w:rsid w:val="00DE75E3"/>
    <w:rsid w:val="00DE7961"/>
    <w:rsid w:val="00DF01DF"/>
    <w:rsid w:val="00DF03B2"/>
    <w:rsid w:val="00DF1303"/>
    <w:rsid w:val="00DF1A3B"/>
    <w:rsid w:val="00DF1A69"/>
    <w:rsid w:val="00DF1EC3"/>
    <w:rsid w:val="00DF1F03"/>
    <w:rsid w:val="00DF248F"/>
    <w:rsid w:val="00DF2E4E"/>
    <w:rsid w:val="00DF30CA"/>
    <w:rsid w:val="00DF3EAC"/>
    <w:rsid w:val="00DF4000"/>
    <w:rsid w:val="00DF4720"/>
    <w:rsid w:val="00DF5422"/>
    <w:rsid w:val="00DF615C"/>
    <w:rsid w:val="00DF6360"/>
    <w:rsid w:val="00DF696A"/>
    <w:rsid w:val="00DF713B"/>
    <w:rsid w:val="00DF74B0"/>
    <w:rsid w:val="00DF755E"/>
    <w:rsid w:val="00DF7715"/>
    <w:rsid w:val="00E0065D"/>
    <w:rsid w:val="00E00E77"/>
    <w:rsid w:val="00E00F1F"/>
    <w:rsid w:val="00E01F46"/>
    <w:rsid w:val="00E02219"/>
    <w:rsid w:val="00E02600"/>
    <w:rsid w:val="00E029BB"/>
    <w:rsid w:val="00E0322F"/>
    <w:rsid w:val="00E032BB"/>
    <w:rsid w:val="00E03DB5"/>
    <w:rsid w:val="00E04282"/>
    <w:rsid w:val="00E0483C"/>
    <w:rsid w:val="00E04E50"/>
    <w:rsid w:val="00E05BC5"/>
    <w:rsid w:val="00E05C55"/>
    <w:rsid w:val="00E05EB3"/>
    <w:rsid w:val="00E102D6"/>
    <w:rsid w:val="00E1053A"/>
    <w:rsid w:val="00E110AC"/>
    <w:rsid w:val="00E124AD"/>
    <w:rsid w:val="00E12541"/>
    <w:rsid w:val="00E12567"/>
    <w:rsid w:val="00E12C6E"/>
    <w:rsid w:val="00E135CD"/>
    <w:rsid w:val="00E13E89"/>
    <w:rsid w:val="00E14CF9"/>
    <w:rsid w:val="00E15736"/>
    <w:rsid w:val="00E157BE"/>
    <w:rsid w:val="00E1606B"/>
    <w:rsid w:val="00E161EA"/>
    <w:rsid w:val="00E165B2"/>
    <w:rsid w:val="00E1698A"/>
    <w:rsid w:val="00E16A38"/>
    <w:rsid w:val="00E17071"/>
    <w:rsid w:val="00E170F2"/>
    <w:rsid w:val="00E1783A"/>
    <w:rsid w:val="00E178E8"/>
    <w:rsid w:val="00E20173"/>
    <w:rsid w:val="00E201EB"/>
    <w:rsid w:val="00E202B0"/>
    <w:rsid w:val="00E206EC"/>
    <w:rsid w:val="00E212AD"/>
    <w:rsid w:val="00E213D2"/>
    <w:rsid w:val="00E21738"/>
    <w:rsid w:val="00E21C94"/>
    <w:rsid w:val="00E22011"/>
    <w:rsid w:val="00E22045"/>
    <w:rsid w:val="00E225F0"/>
    <w:rsid w:val="00E228A6"/>
    <w:rsid w:val="00E228A9"/>
    <w:rsid w:val="00E22B4D"/>
    <w:rsid w:val="00E23771"/>
    <w:rsid w:val="00E23905"/>
    <w:rsid w:val="00E23959"/>
    <w:rsid w:val="00E23B5D"/>
    <w:rsid w:val="00E242D9"/>
    <w:rsid w:val="00E245E5"/>
    <w:rsid w:val="00E245FA"/>
    <w:rsid w:val="00E2518A"/>
    <w:rsid w:val="00E25B20"/>
    <w:rsid w:val="00E25DE4"/>
    <w:rsid w:val="00E2611A"/>
    <w:rsid w:val="00E26175"/>
    <w:rsid w:val="00E265B3"/>
    <w:rsid w:val="00E26627"/>
    <w:rsid w:val="00E26C3E"/>
    <w:rsid w:val="00E26EA4"/>
    <w:rsid w:val="00E277BA"/>
    <w:rsid w:val="00E2790E"/>
    <w:rsid w:val="00E30298"/>
    <w:rsid w:val="00E302A7"/>
    <w:rsid w:val="00E305B9"/>
    <w:rsid w:val="00E3067B"/>
    <w:rsid w:val="00E306D0"/>
    <w:rsid w:val="00E3101B"/>
    <w:rsid w:val="00E312C8"/>
    <w:rsid w:val="00E32250"/>
    <w:rsid w:val="00E32A03"/>
    <w:rsid w:val="00E32BC7"/>
    <w:rsid w:val="00E33424"/>
    <w:rsid w:val="00E338A2"/>
    <w:rsid w:val="00E34005"/>
    <w:rsid w:val="00E34A5B"/>
    <w:rsid w:val="00E350CA"/>
    <w:rsid w:val="00E350CD"/>
    <w:rsid w:val="00E35428"/>
    <w:rsid w:val="00E357A4"/>
    <w:rsid w:val="00E35AF3"/>
    <w:rsid w:val="00E36045"/>
    <w:rsid w:val="00E36363"/>
    <w:rsid w:val="00E3658F"/>
    <w:rsid w:val="00E3679A"/>
    <w:rsid w:val="00E36A1F"/>
    <w:rsid w:val="00E36E10"/>
    <w:rsid w:val="00E36F0A"/>
    <w:rsid w:val="00E37047"/>
    <w:rsid w:val="00E37131"/>
    <w:rsid w:val="00E37546"/>
    <w:rsid w:val="00E3786F"/>
    <w:rsid w:val="00E405D7"/>
    <w:rsid w:val="00E40A14"/>
    <w:rsid w:val="00E40ADF"/>
    <w:rsid w:val="00E40EFB"/>
    <w:rsid w:val="00E41038"/>
    <w:rsid w:val="00E418B3"/>
    <w:rsid w:val="00E41AE3"/>
    <w:rsid w:val="00E41DC5"/>
    <w:rsid w:val="00E420BD"/>
    <w:rsid w:val="00E420EC"/>
    <w:rsid w:val="00E42180"/>
    <w:rsid w:val="00E421CF"/>
    <w:rsid w:val="00E422B3"/>
    <w:rsid w:val="00E43914"/>
    <w:rsid w:val="00E43915"/>
    <w:rsid w:val="00E43BBB"/>
    <w:rsid w:val="00E43D79"/>
    <w:rsid w:val="00E43E13"/>
    <w:rsid w:val="00E4440A"/>
    <w:rsid w:val="00E445B6"/>
    <w:rsid w:val="00E44BEB"/>
    <w:rsid w:val="00E45150"/>
    <w:rsid w:val="00E4575F"/>
    <w:rsid w:val="00E4602E"/>
    <w:rsid w:val="00E46343"/>
    <w:rsid w:val="00E46B1A"/>
    <w:rsid w:val="00E46F1B"/>
    <w:rsid w:val="00E46FBD"/>
    <w:rsid w:val="00E47545"/>
    <w:rsid w:val="00E47943"/>
    <w:rsid w:val="00E47A16"/>
    <w:rsid w:val="00E503A3"/>
    <w:rsid w:val="00E5108E"/>
    <w:rsid w:val="00E51284"/>
    <w:rsid w:val="00E51865"/>
    <w:rsid w:val="00E519E7"/>
    <w:rsid w:val="00E526D2"/>
    <w:rsid w:val="00E529A6"/>
    <w:rsid w:val="00E52A07"/>
    <w:rsid w:val="00E534C0"/>
    <w:rsid w:val="00E537D7"/>
    <w:rsid w:val="00E539DA"/>
    <w:rsid w:val="00E53C3E"/>
    <w:rsid w:val="00E53E32"/>
    <w:rsid w:val="00E53EC7"/>
    <w:rsid w:val="00E54353"/>
    <w:rsid w:val="00E54B71"/>
    <w:rsid w:val="00E5518D"/>
    <w:rsid w:val="00E5570C"/>
    <w:rsid w:val="00E55872"/>
    <w:rsid w:val="00E55EF8"/>
    <w:rsid w:val="00E5655D"/>
    <w:rsid w:val="00E568C7"/>
    <w:rsid w:val="00E56E85"/>
    <w:rsid w:val="00E56F90"/>
    <w:rsid w:val="00E5734F"/>
    <w:rsid w:val="00E574A9"/>
    <w:rsid w:val="00E577C7"/>
    <w:rsid w:val="00E57E2A"/>
    <w:rsid w:val="00E60514"/>
    <w:rsid w:val="00E60734"/>
    <w:rsid w:val="00E60910"/>
    <w:rsid w:val="00E61315"/>
    <w:rsid w:val="00E61549"/>
    <w:rsid w:val="00E618E3"/>
    <w:rsid w:val="00E626F5"/>
    <w:rsid w:val="00E62C8F"/>
    <w:rsid w:val="00E62D28"/>
    <w:rsid w:val="00E638E7"/>
    <w:rsid w:val="00E63C02"/>
    <w:rsid w:val="00E63F4A"/>
    <w:rsid w:val="00E645DB"/>
    <w:rsid w:val="00E6471D"/>
    <w:rsid w:val="00E64EAE"/>
    <w:rsid w:val="00E6533B"/>
    <w:rsid w:val="00E655CA"/>
    <w:rsid w:val="00E65751"/>
    <w:rsid w:val="00E65EA0"/>
    <w:rsid w:val="00E669F4"/>
    <w:rsid w:val="00E66A91"/>
    <w:rsid w:val="00E66D6A"/>
    <w:rsid w:val="00E677A3"/>
    <w:rsid w:val="00E67998"/>
    <w:rsid w:val="00E700AA"/>
    <w:rsid w:val="00E70D3C"/>
    <w:rsid w:val="00E7103D"/>
    <w:rsid w:val="00E71CA1"/>
    <w:rsid w:val="00E71FCD"/>
    <w:rsid w:val="00E721D4"/>
    <w:rsid w:val="00E7224B"/>
    <w:rsid w:val="00E7235C"/>
    <w:rsid w:val="00E7247D"/>
    <w:rsid w:val="00E7288B"/>
    <w:rsid w:val="00E72E7A"/>
    <w:rsid w:val="00E73104"/>
    <w:rsid w:val="00E73EF2"/>
    <w:rsid w:val="00E745BF"/>
    <w:rsid w:val="00E745DD"/>
    <w:rsid w:val="00E746A3"/>
    <w:rsid w:val="00E74A49"/>
    <w:rsid w:val="00E74C7D"/>
    <w:rsid w:val="00E7672A"/>
    <w:rsid w:val="00E76AF4"/>
    <w:rsid w:val="00E76DC9"/>
    <w:rsid w:val="00E770FD"/>
    <w:rsid w:val="00E7747C"/>
    <w:rsid w:val="00E8018C"/>
    <w:rsid w:val="00E80A89"/>
    <w:rsid w:val="00E80B78"/>
    <w:rsid w:val="00E80B9D"/>
    <w:rsid w:val="00E8123B"/>
    <w:rsid w:val="00E81FBD"/>
    <w:rsid w:val="00E82332"/>
    <w:rsid w:val="00E8248E"/>
    <w:rsid w:val="00E825CA"/>
    <w:rsid w:val="00E82D55"/>
    <w:rsid w:val="00E832C4"/>
    <w:rsid w:val="00E83561"/>
    <w:rsid w:val="00E8360D"/>
    <w:rsid w:val="00E83903"/>
    <w:rsid w:val="00E83CFF"/>
    <w:rsid w:val="00E84157"/>
    <w:rsid w:val="00E841A0"/>
    <w:rsid w:val="00E841C4"/>
    <w:rsid w:val="00E85D4A"/>
    <w:rsid w:val="00E85F92"/>
    <w:rsid w:val="00E86300"/>
    <w:rsid w:val="00E86672"/>
    <w:rsid w:val="00E866C3"/>
    <w:rsid w:val="00E869FD"/>
    <w:rsid w:val="00E86E3D"/>
    <w:rsid w:val="00E86F11"/>
    <w:rsid w:val="00E86FF5"/>
    <w:rsid w:val="00E8710F"/>
    <w:rsid w:val="00E87248"/>
    <w:rsid w:val="00E876C1"/>
    <w:rsid w:val="00E87DD4"/>
    <w:rsid w:val="00E87F1B"/>
    <w:rsid w:val="00E90180"/>
    <w:rsid w:val="00E90787"/>
    <w:rsid w:val="00E908D2"/>
    <w:rsid w:val="00E90918"/>
    <w:rsid w:val="00E90F77"/>
    <w:rsid w:val="00E91A18"/>
    <w:rsid w:val="00E920DF"/>
    <w:rsid w:val="00E924F7"/>
    <w:rsid w:val="00E9278E"/>
    <w:rsid w:val="00E92CA4"/>
    <w:rsid w:val="00E939BD"/>
    <w:rsid w:val="00E93B22"/>
    <w:rsid w:val="00E93E21"/>
    <w:rsid w:val="00E93E7E"/>
    <w:rsid w:val="00E95383"/>
    <w:rsid w:val="00E95497"/>
    <w:rsid w:val="00E955C2"/>
    <w:rsid w:val="00E95D0A"/>
    <w:rsid w:val="00E95E8F"/>
    <w:rsid w:val="00E96476"/>
    <w:rsid w:val="00E96C30"/>
    <w:rsid w:val="00E96D84"/>
    <w:rsid w:val="00E973B5"/>
    <w:rsid w:val="00E9756C"/>
    <w:rsid w:val="00E977A4"/>
    <w:rsid w:val="00E97918"/>
    <w:rsid w:val="00E97BB2"/>
    <w:rsid w:val="00E97DC0"/>
    <w:rsid w:val="00EA057C"/>
    <w:rsid w:val="00EA07A1"/>
    <w:rsid w:val="00EA0B72"/>
    <w:rsid w:val="00EA0B8A"/>
    <w:rsid w:val="00EA0FCF"/>
    <w:rsid w:val="00EA12DB"/>
    <w:rsid w:val="00EA194F"/>
    <w:rsid w:val="00EA1B20"/>
    <w:rsid w:val="00EA271B"/>
    <w:rsid w:val="00EA3182"/>
    <w:rsid w:val="00EA4329"/>
    <w:rsid w:val="00EA4467"/>
    <w:rsid w:val="00EA4A61"/>
    <w:rsid w:val="00EA4CBA"/>
    <w:rsid w:val="00EA5346"/>
    <w:rsid w:val="00EA5D19"/>
    <w:rsid w:val="00EA62FD"/>
    <w:rsid w:val="00EA661E"/>
    <w:rsid w:val="00EA71E6"/>
    <w:rsid w:val="00EA7360"/>
    <w:rsid w:val="00EA7724"/>
    <w:rsid w:val="00EA7A1C"/>
    <w:rsid w:val="00EA7A57"/>
    <w:rsid w:val="00EB03A2"/>
    <w:rsid w:val="00EB0EA0"/>
    <w:rsid w:val="00EB1033"/>
    <w:rsid w:val="00EB18CD"/>
    <w:rsid w:val="00EB1AF2"/>
    <w:rsid w:val="00EB1B97"/>
    <w:rsid w:val="00EB2242"/>
    <w:rsid w:val="00EB24AA"/>
    <w:rsid w:val="00EB25AA"/>
    <w:rsid w:val="00EB2843"/>
    <w:rsid w:val="00EB28EF"/>
    <w:rsid w:val="00EB2F66"/>
    <w:rsid w:val="00EB30F0"/>
    <w:rsid w:val="00EB31BB"/>
    <w:rsid w:val="00EB357F"/>
    <w:rsid w:val="00EB3B81"/>
    <w:rsid w:val="00EB4602"/>
    <w:rsid w:val="00EB49E7"/>
    <w:rsid w:val="00EB4A1E"/>
    <w:rsid w:val="00EB4D95"/>
    <w:rsid w:val="00EB5234"/>
    <w:rsid w:val="00EB5A7C"/>
    <w:rsid w:val="00EB5DD9"/>
    <w:rsid w:val="00EB5E62"/>
    <w:rsid w:val="00EB5F3E"/>
    <w:rsid w:val="00EB69BF"/>
    <w:rsid w:val="00EB6D71"/>
    <w:rsid w:val="00EB6E2E"/>
    <w:rsid w:val="00EC0D81"/>
    <w:rsid w:val="00EC0FD4"/>
    <w:rsid w:val="00EC11E9"/>
    <w:rsid w:val="00EC12F4"/>
    <w:rsid w:val="00EC2088"/>
    <w:rsid w:val="00EC295E"/>
    <w:rsid w:val="00EC2CE1"/>
    <w:rsid w:val="00EC2E02"/>
    <w:rsid w:val="00EC2EC2"/>
    <w:rsid w:val="00EC309C"/>
    <w:rsid w:val="00EC3262"/>
    <w:rsid w:val="00EC3A46"/>
    <w:rsid w:val="00EC3A9F"/>
    <w:rsid w:val="00EC4028"/>
    <w:rsid w:val="00EC4136"/>
    <w:rsid w:val="00EC414F"/>
    <w:rsid w:val="00EC41BE"/>
    <w:rsid w:val="00EC4A2C"/>
    <w:rsid w:val="00EC4BF5"/>
    <w:rsid w:val="00EC4FCB"/>
    <w:rsid w:val="00EC55FE"/>
    <w:rsid w:val="00EC5A97"/>
    <w:rsid w:val="00EC6380"/>
    <w:rsid w:val="00EC6464"/>
    <w:rsid w:val="00EC663B"/>
    <w:rsid w:val="00EC6F50"/>
    <w:rsid w:val="00EC712F"/>
    <w:rsid w:val="00EC73C2"/>
    <w:rsid w:val="00EC7488"/>
    <w:rsid w:val="00EC78B1"/>
    <w:rsid w:val="00ED0CE4"/>
    <w:rsid w:val="00ED0D54"/>
    <w:rsid w:val="00ED0F31"/>
    <w:rsid w:val="00ED118D"/>
    <w:rsid w:val="00ED1219"/>
    <w:rsid w:val="00ED18AF"/>
    <w:rsid w:val="00ED20E5"/>
    <w:rsid w:val="00ED239B"/>
    <w:rsid w:val="00ED2A2D"/>
    <w:rsid w:val="00ED313B"/>
    <w:rsid w:val="00ED331E"/>
    <w:rsid w:val="00ED36E3"/>
    <w:rsid w:val="00ED378A"/>
    <w:rsid w:val="00ED41B8"/>
    <w:rsid w:val="00ED4E4D"/>
    <w:rsid w:val="00ED6631"/>
    <w:rsid w:val="00ED682C"/>
    <w:rsid w:val="00ED68F8"/>
    <w:rsid w:val="00ED780A"/>
    <w:rsid w:val="00ED7E34"/>
    <w:rsid w:val="00EE0B9E"/>
    <w:rsid w:val="00EE0FD6"/>
    <w:rsid w:val="00EE1120"/>
    <w:rsid w:val="00EE11DA"/>
    <w:rsid w:val="00EE13FC"/>
    <w:rsid w:val="00EE1705"/>
    <w:rsid w:val="00EE1BE0"/>
    <w:rsid w:val="00EE1CA0"/>
    <w:rsid w:val="00EE2E1E"/>
    <w:rsid w:val="00EE30E5"/>
    <w:rsid w:val="00EE324E"/>
    <w:rsid w:val="00EE337D"/>
    <w:rsid w:val="00EE355E"/>
    <w:rsid w:val="00EE3AD3"/>
    <w:rsid w:val="00EE4AC4"/>
    <w:rsid w:val="00EE4F4F"/>
    <w:rsid w:val="00EE59C4"/>
    <w:rsid w:val="00EE5E50"/>
    <w:rsid w:val="00EE6099"/>
    <w:rsid w:val="00EE6770"/>
    <w:rsid w:val="00EE7016"/>
    <w:rsid w:val="00EE70CB"/>
    <w:rsid w:val="00EE7B57"/>
    <w:rsid w:val="00EE7D45"/>
    <w:rsid w:val="00EE7FC5"/>
    <w:rsid w:val="00EF028D"/>
    <w:rsid w:val="00EF0A7E"/>
    <w:rsid w:val="00EF1003"/>
    <w:rsid w:val="00EF1F6F"/>
    <w:rsid w:val="00EF204F"/>
    <w:rsid w:val="00EF2072"/>
    <w:rsid w:val="00EF268C"/>
    <w:rsid w:val="00EF2856"/>
    <w:rsid w:val="00EF3270"/>
    <w:rsid w:val="00EF32B1"/>
    <w:rsid w:val="00EF3570"/>
    <w:rsid w:val="00EF4BAA"/>
    <w:rsid w:val="00EF648D"/>
    <w:rsid w:val="00EF67C4"/>
    <w:rsid w:val="00EF7541"/>
    <w:rsid w:val="00F000C2"/>
    <w:rsid w:val="00F00957"/>
    <w:rsid w:val="00F00BD8"/>
    <w:rsid w:val="00F00D70"/>
    <w:rsid w:val="00F01874"/>
    <w:rsid w:val="00F01BB7"/>
    <w:rsid w:val="00F02478"/>
    <w:rsid w:val="00F02F9A"/>
    <w:rsid w:val="00F03157"/>
    <w:rsid w:val="00F0397E"/>
    <w:rsid w:val="00F0418E"/>
    <w:rsid w:val="00F04995"/>
    <w:rsid w:val="00F04F7A"/>
    <w:rsid w:val="00F051A4"/>
    <w:rsid w:val="00F05F6C"/>
    <w:rsid w:val="00F062B4"/>
    <w:rsid w:val="00F0640E"/>
    <w:rsid w:val="00F0656C"/>
    <w:rsid w:val="00F072DE"/>
    <w:rsid w:val="00F075A6"/>
    <w:rsid w:val="00F076C3"/>
    <w:rsid w:val="00F0775D"/>
    <w:rsid w:val="00F078E0"/>
    <w:rsid w:val="00F07DA3"/>
    <w:rsid w:val="00F07E04"/>
    <w:rsid w:val="00F10022"/>
    <w:rsid w:val="00F107A3"/>
    <w:rsid w:val="00F10D10"/>
    <w:rsid w:val="00F11251"/>
    <w:rsid w:val="00F11271"/>
    <w:rsid w:val="00F11576"/>
    <w:rsid w:val="00F1191F"/>
    <w:rsid w:val="00F119BD"/>
    <w:rsid w:val="00F11E02"/>
    <w:rsid w:val="00F11E83"/>
    <w:rsid w:val="00F1218E"/>
    <w:rsid w:val="00F127A5"/>
    <w:rsid w:val="00F13084"/>
    <w:rsid w:val="00F145D7"/>
    <w:rsid w:val="00F146B9"/>
    <w:rsid w:val="00F156D6"/>
    <w:rsid w:val="00F157F9"/>
    <w:rsid w:val="00F15E3A"/>
    <w:rsid w:val="00F172C8"/>
    <w:rsid w:val="00F17F56"/>
    <w:rsid w:val="00F20244"/>
    <w:rsid w:val="00F20754"/>
    <w:rsid w:val="00F2079E"/>
    <w:rsid w:val="00F207FE"/>
    <w:rsid w:val="00F20F31"/>
    <w:rsid w:val="00F21026"/>
    <w:rsid w:val="00F21521"/>
    <w:rsid w:val="00F21B65"/>
    <w:rsid w:val="00F21F48"/>
    <w:rsid w:val="00F222E0"/>
    <w:rsid w:val="00F22793"/>
    <w:rsid w:val="00F2289E"/>
    <w:rsid w:val="00F22A9C"/>
    <w:rsid w:val="00F22D68"/>
    <w:rsid w:val="00F22DB0"/>
    <w:rsid w:val="00F2359E"/>
    <w:rsid w:val="00F23F30"/>
    <w:rsid w:val="00F2402E"/>
    <w:rsid w:val="00F24048"/>
    <w:rsid w:val="00F24305"/>
    <w:rsid w:val="00F243FB"/>
    <w:rsid w:val="00F24E02"/>
    <w:rsid w:val="00F24ECC"/>
    <w:rsid w:val="00F256C3"/>
    <w:rsid w:val="00F26027"/>
    <w:rsid w:val="00F26D5A"/>
    <w:rsid w:val="00F270EE"/>
    <w:rsid w:val="00F27480"/>
    <w:rsid w:val="00F27884"/>
    <w:rsid w:val="00F27AD3"/>
    <w:rsid w:val="00F27BB6"/>
    <w:rsid w:val="00F27BED"/>
    <w:rsid w:val="00F27DCF"/>
    <w:rsid w:val="00F27F55"/>
    <w:rsid w:val="00F300B0"/>
    <w:rsid w:val="00F3022E"/>
    <w:rsid w:val="00F303DF"/>
    <w:rsid w:val="00F30548"/>
    <w:rsid w:val="00F3085D"/>
    <w:rsid w:val="00F308BE"/>
    <w:rsid w:val="00F31336"/>
    <w:rsid w:val="00F31762"/>
    <w:rsid w:val="00F3186A"/>
    <w:rsid w:val="00F31A43"/>
    <w:rsid w:val="00F32AFC"/>
    <w:rsid w:val="00F32E10"/>
    <w:rsid w:val="00F3342E"/>
    <w:rsid w:val="00F336CC"/>
    <w:rsid w:val="00F3383B"/>
    <w:rsid w:val="00F339E4"/>
    <w:rsid w:val="00F33ADB"/>
    <w:rsid w:val="00F34659"/>
    <w:rsid w:val="00F349CA"/>
    <w:rsid w:val="00F35420"/>
    <w:rsid w:val="00F3555E"/>
    <w:rsid w:val="00F35D84"/>
    <w:rsid w:val="00F35FA1"/>
    <w:rsid w:val="00F36121"/>
    <w:rsid w:val="00F3688E"/>
    <w:rsid w:val="00F36CF5"/>
    <w:rsid w:val="00F373C2"/>
    <w:rsid w:val="00F378D1"/>
    <w:rsid w:val="00F37A51"/>
    <w:rsid w:val="00F401A0"/>
    <w:rsid w:val="00F409AE"/>
    <w:rsid w:val="00F409CA"/>
    <w:rsid w:val="00F41911"/>
    <w:rsid w:val="00F4221E"/>
    <w:rsid w:val="00F4256E"/>
    <w:rsid w:val="00F428B8"/>
    <w:rsid w:val="00F42EDF"/>
    <w:rsid w:val="00F42FD6"/>
    <w:rsid w:val="00F43A09"/>
    <w:rsid w:val="00F43B8A"/>
    <w:rsid w:val="00F43EF2"/>
    <w:rsid w:val="00F43FD7"/>
    <w:rsid w:val="00F444BD"/>
    <w:rsid w:val="00F44737"/>
    <w:rsid w:val="00F44A45"/>
    <w:rsid w:val="00F44D80"/>
    <w:rsid w:val="00F45143"/>
    <w:rsid w:val="00F454D5"/>
    <w:rsid w:val="00F45968"/>
    <w:rsid w:val="00F45DC5"/>
    <w:rsid w:val="00F461BF"/>
    <w:rsid w:val="00F463C4"/>
    <w:rsid w:val="00F46B5D"/>
    <w:rsid w:val="00F46DD5"/>
    <w:rsid w:val="00F47340"/>
    <w:rsid w:val="00F474D9"/>
    <w:rsid w:val="00F474E2"/>
    <w:rsid w:val="00F47F9D"/>
    <w:rsid w:val="00F501E4"/>
    <w:rsid w:val="00F506B2"/>
    <w:rsid w:val="00F50C04"/>
    <w:rsid w:val="00F50CDE"/>
    <w:rsid w:val="00F51060"/>
    <w:rsid w:val="00F513AA"/>
    <w:rsid w:val="00F5156C"/>
    <w:rsid w:val="00F520DB"/>
    <w:rsid w:val="00F52344"/>
    <w:rsid w:val="00F528C9"/>
    <w:rsid w:val="00F52FD0"/>
    <w:rsid w:val="00F53061"/>
    <w:rsid w:val="00F535E9"/>
    <w:rsid w:val="00F5393B"/>
    <w:rsid w:val="00F53DB8"/>
    <w:rsid w:val="00F540D0"/>
    <w:rsid w:val="00F54ECB"/>
    <w:rsid w:val="00F54FF2"/>
    <w:rsid w:val="00F55010"/>
    <w:rsid w:val="00F56065"/>
    <w:rsid w:val="00F560A2"/>
    <w:rsid w:val="00F56277"/>
    <w:rsid w:val="00F565B5"/>
    <w:rsid w:val="00F56648"/>
    <w:rsid w:val="00F56BBF"/>
    <w:rsid w:val="00F57B73"/>
    <w:rsid w:val="00F60249"/>
    <w:rsid w:val="00F602D1"/>
    <w:rsid w:val="00F603FD"/>
    <w:rsid w:val="00F604C2"/>
    <w:rsid w:val="00F60595"/>
    <w:rsid w:val="00F60950"/>
    <w:rsid w:val="00F614C8"/>
    <w:rsid w:val="00F61617"/>
    <w:rsid w:val="00F618E5"/>
    <w:rsid w:val="00F620C7"/>
    <w:rsid w:val="00F62136"/>
    <w:rsid w:val="00F6249C"/>
    <w:rsid w:val="00F62AA8"/>
    <w:rsid w:val="00F638AB"/>
    <w:rsid w:val="00F63CFF"/>
    <w:rsid w:val="00F6424D"/>
    <w:rsid w:val="00F6448B"/>
    <w:rsid w:val="00F645A9"/>
    <w:rsid w:val="00F64800"/>
    <w:rsid w:val="00F64A83"/>
    <w:rsid w:val="00F65547"/>
    <w:rsid w:val="00F6566B"/>
    <w:rsid w:val="00F6586E"/>
    <w:rsid w:val="00F65B22"/>
    <w:rsid w:val="00F65C8F"/>
    <w:rsid w:val="00F665C3"/>
    <w:rsid w:val="00F666DC"/>
    <w:rsid w:val="00F667FD"/>
    <w:rsid w:val="00F66B1F"/>
    <w:rsid w:val="00F66CCA"/>
    <w:rsid w:val="00F66CF8"/>
    <w:rsid w:val="00F67209"/>
    <w:rsid w:val="00F67640"/>
    <w:rsid w:val="00F6782C"/>
    <w:rsid w:val="00F679C1"/>
    <w:rsid w:val="00F67C65"/>
    <w:rsid w:val="00F700FE"/>
    <w:rsid w:val="00F70370"/>
    <w:rsid w:val="00F70686"/>
    <w:rsid w:val="00F70E9C"/>
    <w:rsid w:val="00F71809"/>
    <w:rsid w:val="00F72684"/>
    <w:rsid w:val="00F72719"/>
    <w:rsid w:val="00F7346C"/>
    <w:rsid w:val="00F736F3"/>
    <w:rsid w:val="00F73D11"/>
    <w:rsid w:val="00F73EFF"/>
    <w:rsid w:val="00F7471A"/>
    <w:rsid w:val="00F74C4E"/>
    <w:rsid w:val="00F74EC7"/>
    <w:rsid w:val="00F7556B"/>
    <w:rsid w:val="00F759FE"/>
    <w:rsid w:val="00F75FAA"/>
    <w:rsid w:val="00F76168"/>
    <w:rsid w:val="00F7694E"/>
    <w:rsid w:val="00F7746F"/>
    <w:rsid w:val="00F77658"/>
    <w:rsid w:val="00F77C23"/>
    <w:rsid w:val="00F80387"/>
    <w:rsid w:val="00F8049C"/>
    <w:rsid w:val="00F80906"/>
    <w:rsid w:val="00F80EEE"/>
    <w:rsid w:val="00F80FA6"/>
    <w:rsid w:val="00F81421"/>
    <w:rsid w:val="00F81FC6"/>
    <w:rsid w:val="00F82193"/>
    <w:rsid w:val="00F82805"/>
    <w:rsid w:val="00F82AD3"/>
    <w:rsid w:val="00F83684"/>
    <w:rsid w:val="00F84089"/>
    <w:rsid w:val="00F84B8B"/>
    <w:rsid w:val="00F84FC8"/>
    <w:rsid w:val="00F85910"/>
    <w:rsid w:val="00F86190"/>
    <w:rsid w:val="00F866B0"/>
    <w:rsid w:val="00F87751"/>
    <w:rsid w:val="00F87FEE"/>
    <w:rsid w:val="00F90594"/>
    <w:rsid w:val="00F9149D"/>
    <w:rsid w:val="00F91C67"/>
    <w:rsid w:val="00F91FA0"/>
    <w:rsid w:val="00F92BB5"/>
    <w:rsid w:val="00F932C6"/>
    <w:rsid w:val="00F9357F"/>
    <w:rsid w:val="00F9372C"/>
    <w:rsid w:val="00F9376F"/>
    <w:rsid w:val="00F93889"/>
    <w:rsid w:val="00F93AB5"/>
    <w:rsid w:val="00F94385"/>
    <w:rsid w:val="00F94BCB"/>
    <w:rsid w:val="00F94CA6"/>
    <w:rsid w:val="00F951AD"/>
    <w:rsid w:val="00F95606"/>
    <w:rsid w:val="00F959B2"/>
    <w:rsid w:val="00F95C5C"/>
    <w:rsid w:val="00F95CC8"/>
    <w:rsid w:val="00F95DD3"/>
    <w:rsid w:val="00F962FD"/>
    <w:rsid w:val="00F96300"/>
    <w:rsid w:val="00F9655E"/>
    <w:rsid w:val="00F96EFA"/>
    <w:rsid w:val="00F97C72"/>
    <w:rsid w:val="00F97CDA"/>
    <w:rsid w:val="00FA0223"/>
    <w:rsid w:val="00FA0883"/>
    <w:rsid w:val="00FA183F"/>
    <w:rsid w:val="00FA23D9"/>
    <w:rsid w:val="00FA2F14"/>
    <w:rsid w:val="00FA31E9"/>
    <w:rsid w:val="00FA320F"/>
    <w:rsid w:val="00FA3425"/>
    <w:rsid w:val="00FA39B5"/>
    <w:rsid w:val="00FA39D1"/>
    <w:rsid w:val="00FA3C96"/>
    <w:rsid w:val="00FA48CC"/>
    <w:rsid w:val="00FA4B81"/>
    <w:rsid w:val="00FA501E"/>
    <w:rsid w:val="00FA51E5"/>
    <w:rsid w:val="00FA521D"/>
    <w:rsid w:val="00FA5313"/>
    <w:rsid w:val="00FA6224"/>
    <w:rsid w:val="00FA7240"/>
    <w:rsid w:val="00FA7243"/>
    <w:rsid w:val="00FA72F3"/>
    <w:rsid w:val="00FA7332"/>
    <w:rsid w:val="00FA79BA"/>
    <w:rsid w:val="00FB05A2"/>
    <w:rsid w:val="00FB0657"/>
    <w:rsid w:val="00FB0FEB"/>
    <w:rsid w:val="00FB13B6"/>
    <w:rsid w:val="00FB1690"/>
    <w:rsid w:val="00FB1789"/>
    <w:rsid w:val="00FB1E44"/>
    <w:rsid w:val="00FB1F7C"/>
    <w:rsid w:val="00FB2054"/>
    <w:rsid w:val="00FB3483"/>
    <w:rsid w:val="00FB3A44"/>
    <w:rsid w:val="00FB4578"/>
    <w:rsid w:val="00FB47B7"/>
    <w:rsid w:val="00FB4968"/>
    <w:rsid w:val="00FB4D03"/>
    <w:rsid w:val="00FB502E"/>
    <w:rsid w:val="00FB5E0A"/>
    <w:rsid w:val="00FB5F71"/>
    <w:rsid w:val="00FB6448"/>
    <w:rsid w:val="00FB6560"/>
    <w:rsid w:val="00FB6E93"/>
    <w:rsid w:val="00FB7190"/>
    <w:rsid w:val="00FB71D1"/>
    <w:rsid w:val="00FB7842"/>
    <w:rsid w:val="00FB7E4F"/>
    <w:rsid w:val="00FB7FD6"/>
    <w:rsid w:val="00FC060D"/>
    <w:rsid w:val="00FC196E"/>
    <w:rsid w:val="00FC1AA6"/>
    <w:rsid w:val="00FC1AE8"/>
    <w:rsid w:val="00FC1C5B"/>
    <w:rsid w:val="00FC30F1"/>
    <w:rsid w:val="00FC386C"/>
    <w:rsid w:val="00FC3C1D"/>
    <w:rsid w:val="00FC3CA1"/>
    <w:rsid w:val="00FC6056"/>
    <w:rsid w:val="00FC68D0"/>
    <w:rsid w:val="00FC6BF7"/>
    <w:rsid w:val="00FC6C4D"/>
    <w:rsid w:val="00FC6F75"/>
    <w:rsid w:val="00FC7614"/>
    <w:rsid w:val="00FC7ABD"/>
    <w:rsid w:val="00FC7EB5"/>
    <w:rsid w:val="00FD0426"/>
    <w:rsid w:val="00FD092F"/>
    <w:rsid w:val="00FD0ABB"/>
    <w:rsid w:val="00FD0D37"/>
    <w:rsid w:val="00FD0EF1"/>
    <w:rsid w:val="00FD19F9"/>
    <w:rsid w:val="00FD1BC8"/>
    <w:rsid w:val="00FD1F18"/>
    <w:rsid w:val="00FD2CA6"/>
    <w:rsid w:val="00FD2D17"/>
    <w:rsid w:val="00FD35A3"/>
    <w:rsid w:val="00FD35D7"/>
    <w:rsid w:val="00FD3D92"/>
    <w:rsid w:val="00FD42DC"/>
    <w:rsid w:val="00FD4495"/>
    <w:rsid w:val="00FD45A9"/>
    <w:rsid w:val="00FD4716"/>
    <w:rsid w:val="00FD4BBD"/>
    <w:rsid w:val="00FD5105"/>
    <w:rsid w:val="00FD5336"/>
    <w:rsid w:val="00FD5437"/>
    <w:rsid w:val="00FD5CD4"/>
    <w:rsid w:val="00FD5F25"/>
    <w:rsid w:val="00FD6CA0"/>
    <w:rsid w:val="00FD7047"/>
    <w:rsid w:val="00FD70B6"/>
    <w:rsid w:val="00FE15FC"/>
    <w:rsid w:val="00FE1B40"/>
    <w:rsid w:val="00FE1E15"/>
    <w:rsid w:val="00FE1FA5"/>
    <w:rsid w:val="00FE20E1"/>
    <w:rsid w:val="00FE23A9"/>
    <w:rsid w:val="00FE23F6"/>
    <w:rsid w:val="00FE2B0D"/>
    <w:rsid w:val="00FE2BEC"/>
    <w:rsid w:val="00FE3DAD"/>
    <w:rsid w:val="00FE46A3"/>
    <w:rsid w:val="00FE4AE1"/>
    <w:rsid w:val="00FE4DB9"/>
    <w:rsid w:val="00FE500C"/>
    <w:rsid w:val="00FE5550"/>
    <w:rsid w:val="00FE6953"/>
    <w:rsid w:val="00FE76C2"/>
    <w:rsid w:val="00FE78A7"/>
    <w:rsid w:val="00FE7CEC"/>
    <w:rsid w:val="00FE7FCF"/>
    <w:rsid w:val="00FF08A3"/>
    <w:rsid w:val="00FF10F9"/>
    <w:rsid w:val="00FF18CD"/>
    <w:rsid w:val="00FF1B30"/>
    <w:rsid w:val="00FF1B38"/>
    <w:rsid w:val="00FF1C1C"/>
    <w:rsid w:val="00FF22D2"/>
    <w:rsid w:val="00FF2319"/>
    <w:rsid w:val="00FF2A4B"/>
    <w:rsid w:val="00FF345E"/>
    <w:rsid w:val="00FF35A5"/>
    <w:rsid w:val="00FF37FB"/>
    <w:rsid w:val="00FF3EEB"/>
    <w:rsid w:val="00FF489F"/>
    <w:rsid w:val="00FF4A60"/>
    <w:rsid w:val="00FF4AF5"/>
    <w:rsid w:val="00FF502E"/>
    <w:rsid w:val="00FF509E"/>
    <w:rsid w:val="00FF50DC"/>
    <w:rsid w:val="00FF5232"/>
    <w:rsid w:val="00FF534E"/>
    <w:rsid w:val="00FF5B24"/>
    <w:rsid w:val="00FF66C0"/>
    <w:rsid w:val="00FF6E68"/>
    <w:rsid w:val="00FF6F3F"/>
    <w:rsid w:val="00FF7353"/>
    <w:rsid w:val="00FF796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130FF08"/>
  <w15:docId w15:val="{3EED53CA-F4E1-4DEA-8956-8B10B0592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 w:hAnsi="Cambria" w:cs="Times New Roman"/>
        <w:sz w:val="22"/>
        <w:szCs w:val="22"/>
        <w:lang w:val="en-US" w:eastAsia="en-US" w:bidi="ar-SA"/>
      </w:rPr>
    </w:rPrDefault>
    <w:pPrDefault/>
  </w:docDefaults>
  <w:latentStyles w:defLockedState="0" w:defUIPriority="99" w:defSemiHidden="0" w:defUnhideWhenUsed="0" w:defQFormat="0" w:count="372">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1762"/>
    <w:rPr>
      <w:sz w:val="24"/>
      <w:szCs w:val="24"/>
    </w:rPr>
  </w:style>
  <w:style w:type="paragraph" w:styleId="Heading1">
    <w:name w:val="heading 1"/>
    <w:basedOn w:val="Normal"/>
    <w:link w:val="Heading1Char"/>
    <w:uiPriority w:val="9"/>
    <w:qFormat/>
    <w:locked/>
    <w:rsid w:val="004602E6"/>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02E6"/>
    <w:rPr>
      <w:rFonts w:ascii="Times" w:hAnsi="Times"/>
      <w:b/>
      <w:bCs/>
      <w:kern w:val="36"/>
      <w:sz w:val="48"/>
      <w:szCs w:val="48"/>
    </w:rPr>
  </w:style>
  <w:style w:type="paragraph" w:styleId="ListParagraph">
    <w:name w:val="List Paragraph"/>
    <w:basedOn w:val="Normal"/>
    <w:uiPriority w:val="34"/>
    <w:qFormat/>
    <w:rsid w:val="00163499"/>
    <w:pPr>
      <w:ind w:left="720"/>
      <w:contextualSpacing/>
    </w:pPr>
  </w:style>
  <w:style w:type="paragraph" w:styleId="FootnoteText">
    <w:name w:val="footnote text"/>
    <w:basedOn w:val="Normal"/>
    <w:link w:val="FootnoteTextChar"/>
    <w:uiPriority w:val="99"/>
    <w:rsid w:val="002C3D8B"/>
    <w:rPr>
      <w:rFonts w:ascii="Times New Roman" w:hAnsi="Times New Roman"/>
      <w:sz w:val="20"/>
      <w:szCs w:val="20"/>
    </w:rPr>
  </w:style>
  <w:style w:type="character" w:customStyle="1" w:styleId="FootnoteTextChar">
    <w:name w:val="Footnote Text Char"/>
    <w:basedOn w:val="DefaultParagraphFont"/>
    <w:link w:val="FootnoteText"/>
    <w:uiPriority w:val="99"/>
    <w:locked/>
    <w:rsid w:val="002C3D8B"/>
    <w:rPr>
      <w:rFonts w:ascii="Times New Roman" w:hAnsi="Times New Roman" w:cs="Times New Roman"/>
      <w:sz w:val="20"/>
      <w:szCs w:val="20"/>
    </w:rPr>
  </w:style>
  <w:style w:type="character" w:styleId="FootnoteReference">
    <w:name w:val="footnote reference"/>
    <w:basedOn w:val="DefaultParagraphFont"/>
    <w:uiPriority w:val="99"/>
    <w:semiHidden/>
    <w:rsid w:val="002C3D8B"/>
    <w:rPr>
      <w:rFonts w:cs="Times New Roman"/>
      <w:vertAlign w:val="superscript"/>
    </w:rPr>
  </w:style>
  <w:style w:type="paragraph" w:styleId="EndnoteText">
    <w:name w:val="endnote text"/>
    <w:basedOn w:val="Normal"/>
    <w:link w:val="EndnoteTextChar"/>
    <w:uiPriority w:val="99"/>
    <w:rsid w:val="002A331E"/>
  </w:style>
  <w:style w:type="character" w:customStyle="1" w:styleId="EndnoteTextChar">
    <w:name w:val="Endnote Text Char"/>
    <w:basedOn w:val="DefaultParagraphFont"/>
    <w:link w:val="EndnoteText"/>
    <w:uiPriority w:val="99"/>
    <w:locked/>
    <w:rsid w:val="002A331E"/>
    <w:rPr>
      <w:rFonts w:cs="Times New Roman"/>
    </w:rPr>
  </w:style>
  <w:style w:type="character" w:styleId="EndnoteReference">
    <w:name w:val="endnote reference"/>
    <w:basedOn w:val="DefaultParagraphFont"/>
    <w:uiPriority w:val="99"/>
    <w:rsid w:val="002A331E"/>
    <w:rPr>
      <w:rFonts w:cs="Times New Roman"/>
      <w:vertAlign w:val="superscript"/>
    </w:rPr>
  </w:style>
  <w:style w:type="paragraph" w:styleId="BalloonText">
    <w:name w:val="Balloon Text"/>
    <w:basedOn w:val="Normal"/>
    <w:link w:val="BalloonTextChar"/>
    <w:uiPriority w:val="99"/>
    <w:semiHidden/>
    <w:rsid w:val="00AF37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AF37FE"/>
    <w:rPr>
      <w:rFonts w:ascii="Lucida Grande" w:hAnsi="Lucida Grande" w:cs="Lucida Grande"/>
      <w:sz w:val="18"/>
      <w:szCs w:val="18"/>
    </w:rPr>
  </w:style>
  <w:style w:type="paragraph" w:styleId="Footer">
    <w:name w:val="footer"/>
    <w:basedOn w:val="Normal"/>
    <w:link w:val="FooterChar"/>
    <w:uiPriority w:val="99"/>
    <w:rsid w:val="00AB4E45"/>
    <w:pPr>
      <w:tabs>
        <w:tab w:val="center" w:pos="4320"/>
        <w:tab w:val="right" w:pos="8640"/>
      </w:tabs>
    </w:pPr>
  </w:style>
  <w:style w:type="character" w:customStyle="1" w:styleId="FooterChar">
    <w:name w:val="Footer Char"/>
    <w:basedOn w:val="DefaultParagraphFont"/>
    <w:link w:val="Footer"/>
    <w:uiPriority w:val="99"/>
    <w:locked/>
    <w:rsid w:val="00AB4E45"/>
    <w:rPr>
      <w:rFonts w:cs="Times New Roman"/>
    </w:rPr>
  </w:style>
  <w:style w:type="character" w:styleId="PageNumber">
    <w:name w:val="page number"/>
    <w:basedOn w:val="DefaultParagraphFont"/>
    <w:uiPriority w:val="99"/>
    <w:semiHidden/>
    <w:rsid w:val="00AB4E45"/>
    <w:rPr>
      <w:rFonts w:cs="Times New Roman"/>
    </w:rPr>
  </w:style>
  <w:style w:type="paragraph" w:customStyle="1" w:styleId="Default">
    <w:name w:val="Default"/>
    <w:uiPriority w:val="99"/>
    <w:rsid w:val="004B26D4"/>
    <w:pPr>
      <w:widowControl w:val="0"/>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semiHidden/>
    <w:rsid w:val="00200720"/>
    <w:rPr>
      <w:rFonts w:cs="Times New Roman"/>
      <w:color w:val="0000FF"/>
      <w:u w:val="single"/>
    </w:rPr>
  </w:style>
  <w:style w:type="character" w:styleId="Emphasis">
    <w:name w:val="Emphasis"/>
    <w:basedOn w:val="DefaultParagraphFont"/>
    <w:uiPriority w:val="20"/>
    <w:qFormat/>
    <w:rsid w:val="00200720"/>
    <w:rPr>
      <w:rFonts w:cs="Times New Roman"/>
      <w:i/>
      <w:iCs/>
    </w:rPr>
  </w:style>
  <w:style w:type="character" w:customStyle="1" w:styleId="spelle">
    <w:name w:val="spelle"/>
    <w:basedOn w:val="DefaultParagraphFont"/>
    <w:uiPriority w:val="99"/>
    <w:rsid w:val="00C37DF6"/>
    <w:rPr>
      <w:rFonts w:cs="Times New Roman"/>
    </w:rPr>
  </w:style>
  <w:style w:type="character" w:styleId="PlaceholderText">
    <w:name w:val="Placeholder Text"/>
    <w:basedOn w:val="DefaultParagraphFont"/>
    <w:uiPriority w:val="99"/>
    <w:semiHidden/>
    <w:rsid w:val="00771252"/>
    <w:rPr>
      <w:color w:val="808080"/>
    </w:rPr>
  </w:style>
  <w:style w:type="character" w:styleId="CommentReference">
    <w:name w:val="annotation reference"/>
    <w:basedOn w:val="DefaultParagraphFont"/>
    <w:uiPriority w:val="99"/>
    <w:semiHidden/>
    <w:unhideWhenUsed/>
    <w:rsid w:val="000118ED"/>
    <w:rPr>
      <w:sz w:val="16"/>
      <w:szCs w:val="16"/>
    </w:rPr>
  </w:style>
  <w:style w:type="paragraph" w:styleId="CommentText">
    <w:name w:val="annotation text"/>
    <w:basedOn w:val="Normal"/>
    <w:link w:val="CommentTextChar"/>
    <w:uiPriority w:val="99"/>
    <w:unhideWhenUsed/>
    <w:rsid w:val="000118ED"/>
    <w:rPr>
      <w:sz w:val="20"/>
      <w:szCs w:val="20"/>
    </w:rPr>
  </w:style>
  <w:style w:type="character" w:customStyle="1" w:styleId="CommentTextChar">
    <w:name w:val="Comment Text Char"/>
    <w:basedOn w:val="DefaultParagraphFont"/>
    <w:link w:val="CommentText"/>
    <w:uiPriority w:val="99"/>
    <w:rsid w:val="000118ED"/>
    <w:rPr>
      <w:sz w:val="20"/>
      <w:szCs w:val="20"/>
    </w:rPr>
  </w:style>
  <w:style w:type="paragraph" w:styleId="CommentSubject">
    <w:name w:val="annotation subject"/>
    <w:basedOn w:val="CommentText"/>
    <w:next w:val="CommentText"/>
    <w:link w:val="CommentSubjectChar"/>
    <w:uiPriority w:val="99"/>
    <w:semiHidden/>
    <w:unhideWhenUsed/>
    <w:rsid w:val="000118ED"/>
    <w:rPr>
      <w:b/>
      <w:bCs/>
    </w:rPr>
  </w:style>
  <w:style w:type="character" w:customStyle="1" w:styleId="CommentSubjectChar">
    <w:name w:val="Comment Subject Char"/>
    <w:basedOn w:val="CommentTextChar"/>
    <w:link w:val="CommentSubject"/>
    <w:uiPriority w:val="99"/>
    <w:semiHidden/>
    <w:rsid w:val="000118ED"/>
    <w:rPr>
      <w:b/>
      <w:bCs/>
      <w:sz w:val="20"/>
      <w:szCs w:val="20"/>
    </w:rPr>
  </w:style>
  <w:style w:type="character" w:styleId="LineNumber">
    <w:name w:val="line number"/>
    <w:basedOn w:val="DefaultParagraphFont"/>
    <w:uiPriority w:val="99"/>
    <w:semiHidden/>
    <w:unhideWhenUsed/>
    <w:rsid w:val="00B01AFA"/>
  </w:style>
  <w:style w:type="paragraph" w:styleId="Header">
    <w:name w:val="header"/>
    <w:basedOn w:val="Normal"/>
    <w:link w:val="HeaderChar"/>
    <w:uiPriority w:val="99"/>
    <w:unhideWhenUsed/>
    <w:rsid w:val="00005FB0"/>
    <w:pPr>
      <w:tabs>
        <w:tab w:val="center" w:pos="4320"/>
        <w:tab w:val="right" w:pos="8640"/>
      </w:tabs>
    </w:pPr>
  </w:style>
  <w:style w:type="character" w:customStyle="1" w:styleId="HeaderChar">
    <w:name w:val="Header Char"/>
    <w:basedOn w:val="DefaultParagraphFont"/>
    <w:link w:val="Header"/>
    <w:uiPriority w:val="99"/>
    <w:rsid w:val="00005FB0"/>
    <w:rPr>
      <w:sz w:val="24"/>
      <w:szCs w:val="24"/>
    </w:rPr>
  </w:style>
  <w:style w:type="paragraph" w:styleId="Revision">
    <w:name w:val="Revision"/>
    <w:hidden/>
    <w:uiPriority w:val="99"/>
    <w:semiHidden/>
    <w:rsid w:val="001407AA"/>
    <w:rPr>
      <w:sz w:val="24"/>
      <w:szCs w:val="24"/>
    </w:rPr>
  </w:style>
  <w:style w:type="paragraph" w:styleId="DocumentMap">
    <w:name w:val="Document Map"/>
    <w:basedOn w:val="Normal"/>
    <w:link w:val="DocumentMapChar"/>
    <w:uiPriority w:val="99"/>
    <w:semiHidden/>
    <w:unhideWhenUsed/>
    <w:rsid w:val="00AA05B9"/>
    <w:rPr>
      <w:rFonts w:ascii="Tahoma" w:hAnsi="Tahoma" w:cs="Tahoma"/>
      <w:sz w:val="16"/>
      <w:szCs w:val="16"/>
    </w:rPr>
  </w:style>
  <w:style w:type="character" w:customStyle="1" w:styleId="DocumentMapChar">
    <w:name w:val="Document Map Char"/>
    <w:basedOn w:val="DefaultParagraphFont"/>
    <w:link w:val="DocumentMap"/>
    <w:uiPriority w:val="99"/>
    <w:semiHidden/>
    <w:rsid w:val="00AA05B9"/>
    <w:rPr>
      <w:rFonts w:ascii="Tahoma" w:hAnsi="Tahoma" w:cs="Tahoma"/>
      <w:sz w:val="16"/>
      <w:szCs w:val="16"/>
    </w:rPr>
  </w:style>
  <w:style w:type="paragraph" w:styleId="NoSpacing">
    <w:name w:val="No Spacing"/>
    <w:uiPriority w:val="1"/>
    <w:qFormat/>
    <w:rsid w:val="00F072DE"/>
    <w:rPr>
      <w:rFonts w:asciiTheme="minorHAnsi" w:eastAsiaTheme="minorHAnsi" w:hAnsiTheme="minorHAnsi" w:cstheme="minorBidi"/>
      <w:lang w:val="es-CO"/>
    </w:rPr>
  </w:style>
  <w:style w:type="character" w:customStyle="1" w:styleId="st">
    <w:name w:val="st"/>
    <w:basedOn w:val="DefaultParagraphFont"/>
    <w:rsid w:val="00815A8B"/>
  </w:style>
  <w:style w:type="character" w:styleId="FollowedHyperlink">
    <w:name w:val="FollowedHyperlink"/>
    <w:basedOn w:val="DefaultParagraphFont"/>
    <w:uiPriority w:val="99"/>
    <w:semiHidden/>
    <w:unhideWhenUsed/>
    <w:rsid w:val="00377C46"/>
    <w:rPr>
      <w:color w:val="800080" w:themeColor="followedHyperlink"/>
      <w:u w:val="single"/>
    </w:rPr>
  </w:style>
  <w:style w:type="paragraph" w:styleId="Subtitle">
    <w:name w:val="Subtitle"/>
    <w:basedOn w:val="Normal"/>
    <w:next w:val="Normal"/>
    <w:link w:val="SubtitleChar"/>
    <w:qFormat/>
    <w:locked/>
    <w:rsid w:val="00EA0B7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A0B72"/>
    <w:rPr>
      <w:rFonts w:asciiTheme="minorHAnsi" w:eastAsiaTheme="minorEastAsia" w:hAnsiTheme="minorHAnsi" w:cstheme="minorBidi"/>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9074">
      <w:bodyDiv w:val="1"/>
      <w:marLeft w:val="0"/>
      <w:marRight w:val="0"/>
      <w:marTop w:val="0"/>
      <w:marBottom w:val="0"/>
      <w:divBdr>
        <w:top w:val="none" w:sz="0" w:space="0" w:color="auto"/>
        <w:left w:val="none" w:sz="0" w:space="0" w:color="auto"/>
        <w:bottom w:val="none" w:sz="0" w:space="0" w:color="auto"/>
        <w:right w:val="none" w:sz="0" w:space="0" w:color="auto"/>
      </w:divBdr>
    </w:div>
    <w:div w:id="10184009">
      <w:bodyDiv w:val="1"/>
      <w:marLeft w:val="0"/>
      <w:marRight w:val="0"/>
      <w:marTop w:val="0"/>
      <w:marBottom w:val="0"/>
      <w:divBdr>
        <w:top w:val="none" w:sz="0" w:space="0" w:color="auto"/>
        <w:left w:val="none" w:sz="0" w:space="0" w:color="auto"/>
        <w:bottom w:val="none" w:sz="0" w:space="0" w:color="auto"/>
        <w:right w:val="none" w:sz="0" w:space="0" w:color="auto"/>
      </w:divBdr>
    </w:div>
    <w:div w:id="11151818">
      <w:bodyDiv w:val="1"/>
      <w:marLeft w:val="0"/>
      <w:marRight w:val="0"/>
      <w:marTop w:val="0"/>
      <w:marBottom w:val="0"/>
      <w:divBdr>
        <w:top w:val="none" w:sz="0" w:space="0" w:color="auto"/>
        <w:left w:val="none" w:sz="0" w:space="0" w:color="auto"/>
        <w:bottom w:val="none" w:sz="0" w:space="0" w:color="auto"/>
        <w:right w:val="none" w:sz="0" w:space="0" w:color="auto"/>
      </w:divBdr>
    </w:div>
    <w:div w:id="12463388">
      <w:bodyDiv w:val="1"/>
      <w:marLeft w:val="0"/>
      <w:marRight w:val="0"/>
      <w:marTop w:val="0"/>
      <w:marBottom w:val="0"/>
      <w:divBdr>
        <w:top w:val="none" w:sz="0" w:space="0" w:color="auto"/>
        <w:left w:val="none" w:sz="0" w:space="0" w:color="auto"/>
        <w:bottom w:val="none" w:sz="0" w:space="0" w:color="auto"/>
        <w:right w:val="none" w:sz="0" w:space="0" w:color="auto"/>
      </w:divBdr>
    </w:div>
    <w:div w:id="13770528">
      <w:bodyDiv w:val="1"/>
      <w:marLeft w:val="0"/>
      <w:marRight w:val="0"/>
      <w:marTop w:val="0"/>
      <w:marBottom w:val="0"/>
      <w:divBdr>
        <w:top w:val="none" w:sz="0" w:space="0" w:color="auto"/>
        <w:left w:val="none" w:sz="0" w:space="0" w:color="auto"/>
        <w:bottom w:val="none" w:sz="0" w:space="0" w:color="auto"/>
        <w:right w:val="none" w:sz="0" w:space="0" w:color="auto"/>
      </w:divBdr>
    </w:div>
    <w:div w:id="15231988">
      <w:bodyDiv w:val="1"/>
      <w:marLeft w:val="0"/>
      <w:marRight w:val="0"/>
      <w:marTop w:val="0"/>
      <w:marBottom w:val="0"/>
      <w:divBdr>
        <w:top w:val="none" w:sz="0" w:space="0" w:color="auto"/>
        <w:left w:val="none" w:sz="0" w:space="0" w:color="auto"/>
        <w:bottom w:val="none" w:sz="0" w:space="0" w:color="auto"/>
        <w:right w:val="none" w:sz="0" w:space="0" w:color="auto"/>
      </w:divBdr>
    </w:div>
    <w:div w:id="16395732">
      <w:bodyDiv w:val="1"/>
      <w:marLeft w:val="0"/>
      <w:marRight w:val="0"/>
      <w:marTop w:val="0"/>
      <w:marBottom w:val="0"/>
      <w:divBdr>
        <w:top w:val="none" w:sz="0" w:space="0" w:color="auto"/>
        <w:left w:val="none" w:sz="0" w:space="0" w:color="auto"/>
        <w:bottom w:val="none" w:sz="0" w:space="0" w:color="auto"/>
        <w:right w:val="none" w:sz="0" w:space="0" w:color="auto"/>
      </w:divBdr>
    </w:div>
    <w:div w:id="36201687">
      <w:bodyDiv w:val="1"/>
      <w:marLeft w:val="0"/>
      <w:marRight w:val="0"/>
      <w:marTop w:val="0"/>
      <w:marBottom w:val="0"/>
      <w:divBdr>
        <w:top w:val="none" w:sz="0" w:space="0" w:color="auto"/>
        <w:left w:val="none" w:sz="0" w:space="0" w:color="auto"/>
        <w:bottom w:val="none" w:sz="0" w:space="0" w:color="auto"/>
        <w:right w:val="none" w:sz="0" w:space="0" w:color="auto"/>
      </w:divBdr>
    </w:div>
    <w:div w:id="37245880">
      <w:bodyDiv w:val="1"/>
      <w:marLeft w:val="0"/>
      <w:marRight w:val="0"/>
      <w:marTop w:val="0"/>
      <w:marBottom w:val="0"/>
      <w:divBdr>
        <w:top w:val="none" w:sz="0" w:space="0" w:color="auto"/>
        <w:left w:val="none" w:sz="0" w:space="0" w:color="auto"/>
        <w:bottom w:val="none" w:sz="0" w:space="0" w:color="auto"/>
        <w:right w:val="none" w:sz="0" w:space="0" w:color="auto"/>
      </w:divBdr>
    </w:div>
    <w:div w:id="69042147">
      <w:bodyDiv w:val="1"/>
      <w:marLeft w:val="0"/>
      <w:marRight w:val="0"/>
      <w:marTop w:val="0"/>
      <w:marBottom w:val="0"/>
      <w:divBdr>
        <w:top w:val="none" w:sz="0" w:space="0" w:color="auto"/>
        <w:left w:val="none" w:sz="0" w:space="0" w:color="auto"/>
        <w:bottom w:val="none" w:sz="0" w:space="0" w:color="auto"/>
        <w:right w:val="none" w:sz="0" w:space="0" w:color="auto"/>
      </w:divBdr>
    </w:div>
    <w:div w:id="71511220">
      <w:bodyDiv w:val="1"/>
      <w:marLeft w:val="0"/>
      <w:marRight w:val="0"/>
      <w:marTop w:val="0"/>
      <w:marBottom w:val="0"/>
      <w:divBdr>
        <w:top w:val="none" w:sz="0" w:space="0" w:color="auto"/>
        <w:left w:val="none" w:sz="0" w:space="0" w:color="auto"/>
        <w:bottom w:val="none" w:sz="0" w:space="0" w:color="auto"/>
        <w:right w:val="none" w:sz="0" w:space="0" w:color="auto"/>
      </w:divBdr>
    </w:div>
    <w:div w:id="76950485">
      <w:bodyDiv w:val="1"/>
      <w:marLeft w:val="0"/>
      <w:marRight w:val="0"/>
      <w:marTop w:val="0"/>
      <w:marBottom w:val="0"/>
      <w:divBdr>
        <w:top w:val="none" w:sz="0" w:space="0" w:color="auto"/>
        <w:left w:val="none" w:sz="0" w:space="0" w:color="auto"/>
        <w:bottom w:val="none" w:sz="0" w:space="0" w:color="auto"/>
        <w:right w:val="none" w:sz="0" w:space="0" w:color="auto"/>
      </w:divBdr>
    </w:div>
    <w:div w:id="78647758">
      <w:bodyDiv w:val="1"/>
      <w:marLeft w:val="0"/>
      <w:marRight w:val="0"/>
      <w:marTop w:val="0"/>
      <w:marBottom w:val="0"/>
      <w:divBdr>
        <w:top w:val="none" w:sz="0" w:space="0" w:color="auto"/>
        <w:left w:val="none" w:sz="0" w:space="0" w:color="auto"/>
        <w:bottom w:val="none" w:sz="0" w:space="0" w:color="auto"/>
        <w:right w:val="none" w:sz="0" w:space="0" w:color="auto"/>
      </w:divBdr>
    </w:div>
    <w:div w:id="90125983">
      <w:bodyDiv w:val="1"/>
      <w:marLeft w:val="0"/>
      <w:marRight w:val="0"/>
      <w:marTop w:val="0"/>
      <w:marBottom w:val="0"/>
      <w:divBdr>
        <w:top w:val="none" w:sz="0" w:space="0" w:color="auto"/>
        <w:left w:val="none" w:sz="0" w:space="0" w:color="auto"/>
        <w:bottom w:val="none" w:sz="0" w:space="0" w:color="auto"/>
        <w:right w:val="none" w:sz="0" w:space="0" w:color="auto"/>
      </w:divBdr>
    </w:div>
    <w:div w:id="99766740">
      <w:bodyDiv w:val="1"/>
      <w:marLeft w:val="0"/>
      <w:marRight w:val="0"/>
      <w:marTop w:val="0"/>
      <w:marBottom w:val="0"/>
      <w:divBdr>
        <w:top w:val="none" w:sz="0" w:space="0" w:color="auto"/>
        <w:left w:val="none" w:sz="0" w:space="0" w:color="auto"/>
        <w:bottom w:val="none" w:sz="0" w:space="0" w:color="auto"/>
        <w:right w:val="none" w:sz="0" w:space="0" w:color="auto"/>
      </w:divBdr>
    </w:div>
    <w:div w:id="117573346">
      <w:bodyDiv w:val="1"/>
      <w:marLeft w:val="0"/>
      <w:marRight w:val="0"/>
      <w:marTop w:val="0"/>
      <w:marBottom w:val="0"/>
      <w:divBdr>
        <w:top w:val="none" w:sz="0" w:space="0" w:color="auto"/>
        <w:left w:val="none" w:sz="0" w:space="0" w:color="auto"/>
        <w:bottom w:val="none" w:sz="0" w:space="0" w:color="auto"/>
        <w:right w:val="none" w:sz="0" w:space="0" w:color="auto"/>
      </w:divBdr>
    </w:div>
    <w:div w:id="123937272">
      <w:bodyDiv w:val="1"/>
      <w:marLeft w:val="0"/>
      <w:marRight w:val="0"/>
      <w:marTop w:val="0"/>
      <w:marBottom w:val="0"/>
      <w:divBdr>
        <w:top w:val="none" w:sz="0" w:space="0" w:color="auto"/>
        <w:left w:val="none" w:sz="0" w:space="0" w:color="auto"/>
        <w:bottom w:val="none" w:sz="0" w:space="0" w:color="auto"/>
        <w:right w:val="none" w:sz="0" w:space="0" w:color="auto"/>
      </w:divBdr>
    </w:div>
    <w:div w:id="138570549">
      <w:bodyDiv w:val="1"/>
      <w:marLeft w:val="0"/>
      <w:marRight w:val="0"/>
      <w:marTop w:val="0"/>
      <w:marBottom w:val="0"/>
      <w:divBdr>
        <w:top w:val="none" w:sz="0" w:space="0" w:color="auto"/>
        <w:left w:val="none" w:sz="0" w:space="0" w:color="auto"/>
        <w:bottom w:val="none" w:sz="0" w:space="0" w:color="auto"/>
        <w:right w:val="none" w:sz="0" w:space="0" w:color="auto"/>
      </w:divBdr>
    </w:div>
    <w:div w:id="163741523">
      <w:bodyDiv w:val="1"/>
      <w:marLeft w:val="0"/>
      <w:marRight w:val="0"/>
      <w:marTop w:val="0"/>
      <w:marBottom w:val="0"/>
      <w:divBdr>
        <w:top w:val="none" w:sz="0" w:space="0" w:color="auto"/>
        <w:left w:val="none" w:sz="0" w:space="0" w:color="auto"/>
        <w:bottom w:val="none" w:sz="0" w:space="0" w:color="auto"/>
        <w:right w:val="none" w:sz="0" w:space="0" w:color="auto"/>
      </w:divBdr>
    </w:div>
    <w:div w:id="164908568">
      <w:bodyDiv w:val="1"/>
      <w:marLeft w:val="0"/>
      <w:marRight w:val="0"/>
      <w:marTop w:val="0"/>
      <w:marBottom w:val="0"/>
      <w:divBdr>
        <w:top w:val="none" w:sz="0" w:space="0" w:color="auto"/>
        <w:left w:val="none" w:sz="0" w:space="0" w:color="auto"/>
        <w:bottom w:val="none" w:sz="0" w:space="0" w:color="auto"/>
        <w:right w:val="none" w:sz="0" w:space="0" w:color="auto"/>
      </w:divBdr>
    </w:div>
    <w:div w:id="172839287">
      <w:bodyDiv w:val="1"/>
      <w:marLeft w:val="0"/>
      <w:marRight w:val="0"/>
      <w:marTop w:val="0"/>
      <w:marBottom w:val="0"/>
      <w:divBdr>
        <w:top w:val="none" w:sz="0" w:space="0" w:color="auto"/>
        <w:left w:val="none" w:sz="0" w:space="0" w:color="auto"/>
        <w:bottom w:val="none" w:sz="0" w:space="0" w:color="auto"/>
        <w:right w:val="none" w:sz="0" w:space="0" w:color="auto"/>
      </w:divBdr>
    </w:div>
    <w:div w:id="174030726">
      <w:bodyDiv w:val="1"/>
      <w:marLeft w:val="0"/>
      <w:marRight w:val="0"/>
      <w:marTop w:val="0"/>
      <w:marBottom w:val="0"/>
      <w:divBdr>
        <w:top w:val="none" w:sz="0" w:space="0" w:color="auto"/>
        <w:left w:val="none" w:sz="0" w:space="0" w:color="auto"/>
        <w:bottom w:val="none" w:sz="0" w:space="0" w:color="auto"/>
        <w:right w:val="none" w:sz="0" w:space="0" w:color="auto"/>
      </w:divBdr>
    </w:div>
    <w:div w:id="177231646">
      <w:bodyDiv w:val="1"/>
      <w:marLeft w:val="0"/>
      <w:marRight w:val="0"/>
      <w:marTop w:val="0"/>
      <w:marBottom w:val="0"/>
      <w:divBdr>
        <w:top w:val="none" w:sz="0" w:space="0" w:color="auto"/>
        <w:left w:val="none" w:sz="0" w:space="0" w:color="auto"/>
        <w:bottom w:val="none" w:sz="0" w:space="0" w:color="auto"/>
        <w:right w:val="none" w:sz="0" w:space="0" w:color="auto"/>
      </w:divBdr>
    </w:div>
    <w:div w:id="189881111">
      <w:bodyDiv w:val="1"/>
      <w:marLeft w:val="0"/>
      <w:marRight w:val="0"/>
      <w:marTop w:val="0"/>
      <w:marBottom w:val="0"/>
      <w:divBdr>
        <w:top w:val="none" w:sz="0" w:space="0" w:color="auto"/>
        <w:left w:val="none" w:sz="0" w:space="0" w:color="auto"/>
        <w:bottom w:val="none" w:sz="0" w:space="0" w:color="auto"/>
        <w:right w:val="none" w:sz="0" w:space="0" w:color="auto"/>
      </w:divBdr>
    </w:div>
    <w:div w:id="197163828">
      <w:bodyDiv w:val="1"/>
      <w:marLeft w:val="0"/>
      <w:marRight w:val="0"/>
      <w:marTop w:val="0"/>
      <w:marBottom w:val="0"/>
      <w:divBdr>
        <w:top w:val="none" w:sz="0" w:space="0" w:color="auto"/>
        <w:left w:val="none" w:sz="0" w:space="0" w:color="auto"/>
        <w:bottom w:val="none" w:sz="0" w:space="0" w:color="auto"/>
        <w:right w:val="none" w:sz="0" w:space="0" w:color="auto"/>
      </w:divBdr>
    </w:div>
    <w:div w:id="207836255">
      <w:bodyDiv w:val="1"/>
      <w:marLeft w:val="0"/>
      <w:marRight w:val="0"/>
      <w:marTop w:val="0"/>
      <w:marBottom w:val="0"/>
      <w:divBdr>
        <w:top w:val="none" w:sz="0" w:space="0" w:color="auto"/>
        <w:left w:val="none" w:sz="0" w:space="0" w:color="auto"/>
        <w:bottom w:val="none" w:sz="0" w:space="0" w:color="auto"/>
        <w:right w:val="none" w:sz="0" w:space="0" w:color="auto"/>
      </w:divBdr>
    </w:div>
    <w:div w:id="214850837">
      <w:bodyDiv w:val="1"/>
      <w:marLeft w:val="0"/>
      <w:marRight w:val="0"/>
      <w:marTop w:val="0"/>
      <w:marBottom w:val="0"/>
      <w:divBdr>
        <w:top w:val="none" w:sz="0" w:space="0" w:color="auto"/>
        <w:left w:val="none" w:sz="0" w:space="0" w:color="auto"/>
        <w:bottom w:val="none" w:sz="0" w:space="0" w:color="auto"/>
        <w:right w:val="none" w:sz="0" w:space="0" w:color="auto"/>
      </w:divBdr>
    </w:div>
    <w:div w:id="230116923">
      <w:bodyDiv w:val="1"/>
      <w:marLeft w:val="0"/>
      <w:marRight w:val="0"/>
      <w:marTop w:val="0"/>
      <w:marBottom w:val="0"/>
      <w:divBdr>
        <w:top w:val="none" w:sz="0" w:space="0" w:color="auto"/>
        <w:left w:val="none" w:sz="0" w:space="0" w:color="auto"/>
        <w:bottom w:val="none" w:sz="0" w:space="0" w:color="auto"/>
        <w:right w:val="none" w:sz="0" w:space="0" w:color="auto"/>
      </w:divBdr>
    </w:div>
    <w:div w:id="234630264">
      <w:bodyDiv w:val="1"/>
      <w:marLeft w:val="0"/>
      <w:marRight w:val="0"/>
      <w:marTop w:val="0"/>
      <w:marBottom w:val="0"/>
      <w:divBdr>
        <w:top w:val="none" w:sz="0" w:space="0" w:color="auto"/>
        <w:left w:val="none" w:sz="0" w:space="0" w:color="auto"/>
        <w:bottom w:val="none" w:sz="0" w:space="0" w:color="auto"/>
        <w:right w:val="none" w:sz="0" w:space="0" w:color="auto"/>
      </w:divBdr>
    </w:div>
    <w:div w:id="253363606">
      <w:bodyDiv w:val="1"/>
      <w:marLeft w:val="0"/>
      <w:marRight w:val="0"/>
      <w:marTop w:val="0"/>
      <w:marBottom w:val="0"/>
      <w:divBdr>
        <w:top w:val="none" w:sz="0" w:space="0" w:color="auto"/>
        <w:left w:val="none" w:sz="0" w:space="0" w:color="auto"/>
        <w:bottom w:val="none" w:sz="0" w:space="0" w:color="auto"/>
        <w:right w:val="none" w:sz="0" w:space="0" w:color="auto"/>
      </w:divBdr>
    </w:div>
    <w:div w:id="255021231">
      <w:bodyDiv w:val="1"/>
      <w:marLeft w:val="0"/>
      <w:marRight w:val="0"/>
      <w:marTop w:val="0"/>
      <w:marBottom w:val="0"/>
      <w:divBdr>
        <w:top w:val="none" w:sz="0" w:space="0" w:color="auto"/>
        <w:left w:val="none" w:sz="0" w:space="0" w:color="auto"/>
        <w:bottom w:val="none" w:sz="0" w:space="0" w:color="auto"/>
        <w:right w:val="none" w:sz="0" w:space="0" w:color="auto"/>
      </w:divBdr>
    </w:div>
    <w:div w:id="262035389">
      <w:bodyDiv w:val="1"/>
      <w:marLeft w:val="0"/>
      <w:marRight w:val="0"/>
      <w:marTop w:val="0"/>
      <w:marBottom w:val="0"/>
      <w:divBdr>
        <w:top w:val="none" w:sz="0" w:space="0" w:color="auto"/>
        <w:left w:val="none" w:sz="0" w:space="0" w:color="auto"/>
        <w:bottom w:val="none" w:sz="0" w:space="0" w:color="auto"/>
        <w:right w:val="none" w:sz="0" w:space="0" w:color="auto"/>
      </w:divBdr>
    </w:div>
    <w:div w:id="264771481">
      <w:bodyDiv w:val="1"/>
      <w:marLeft w:val="0"/>
      <w:marRight w:val="0"/>
      <w:marTop w:val="0"/>
      <w:marBottom w:val="0"/>
      <w:divBdr>
        <w:top w:val="none" w:sz="0" w:space="0" w:color="auto"/>
        <w:left w:val="none" w:sz="0" w:space="0" w:color="auto"/>
        <w:bottom w:val="none" w:sz="0" w:space="0" w:color="auto"/>
        <w:right w:val="none" w:sz="0" w:space="0" w:color="auto"/>
      </w:divBdr>
    </w:div>
    <w:div w:id="265817555">
      <w:bodyDiv w:val="1"/>
      <w:marLeft w:val="0"/>
      <w:marRight w:val="0"/>
      <w:marTop w:val="0"/>
      <w:marBottom w:val="0"/>
      <w:divBdr>
        <w:top w:val="none" w:sz="0" w:space="0" w:color="auto"/>
        <w:left w:val="none" w:sz="0" w:space="0" w:color="auto"/>
        <w:bottom w:val="none" w:sz="0" w:space="0" w:color="auto"/>
        <w:right w:val="none" w:sz="0" w:space="0" w:color="auto"/>
      </w:divBdr>
    </w:div>
    <w:div w:id="276571945">
      <w:bodyDiv w:val="1"/>
      <w:marLeft w:val="0"/>
      <w:marRight w:val="0"/>
      <w:marTop w:val="0"/>
      <w:marBottom w:val="0"/>
      <w:divBdr>
        <w:top w:val="none" w:sz="0" w:space="0" w:color="auto"/>
        <w:left w:val="none" w:sz="0" w:space="0" w:color="auto"/>
        <w:bottom w:val="none" w:sz="0" w:space="0" w:color="auto"/>
        <w:right w:val="none" w:sz="0" w:space="0" w:color="auto"/>
      </w:divBdr>
    </w:div>
    <w:div w:id="276910896">
      <w:bodyDiv w:val="1"/>
      <w:marLeft w:val="0"/>
      <w:marRight w:val="0"/>
      <w:marTop w:val="0"/>
      <w:marBottom w:val="0"/>
      <w:divBdr>
        <w:top w:val="none" w:sz="0" w:space="0" w:color="auto"/>
        <w:left w:val="none" w:sz="0" w:space="0" w:color="auto"/>
        <w:bottom w:val="none" w:sz="0" w:space="0" w:color="auto"/>
        <w:right w:val="none" w:sz="0" w:space="0" w:color="auto"/>
      </w:divBdr>
    </w:div>
    <w:div w:id="286359066">
      <w:bodyDiv w:val="1"/>
      <w:marLeft w:val="0"/>
      <w:marRight w:val="0"/>
      <w:marTop w:val="0"/>
      <w:marBottom w:val="0"/>
      <w:divBdr>
        <w:top w:val="none" w:sz="0" w:space="0" w:color="auto"/>
        <w:left w:val="none" w:sz="0" w:space="0" w:color="auto"/>
        <w:bottom w:val="none" w:sz="0" w:space="0" w:color="auto"/>
        <w:right w:val="none" w:sz="0" w:space="0" w:color="auto"/>
      </w:divBdr>
    </w:div>
    <w:div w:id="291137027">
      <w:bodyDiv w:val="1"/>
      <w:marLeft w:val="0"/>
      <w:marRight w:val="0"/>
      <w:marTop w:val="0"/>
      <w:marBottom w:val="0"/>
      <w:divBdr>
        <w:top w:val="none" w:sz="0" w:space="0" w:color="auto"/>
        <w:left w:val="none" w:sz="0" w:space="0" w:color="auto"/>
        <w:bottom w:val="none" w:sz="0" w:space="0" w:color="auto"/>
        <w:right w:val="none" w:sz="0" w:space="0" w:color="auto"/>
      </w:divBdr>
    </w:div>
    <w:div w:id="294264115">
      <w:bodyDiv w:val="1"/>
      <w:marLeft w:val="0"/>
      <w:marRight w:val="0"/>
      <w:marTop w:val="0"/>
      <w:marBottom w:val="0"/>
      <w:divBdr>
        <w:top w:val="none" w:sz="0" w:space="0" w:color="auto"/>
        <w:left w:val="none" w:sz="0" w:space="0" w:color="auto"/>
        <w:bottom w:val="none" w:sz="0" w:space="0" w:color="auto"/>
        <w:right w:val="none" w:sz="0" w:space="0" w:color="auto"/>
      </w:divBdr>
    </w:div>
    <w:div w:id="296686108">
      <w:bodyDiv w:val="1"/>
      <w:marLeft w:val="0"/>
      <w:marRight w:val="0"/>
      <w:marTop w:val="0"/>
      <w:marBottom w:val="0"/>
      <w:divBdr>
        <w:top w:val="none" w:sz="0" w:space="0" w:color="auto"/>
        <w:left w:val="none" w:sz="0" w:space="0" w:color="auto"/>
        <w:bottom w:val="none" w:sz="0" w:space="0" w:color="auto"/>
        <w:right w:val="none" w:sz="0" w:space="0" w:color="auto"/>
      </w:divBdr>
    </w:div>
    <w:div w:id="306666334">
      <w:bodyDiv w:val="1"/>
      <w:marLeft w:val="0"/>
      <w:marRight w:val="0"/>
      <w:marTop w:val="0"/>
      <w:marBottom w:val="0"/>
      <w:divBdr>
        <w:top w:val="none" w:sz="0" w:space="0" w:color="auto"/>
        <w:left w:val="none" w:sz="0" w:space="0" w:color="auto"/>
        <w:bottom w:val="none" w:sz="0" w:space="0" w:color="auto"/>
        <w:right w:val="none" w:sz="0" w:space="0" w:color="auto"/>
      </w:divBdr>
    </w:div>
    <w:div w:id="327486430">
      <w:bodyDiv w:val="1"/>
      <w:marLeft w:val="0"/>
      <w:marRight w:val="0"/>
      <w:marTop w:val="0"/>
      <w:marBottom w:val="0"/>
      <w:divBdr>
        <w:top w:val="none" w:sz="0" w:space="0" w:color="auto"/>
        <w:left w:val="none" w:sz="0" w:space="0" w:color="auto"/>
        <w:bottom w:val="none" w:sz="0" w:space="0" w:color="auto"/>
        <w:right w:val="none" w:sz="0" w:space="0" w:color="auto"/>
      </w:divBdr>
    </w:div>
    <w:div w:id="329454834">
      <w:bodyDiv w:val="1"/>
      <w:marLeft w:val="0"/>
      <w:marRight w:val="0"/>
      <w:marTop w:val="0"/>
      <w:marBottom w:val="0"/>
      <w:divBdr>
        <w:top w:val="none" w:sz="0" w:space="0" w:color="auto"/>
        <w:left w:val="none" w:sz="0" w:space="0" w:color="auto"/>
        <w:bottom w:val="none" w:sz="0" w:space="0" w:color="auto"/>
        <w:right w:val="none" w:sz="0" w:space="0" w:color="auto"/>
      </w:divBdr>
    </w:div>
    <w:div w:id="334456619">
      <w:bodyDiv w:val="1"/>
      <w:marLeft w:val="0"/>
      <w:marRight w:val="0"/>
      <w:marTop w:val="0"/>
      <w:marBottom w:val="0"/>
      <w:divBdr>
        <w:top w:val="none" w:sz="0" w:space="0" w:color="auto"/>
        <w:left w:val="none" w:sz="0" w:space="0" w:color="auto"/>
        <w:bottom w:val="none" w:sz="0" w:space="0" w:color="auto"/>
        <w:right w:val="none" w:sz="0" w:space="0" w:color="auto"/>
      </w:divBdr>
    </w:div>
    <w:div w:id="352388711">
      <w:bodyDiv w:val="1"/>
      <w:marLeft w:val="0"/>
      <w:marRight w:val="0"/>
      <w:marTop w:val="0"/>
      <w:marBottom w:val="0"/>
      <w:divBdr>
        <w:top w:val="none" w:sz="0" w:space="0" w:color="auto"/>
        <w:left w:val="none" w:sz="0" w:space="0" w:color="auto"/>
        <w:bottom w:val="none" w:sz="0" w:space="0" w:color="auto"/>
        <w:right w:val="none" w:sz="0" w:space="0" w:color="auto"/>
      </w:divBdr>
    </w:div>
    <w:div w:id="355157949">
      <w:bodyDiv w:val="1"/>
      <w:marLeft w:val="0"/>
      <w:marRight w:val="0"/>
      <w:marTop w:val="0"/>
      <w:marBottom w:val="0"/>
      <w:divBdr>
        <w:top w:val="none" w:sz="0" w:space="0" w:color="auto"/>
        <w:left w:val="none" w:sz="0" w:space="0" w:color="auto"/>
        <w:bottom w:val="none" w:sz="0" w:space="0" w:color="auto"/>
        <w:right w:val="none" w:sz="0" w:space="0" w:color="auto"/>
      </w:divBdr>
    </w:div>
    <w:div w:id="370614847">
      <w:bodyDiv w:val="1"/>
      <w:marLeft w:val="0"/>
      <w:marRight w:val="0"/>
      <w:marTop w:val="0"/>
      <w:marBottom w:val="0"/>
      <w:divBdr>
        <w:top w:val="none" w:sz="0" w:space="0" w:color="auto"/>
        <w:left w:val="none" w:sz="0" w:space="0" w:color="auto"/>
        <w:bottom w:val="none" w:sz="0" w:space="0" w:color="auto"/>
        <w:right w:val="none" w:sz="0" w:space="0" w:color="auto"/>
      </w:divBdr>
    </w:div>
    <w:div w:id="371348576">
      <w:bodyDiv w:val="1"/>
      <w:marLeft w:val="0"/>
      <w:marRight w:val="0"/>
      <w:marTop w:val="0"/>
      <w:marBottom w:val="0"/>
      <w:divBdr>
        <w:top w:val="none" w:sz="0" w:space="0" w:color="auto"/>
        <w:left w:val="none" w:sz="0" w:space="0" w:color="auto"/>
        <w:bottom w:val="none" w:sz="0" w:space="0" w:color="auto"/>
        <w:right w:val="none" w:sz="0" w:space="0" w:color="auto"/>
      </w:divBdr>
    </w:div>
    <w:div w:id="389428403">
      <w:bodyDiv w:val="1"/>
      <w:marLeft w:val="0"/>
      <w:marRight w:val="0"/>
      <w:marTop w:val="0"/>
      <w:marBottom w:val="0"/>
      <w:divBdr>
        <w:top w:val="none" w:sz="0" w:space="0" w:color="auto"/>
        <w:left w:val="none" w:sz="0" w:space="0" w:color="auto"/>
        <w:bottom w:val="none" w:sz="0" w:space="0" w:color="auto"/>
        <w:right w:val="none" w:sz="0" w:space="0" w:color="auto"/>
      </w:divBdr>
    </w:div>
    <w:div w:id="396126252">
      <w:bodyDiv w:val="1"/>
      <w:marLeft w:val="0"/>
      <w:marRight w:val="0"/>
      <w:marTop w:val="0"/>
      <w:marBottom w:val="0"/>
      <w:divBdr>
        <w:top w:val="none" w:sz="0" w:space="0" w:color="auto"/>
        <w:left w:val="none" w:sz="0" w:space="0" w:color="auto"/>
        <w:bottom w:val="none" w:sz="0" w:space="0" w:color="auto"/>
        <w:right w:val="none" w:sz="0" w:space="0" w:color="auto"/>
      </w:divBdr>
    </w:div>
    <w:div w:id="397632607">
      <w:bodyDiv w:val="1"/>
      <w:marLeft w:val="0"/>
      <w:marRight w:val="0"/>
      <w:marTop w:val="0"/>
      <w:marBottom w:val="0"/>
      <w:divBdr>
        <w:top w:val="none" w:sz="0" w:space="0" w:color="auto"/>
        <w:left w:val="none" w:sz="0" w:space="0" w:color="auto"/>
        <w:bottom w:val="none" w:sz="0" w:space="0" w:color="auto"/>
        <w:right w:val="none" w:sz="0" w:space="0" w:color="auto"/>
      </w:divBdr>
    </w:div>
    <w:div w:id="404766233">
      <w:bodyDiv w:val="1"/>
      <w:marLeft w:val="0"/>
      <w:marRight w:val="0"/>
      <w:marTop w:val="0"/>
      <w:marBottom w:val="0"/>
      <w:divBdr>
        <w:top w:val="none" w:sz="0" w:space="0" w:color="auto"/>
        <w:left w:val="none" w:sz="0" w:space="0" w:color="auto"/>
        <w:bottom w:val="none" w:sz="0" w:space="0" w:color="auto"/>
        <w:right w:val="none" w:sz="0" w:space="0" w:color="auto"/>
      </w:divBdr>
    </w:div>
    <w:div w:id="423452362">
      <w:bodyDiv w:val="1"/>
      <w:marLeft w:val="0"/>
      <w:marRight w:val="0"/>
      <w:marTop w:val="0"/>
      <w:marBottom w:val="0"/>
      <w:divBdr>
        <w:top w:val="none" w:sz="0" w:space="0" w:color="auto"/>
        <w:left w:val="none" w:sz="0" w:space="0" w:color="auto"/>
        <w:bottom w:val="none" w:sz="0" w:space="0" w:color="auto"/>
        <w:right w:val="none" w:sz="0" w:space="0" w:color="auto"/>
      </w:divBdr>
    </w:div>
    <w:div w:id="423844042">
      <w:bodyDiv w:val="1"/>
      <w:marLeft w:val="0"/>
      <w:marRight w:val="0"/>
      <w:marTop w:val="0"/>
      <w:marBottom w:val="0"/>
      <w:divBdr>
        <w:top w:val="none" w:sz="0" w:space="0" w:color="auto"/>
        <w:left w:val="none" w:sz="0" w:space="0" w:color="auto"/>
        <w:bottom w:val="none" w:sz="0" w:space="0" w:color="auto"/>
        <w:right w:val="none" w:sz="0" w:space="0" w:color="auto"/>
      </w:divBdr>
    </w:div>
    <w:div w:id="437603879">
      <w:bodyDiv w:val="1"/>
      <w:marLeft w:val="0"/>
      <w:marRight w:val="0"/>
      <w:marTop w:val="0"/>
      <w:marBottom w:val="0"/>
      <w:divBdr>
        <w:top w:val="none" w:sz="0" w:space="0" w:color="auto"/>
        <w:left w:val="none" w:sz="0" w:space="0" w:color="auto"/>
        <w:bottom w:val="none" w:sz="0" w:space="0" w:color="auto"/>
        <w:right w:val="none" w:sz="0" w:space="0" w:color="auto"/>
      </w:divBdr>
    </w:div>
    <w:div w:id="442964942">
      <w:bodyDiv w:val="1"/>
      <w:marLeft w:val="0"/>
      <w:marRight w:val="0"/>
      <w:marTop w:val="0"/>
      <w:marBottom w:val="0"/>
      <w:divBdr>
        <w:top w:val="none" w:sz="0" w:space="0" w:color="auto"/>
        <w:left w:val="none" w:sz="0" w:space="0" w:color="auto"/>
        <w:bottom w:val="none" w:sz="0" w:space="0" w:color="auto"/>
        <w:right w:val="none" w:sz="0" w:space="0" w:color="auto"/>
      </w:divBdr>
    </w:div>
    <w:div w:id="445276733">
      <w:bodyDiv w:val="1"/>
      <w:marLeft w:val="0"/>
      <w:marRight w:val="0"/>
      <w:marTop w:val="0"/>
      <w:marBottom w:val="0"/>
      <w:divBdr>
        <w:top w:val="none" w:sz="0" w:space="0" w:color="auto"/>
        <w:left w:val="none" w:sz="0" w:space="0" w:color="auto"/>
        <w:bottom w:val="none" w:sz="0" w:space="0" w:color="auto"/>
        <w:right w:val="none" w:sz="0" w:space="0" w:color="auto"/>
      </w:divBdr>
    </w:div>
    <w:div w:id="446702984">
      <w:bodyDiv w:val="1"/>
      <w:marLeft w:val="0"/>
      <w:marRight w:val="0"/>
      <w:marTop w:val="0"/>
      <w:marBottom w:val="0"/>
      <w:divBdr>
        <w:top w:val="none" w:sz="0" w:space="0" w:color="auto"/>
        <w:left w:val="none" w:sz="0" w:space="0" w:color="auto"/>
        <w:bottom w:val="none" w:sz="0" w:space="0" w:color="auto"/>
        <w:right w:val="none" w:sz="0" w:space="0" w:color="auto"/>
      </w:divBdr>
    </w:div>
    <w:div w:id="451899342">
      <w:bodyDiv w:val="1"/>
      <w:marLeft w:val="0"/>
      <w:marRight w:val="0"/>
      <w:marTop w:val="0"/>
      <w:marBottom w:val="0"/>
      <w:divBdr>
        <w:top w:val="none" w:sz="0" w:space="0" w:color="auto"/>
        <w:left w:val="none" w:sz="0" w:space="0" w:color="auto"/>
        <w:bottom w:val="none" w:sz="0" w:space="0" w:color="auto"/>
        <w:right w:val="none" w:sz="0" w:space="0" w:color="auto"/>
      </w:divBdr>
    </w:div>
    <w:div w:id="453444632">
      <w:bodyDiv w:val="1"/>
      <w:marLeft w:val="0"/>
      <w:marRight w:val="0"/>
      <w:marTop w:val="0"/>
      <w:marBottom w:val="0"/>
      <w:divBdr>
        <w:top w:val="none" w:sz="0" w:space="0" w:color="auto"/>
        <w:left w:val="none" w:sz="0" w:space="0" w:color="auto"/>
        <w:bottom w:val="none" w:sz="0" w:space="0" w:color="auto"/>
        <w:right w:val="none" w:sz="0" w:space="0" w:color="auto"/>
      </w:divBdr>
    </w:div>
    <w:div w:id="458378338">
      <w:bodyDiv w:val="1"/>
      <w:marLeft w:val="0"/>
      <w:marRight w:val="0"/>
      <w:marTop w:val="0"/>
      <w:marBottom w:val="0"/>
      <w:divBdr>
        <w:top w:val="none" w:sz="0" w:space="0" w:color="auto"/>
        <w:left w:val="none" w:sz="0" w:space="0" w:color="auto"/>
        <w:bottom w:val="none" w:sz="0" w:space="0" w:color="auto"/>
        <w:right w:val="none" w:sz="0" w:space="0" w:color="auto"/>
      </w:divBdr>
    </w:div>
    <w:div w:id="458693304">
      <w:bodyDiv w:val="1"/>
      <w:marLeft w:val="0"/>
      <w:marRight w:val="0"/>
      <w:marTop w:val="0"/>
      <w:marBottom w:val="0"/>
      <w:divBdr>
        <w:top w:val="none" w:sz="0" w:space="0" w:color="auto"/>
        <w:left w:val="none" w:sz="0" w:space="0" w:color="auto"/>
        <w:bottom w:val="none" w:sz="0" w:space="0" w:color="auto"/>
        <w:right w:val="none" w:sz="0" w:space="0" w:color="auto"/>
      </w:divBdr>
    </w:div>
    <w:div w:id="471099085">
      <w:bodyDiv w:val="1"/>
      <w:marLeft w:val="0"/>
      <w:marRight w:val="0"/>
      <w:marTop w:val="0"/>
      <w:marBottom w:val="0"/>
      <w:divBdr>
        <w:top w:val="none" w:sz="0" w:space="0" w:color="auto"/>
        <w:left w:val="none" w:sz="0" w:space="0" w:color="auto"/>
        <w:bottom w:val="none" w:sz="0" w:space="0" w:color="auto"/>
        <w:right w:val="none" w:sz="0" w:space="0" w:color="auto"/>
      </w:divBdr>
    </w:div>
    <w:div w:id="476191155">
      <w:bodyDiv w:val="1"/>
      <w:marLeft w:val="0"/>
      <w:marRight w:val="0"/>
      <w:marTop w:val="0"/>
      <w:marBottom w:val="0"/>
      <w:divBdr>
        <w:top w:val="none" w:sz="0" w:space="0" w:color="auto"/>
        <w:left w:val="none" w:sz="0" w:space="0" w:color="auto"/>
        <w:bottom w:val="none" w:sz="0" w:space="0" w:color="auto"/>
        <w:right w:val="none" w:sz="0" w:space="0" w:color="auto"/>
      </w:divBdr>
    </w:div>
    <w:div w:id="476804478">
      <w:bodyDiv w:val="1"/>
      <w:marLeft w:val="0"/>
      <w:marRight w:val="0"/>
      <w:marTop w:val="0"/>
      <w:marBottom w:val="0"/>
      <w:divBdr>
        <w:top w:val="none" w:sz="0" w:space="0" w:color="auto"/>
        <w:left w:val="none" w:sz="0" w:space="0" w:color="auto"/>
        <w:bottom w:val="none" w:sz="0" w:space="0" w:color="auto"/>
        <w:right w:val="none" w:sz="0" w:space="0" w:color="auto"/>
      </w:divBdr>
    </w:div>
    <w:div w:id="481965521">
      <w:bodyDiv w:val="1"/>
      <w:marLeft w:val="0"/>
      <w:marRight w:val="0"/>
      <w:marTop w:val="0"/>
      <w:marBottom w:val="0"/>
      <w:divBdr>
        <w:top w:val="none" w:sz="0" w:space="0" w:color="auto"/>
        <w:left w:val="none" w:sz="0" w:space="0" w:color="auto"/>
        <w:bottom w:val="none" w:sz="0" w:space="0" w:color="auto"/>
        <w:right w:val="none" w:sz="0" w:space="0" w:color="auto"/>
      </w:divBdr>
    </w:div>
    <w:div w:id="484203866">
      <w:bodyDiv w:val="1"/>
      <w:marLeft w:val="0"/>
      <w:marRight w:val="0"/>
      <w:marTop w:val="0"/>
      <w:marBottom w:val="0"/>
      <w:divBdr>
        <w:top w:val="none" w:sz="0" w:space="0" w:color="auto"/>
        <w:left w:val="none" w:sz="0" w:space="0" w:color="auto"/>
        <w:bottom w:val="none" w:sz="0" w:space="0" w:color="auto"/>
        <w:right w:val="none" w:sz="0" w:space="0" w:color="auto"/>
      </w:divBdr>
    </w:div>
    <w:div w:id="485437895">
      <w:bodyDiv w:val="1"/>
      <w:marLeft w:val="0"/>
      <w:marRight w:val="0"/>
      <w:marTop w:val="0"/>
      <w:marBottom w:val="0"/>
      <w:divBdr>
        <w:top w:val="none" w:sz="0" w:space="0" w:color="auto"/>
        <w:left w:val="none" w:sz="0" w:space="0" w:color="auto"/>
        <w:bottom w:val="none" w:sz="0" w:space="0" w:color="auto"/>
        <w:right w:val="none" w:sz="0" w:space="0" w:color="auto"/>
      </w:divBdr>
    </w:div>
    <w:div w:id="486239858">
      <w:bodyDiv w:val="1"/>
      <w:marLeft w:val="0"/>
      <w:marRight w:val="0"/>
      <w:marTop w:val="0"/>
      <w:marBottom w:val="0"/>
      <w:divBdr>
        <w:top w:val="none" w:sz="0" w:space="0" w:color="auto"/>
        <w:left w:val="none" w:sz="0" w:space="0" w:color="auto"/>
        <w:bottom w:val="none" w:sz="0" w:space="0" w:color="auto"/>
        <w:right w:val="none" w:sz="0" w:space="0" w:color="auto"/>
      </w:divBdr>
    </w:div>
    <w:div w:id="487065091">
      <w:bodyDiv w:val="1"/>
      <w:marLeft w:val="0"/>
      <w:marRight w:val="0"/>
      <w:marTop w:val="0"/>
      <w:marBottom w:val="0"/>
      <w:divBdr>
        <w:top w:val="none" w:sz="0" w:space="0" w:color="auto"/>
        <w:left w:val="none" w:sz="0" w:space="0" w:color="auto"/>
        <w:bottom w:val="none" w:sz="0" w:space="0" w:color="auto"/>
        <w:right w:val="none" w:sz="0" w:space="0" w:color="auto"/>
      </w:divBdr>
    </w:div>
    <w:div w:id="500659313">
      <w:bodyDiv w:val="1"/>
      <w:marLeft w:val="0"/>
      <w:marRight w:val="0"/>
      <w:marTop w:val="0"/>
      <w:marBottom w:val="0"/>
      <w:divBdr>
        <w:top w:val="none" w:sz="0" w:space="0" w:color="auto"/>
        <w:left w:val="none" w:sz="0" w:space="0" w:color="auto"/>
        <w:bottom w:val="none" w:sz="0" w:space="0" w:color="auto"/>
        <w:right w:val="none" w:sz="0" w:space="0" w:color="auto"/>
      </w:divBdr>
    </w:div>
    <w:div w:id="500701759">
      <w:bodyDiv w:val="1"/>
      <w:marLeft w:val="0"/>
      <w:marRight w:val="0"/>
      <w:marTop w:val="0"/>
      <w:marBottom w:val="0"/>
      <w:divBdr>
        <w:top w:val="none" w:sz="0" w:space="0" w:color="auto"/>
        <w:left w:val="none" w:sz="0" w:space="0" w:color="auto"/>
        <w:bottom w:val="none" w:sz="0" w:space="0" w:color="auto"/>
        <w:right w:val="none" w:sz="0" w:space="0" w:color="auto"/>
      </w:divBdr>
    </w:div>
    <w:div w:id="514735680">
      <w:bodyDiv w:val="1"/>
      <w:marLeft w:val="0"/>
      <w:marRight w:val="0"/>
      <w:marTop w:val="0"/>
      <w:marBottom w:val="0"/>
      <w:divBdr>
        <w:top w:val="none" w:sz="0" w:space="0" w:color="auto"/>
        <w:left w:val="none" w:sz="0" w:space="0" w:color="auto"/>
        <w:bottom w:val="none" w:sz="0" w:space="0" w:color="auto"/>
        <w:right w:val="none" w:sz="0" w:space="0" w:color="auto"/>
      </w:divBdr>
    </w:div>
    <w:div w:id="525294563">
      <w:bodyDiv w:val="1"/>
      <w:marLeft w:val="0"/>
      <w:marRight w:val="0"/>
      <w:marTop w:val="0"/>
      <w:marBottom w:val="0"/>
      <w:divBdr>
        <w:top w:val="none" w:sz="0" w:space="0" w:color="auto"/>
        <w:left w:val="none" w:sz="0" w:space="0" w:color="auto"/>
        <w:bottom w:val="none" w:sz="0" w:space="0" w:color="auto"/>
        <w:right w:val="none" w:sz="0" w:space="0" w:color="auto"/>
      </w:divBdr>
    </w:div>
    <w:div w:id="530605184">
      <w:bodyDiv w:val="1"/>
      <w:marLeft w:val="0"/>
      <w:marRight w:val="0"/>
      <w:marTop w:val="0"/>
      <w:marBottom w:val="0"/>
      <w:divBdr>
        <w:top w:val="none" w:sz="0" w:space="0" w:color="auto"/>
        <w:left w:val="none" w:sz="0" w:space="0" w:color="auto"/>
        <w:bottom w:val="none" w:sz="0" w:space="0" w:color="auto"/>
        <w:right w:val="none" w:sz="0" w:space="0" w:color="auto"/>
      </w:divBdr>
    </w:div>
    <w:div w:id="531963252">
      <w:bodyDiv w:val="1"/>
      <w:marLeft w:val="0"/>
      <w:marRight w:val="0"/>
      <w:marTop w:val="0"/>
      <w:marBottom w:val="0"/>
      <w:divBdr>
        <w:top w:val="none" w:sz="0" w:space="0" w:color="auto"/>
        <w:left w:val="none" w:sz="0" w:space="0" w:color="auto"/>
        <w:bottom w:val="none" w:sz="0" w:space="0" w:color="auto"/>
        <w:right w:val="none" w:sz="0" w:space="0" w:color="auto"/>
      </w:divBdr>
    </w:div>
    <w:div w:id="537741503">
      <w:bodyDiv w:val="1"/>
      <w:marLeft w:val="0"/>
      <w:marRight w:val="0"/>
      <w:marTop w:val="0"/>
      <w:marBottom w:val="0"/>
      <w:divBdr>
        <w:top w:val="none" w:sz="0" w:space="0" w:color="auto"/>
        <w:left w:val="none" w:sz="0" w:space="0" w:color="auto"/>
        <w:bottom w:val="none" w:sz="0" w:space="0" w:color="auto"/>
        <w:right w:val="none" w:sz="0" w:space="0" w:color="auto"/>
      </w:divBdr>
    </w:div>
    <w:div w:id="537863158">
      <w:bodyDiv w:val="1"/>
      <w:marLeft w:val="0"/>
      <w:marRight w:val="0"/>
      <w:marTop w:val="0"/>
      <w:marBottom w:val="0"/>
      <w:divBdr>
        <w:top w:val="none" w:sz="0" w:space="0" w:color="auto"/>
        <w:left w:val="none" w:sz="0" w:space="0" w:color="auto"/>
        <w:bottom w:val="none" w:sz="0" w:space="0" w:color="auto"/>
        <w:right w:val="none" w:sz="0" w:space="0" w:color="auto"/>
      </w:divBdr>
    </w:div>
    <w:div w:id="541984830">
      <w:bodyDiv w:val="1"/>
      <w:marLeft w:val="0"/>
      <w:marRight w:val="0"/>
      <w:marTop w:val="0"/>
      <w:marBottom w:val="0"/>
      <w:divBdr>
        <w:top w:val="none" w:sz="0" w:space="0" w:color="auto"/>
        <w:left w:val="none" w:sz="0" w:space="0" w:color="auto"/>
        <w:bottom w:val="none" w:sz="0" w:space="0" w:color="auto"/>
        <w:right w:val="none" w:sz="0" w:space="0" w:color="auto"/>
      </w:divBdr>
    </w:div>
    <w:div w:id="551163472">
      <w:bodyDiv w:val="1"/>
      <w:marLeft w:val="0"/>
      <w:marRight w:val="0"/>
      <w:marTop w:val="0"/>
      <w:marBottom w:val="0"/>
      <w:divBdr>
        <w:top w:val="none" w:sz="0" w:space="0" w:color="auto"/>
        <w:left w:val="none" w:sz="0" w:space="0" w:color="auto"/>
        <w:bottom w:val="none" w:sz="0" w:space="0" w:color="auto"/>
        <w:right w:val="none" w:sz="0" w:space="0" w:color="auto"/>
      </w:divBdr>
    </w:div>
    <w:div w:id="565409613">
      <w:bodyDiv w:val="1"/>
      <w:marLeft w:val="0"/>
      <w:marRight w:val="0"/>
      <w:marTop w:val="0"/>
      <w:marBottom w:val="0"/>
      <w:divBdr>
        <w:top w:val="none" w:sz="0" w:space="0" w:color="auto"/>
        <w:left w:val="none" w:sz="0" w:space="0" w:color="auto"/>
        <w:bottom w:val="none" w:sz="0" w:space="0" w:color="auto"/>
        <w:right w:val="none" w:sz="0" w:space="0" w:color="auto"/>
      </w:divBdr>
    </w:div>
    <w:div w:id="578953443">
      <w:bodyDiv w:val="1"/>
      <w:marLeft w:val="0"/>
      <w:marRight w:val="0"/>
      <w:marTop w:val="0"/>
      <w:marBottom w:val="0"/>
      <w:divBdr>
        <w:top w:val="none" w:sz="0" w:space="0" w:color="auto"/>
        <w:left w:val="none" w:sz="0" w:space="0" w:color="auto"/>
        <w:bottom w:val="none" w:sz="0" w:space="0" w:color="auto"/>
        <w:right w:val="none" w:sz="0" w:space="0" w:color="auto"/>
      </w:divBdr>
    </w:div>
    <w:div w:id="595014789">
      <w:bodyDiv w:val="1"/>
      <w:marLeft w:val="0"/>
      <w:marRight w:val="0"/>
      <w:marTop w:val="0"/>
      <w:marBottom w:val="0"/>
      <w:divBdr>
        <w:top w:val="none" w:sz="0" w:space="0" w:color="auto"/>
        <w:left w:val="none" w:sz="0" w:space="0" w:color="auto"/>
        <w:bottom w:val="none" w:sz="0" w:space="0" w:color="auto"/>
        <w:right w:val="none" w:sz="0" w:space="0" w:color="auto"/>
      </w:divBdr>
    </w:div>
    <w:div w:id="626619840">
      <w:bodyDiv w:val="1"/>
      <w:marLeft w:val="0"/>
      <w:marRight w:val="0"/>
      <w:marTop w:val="0"/>
      <w:marBottom w:val="0"/>
      <w:divBdr>
        <w:top w:val="none" w:sz="0" w:space="0" w:color="auto"/>
        <w:left w:val="none" w:sz="0" w:space="0" w:color="auto"/>
        <w:bottom w:val="none" w:sz="0" w:space="0" w:color="auto"/>
        <w:right w:val="none" w:sz="0" w:space="0" w:color="auto"/>
      </w:divBdr>
    </w:div>
    <w:div w:id="630287589">
      <w:bodyDiv w:val="1"/>
      <w:marLeft w:val="0"/>
      <w:marRight w:val="0"/>
      <w:marTop w:val="0"/>
      <w:marBottom w:val="0"/>
      <w:divBdr>
        <w:top w:val="none" w:sz="0" w:space="0" w:color="auto"/>
        <w:left w:val="none" w:sz="0" w:space="0" w:color="auto"/>
        <w:bottom w:val="none" w:sz="0" w:space="0" w:color="auto"/>
        <w:right w:val="none" w:sz="0" w:space="0" w:color="auto"/>
      </w:divBdr>
    </w:div>
    <w:div w:id="632517966">
      <w:bodyDiv w:val="1"/>
      <w:marLeft w:val="0"/>
      <w:marRight w:val="0"/>
      <w:marTop w:val="0"/>
      <w:marBottom w:val="0"/>
      <w:divBdr>
        <w:top w:val="none" w:sz="0" w:space="0" w:color="auto"/>
        <w:left w:val="none" w:sz="0" w:space="0" w:color="auto"/>
        <w:bottom w:val="none" w:sz="0" w:space="0" w:color="auto"/>
        <w:right w:val="none" w:sz="0" w:space="0" w:color="auto"/>
      </w:divBdr>
    </w:div>
    <w:div w:id="645359584">
      <w:bodyDiv w:val="1"/>
      <w:marLeft w:val="0"/>
      <w:marRight w:val="0"/>
      <w:marTop w:val="0"/>
      <w:marBottom w:val="0"/>
      <w:divBdr>
        <w:top w:val="none" w:sz="0" w:space="0" w:color="auto"/>
        <w:left w:val="none" w:sz="0" w:space="0" w:color="auto"/>
        <w:bottom w:val="none" w:sz="0" w:space="0" w:color="auto"/>
        <w:right w:val="none" w:sz="0" w:space="0" w:color="auto"/>
      </w:divBdr>
    </w:div>
    <w:div w:id="655034100">
      <w:bodyDiv w:val="1"/>
      <w:marLeft w:val="0"/>
      <w:marRight w:val="0"/>
      <w:marTop w:val="0"/>
      <w:marBottom w:val="0"/>
      <w:divBdr>
        <w:top w:val="none" w:sz="0" w:space="0" w:color="auto"/>
        <w:left w:val="none" w:sz="0" w:space="0" w:color="auto"/>
        <w:bottom w:val="none" w:sz="0" w:space="0" w:color="auto"/>
        <w:right w:val="none" w:sz="0" w:space="0" w:color="auto"/>
      </w:divBdr>
    </w:div>
    <w:div w:id="657423343">
      <w:bodyDiv w:val="1"/>
      <w:marLeft w:val="0"/>
      <w:marRight w:val="0"/>
      <w:marTop w:val="0"/>
      <w:marBottom w:val="0"/>
      <w:divBdr>
        <w:top w:val="none" w:sz="0" w:space="0" w:color="auto"/>
        <w:left w:val="none" w:sz="0" w:space="0" w:color="auto"/>
        <w:bottom w:val="none" w:sz="0" w:space="0" w:color="auto"/>
        <w:right w:val="none" w:sz="0" w:space="0" w:color="auto"/>
      </w:divBdr>
    </w:div>
    <w:div w:id="658194376">
      <w:bodyDiv w:val="1"/>
      <w:marLeft w:val="0"/>
      <w:marRight w:val="0"/>
      <w:marTop w:val="0"/>
      <w:marBottom w:val="0"/>
      <w:divBdr>
        <w:top w:val="none" w:sz="0" w:space="0" w:color="auto"/>
        <w:left w:val="none" w:sz="0" w:space="0" w:color="auto"/>
        <w:bottom w:val="none" w:sz="0" w:space="0" w:color="auto"/>
        <w:right w:val="none" w:sz="0" w:space="0" w:color="auto"/>
      </w:divBdr>
    </w:div>
    <w:div w:id="659114649">
      <w:bodyDiv w:val="1"/>
      <w:marLeft w:val="0"/>
      <w:marRight w:val="0"/>
      <w:marTop w:val="0"/>
      <w:marBottom w:val="0"/>
      <w:divBdr>
        <w:top w:val="none" w:sz="0" w:space="0" w:color="auto"/>
        <w:left w:val="none" w:sz="0" w:space="0" w:color="auto"/>
        <w:bottom w:val="none" w:sz="0" w:space="0" w:color="auto"/>
        <w:right w:val="none" w:sz="0" w:space="0" w:color="auto"/>
      </w:divBdr>
    </w:div>
    <w:div w:id="678116177">
      <w:bodyDiv w:val="1"/>
      <w:marLeft w:val="0"/>
      <w:marRight w:val="0"/>
      <w:marTop w:val="0"/>
      <w:marBottom w:val="0"/>
      <w:divBdr>
        <w:top w:val="none" w:sz="0" w:space="0" w:color="auto"/>
        <w:left w:val="none" w:sz="0" w:space="0" w:color="auto"/>
        <w:bottom w:val="none" w:sz="0" w:space="0" w:color="auto"/>
        <w:right w:val="none" w:sz="0" w:space="0" w:color="auto"/>
      </w:divBdr>
    </w:div>
    <w:div w:id="679509700">
      <w:bodyDiv w:val="1"/>
      <w:marLeft w:val="0"/>
      <w:marRight w:val="0"/>
      <w:marTop w:val="0"/>
      <w:marBottom w:val="0"/>
      <w:divBdr>
        <w:top w:val="none" w:sz="0" w:space="0" w:color="auto"/>
        <w:left w:val="none" w:sz="0" w:space="0" w:color="auto"/>
        <w:bottom w:val="none" w:sz="0" w:space="0" w:color="auto"/>
        <w:right w:val="none" w:sz="0" w:space="0" w:color="auto"/>
      </w:divBdr>
    </w:div>
    <w:div w:id="691223807">
      <w:bodyDiv w:val="1"/>
      <w:marLeft w:val="0"/>
      <w:marRight w:val="0"/>
      <w:marTop w:val="0"/>
      <w:marBottom w:val="0"/>
      <w:divBdr>
        <w:top w:val="none" w:sz="0" w:space="0" w:color="auto"/>
        <w:left w:val="none" w:sz="0" w:space="0" w:color="auto"/>
        <w:bottom w:val="none" w:sz="0" w:space="0" w:color="auto"/>
        <w:right w:val="none" w:sz="0" w:space="0" w:color="auto"/>
      </w:divBdr>
    </w:div>
    <w:div w:id="692533361">
      <w:bodyDiv w:val="1"/>
      <w:marLeft w:val="0"/>
      <w:marRight w:val="0"/>
      <w:marTop w:val="0"/>
      <w:marBottom w:val="0"/>
      <w:divBdr>
        <w:top w:val="none" w:sz="0" w:space="0" w:color="auto"/>
        <w:left w:val="none" w:sz="0" w:space="0" w:color="auto"/>
        <w:bottom w:val="none" w:sz="0" w:space="0" w:color="auto"/>
        <w:right w:val="none" w:sz="0" w:space="0" w:color="auto"/>
      </w:divBdr>
    </w:div>
    <w:div w:id="702094736">
      <w:bodyDiv w:val="1"/>
      <w:marLeft w:val="0"/>
      <w:marRight w:val="0"/>
      <w:marTop w:val="0"/>
      <w:marBottom w:val="0"/>
      <w:divBdr>
        <w:top w:val="none" w:sz="0" w:space="0" w:color="auto"/>
        <w:left w:val="none" w:sz="0" w:space="0" w:color="auto"/>
        <w:bottom w:val="none" w:sz="0" w:space="0" w:color="auto"/>
        <w:right w:val="none" w:sz="0" w:space="0" w:color="auto"/>
      </w:divBdr>
    </w:div>
    <w:div w:id="705443923">
      <w:bodyDiv w:val="1"/>
      <w:marLeft w:val="0"/>
      <w:marRight w:val="0"/>
      <w:marTop w:val="0"/>
      <w:marBottom w:val="0"/>
      <w:divBdr>
        <w:top w:val="none" w:sz="0" w:space="0" w:color="auto"/>
        <w:left w:val="none" w:sz="0" w:space="0" w:color="auto"/>
        <w:bottom w:val="none" w:sz="0" w:space="0" w:color="auto"/>
        <w:right w:val="none" w:sz="0" w:space="0" w:color="auto"/>
      </w:divBdr>
    </w:div>
    <w:div w:id="709499587">
      <w:bodyDiv w:val="1"/>
      <w:marLeft w:val="0"/>
      <w:marRight w:val="0"/>
      <w:marTop w:val="0"/>
      <w:marBottom w:val="0"/>
      <w:divBdr>
        <w:top w:val="none" w:sz="0" w:space="0" w:color="auto"/>
        <w:left w:val="none" w:sz="0" w:space="0" w:color="auto"/>
        <w:bottom w:val="none" w:sz="0" w:space="0" w:color="auto"/>
        <w:right w:val="none" w:sz="0" w:space="0" w:color="auto"/>
      </w:divBdr>
    </w:div>
    <w:div w:id="714741148">
      <w:bodyDiv w:val="1"/>
      <w:marLeft w:val="0"/>
      <w:marRight w:val="0"/>
      <w:marTop w:val="0"/>
      <w:marBottom w:val="0"/>
      <w:divBdr>
        <w:top w:val="none" w:sz="0" w:space="0" w:color="auto"/>
        <w:left w:val="none" w:sz="0" w:space="0" w:color="auto"/>
        <w:bottom w:val="none" w:sz="0" w:space="0" w:color="auto"/>
        <w:right w:val="none" w:sz="0" w:space="0" w:color="auto"/>
      </w:divBdr>
    </w:div>
    <w:div w:id="722827509">
      <w:bodyDiv w:val="1"/>
      <w:marLeft w:val="0"/>
      <w:marRight w:val="0"/>
      <w:marTop w:val="0"/>
      <w:marBottom w:val="0"/>
      <w:divBdr>
        <w:top w:val="none" w:sz="0" w:space="0" w:color="auto"/>
        <w:left w:val="none" w:sz="0" w:space="0" w:color="auto"/>
        <w:bottom w:val="none" w:sz="0" w:space="0" w:color="auto"/>
        <w:right w:val="none" w:sz="0" w:space="0" w:color="auto"/>
      </w:divBdr>
    </w:div>
    <w:div w:id="734278412">
      <w:bodyDiv w:val="1"/>
      <w:marLeft w:val="0"/>
      <w:marRight w:val="0"/>
      <w:marTop w:val="0"/>
      <w:marBottom w:val="0"/>
      <w:divBdr>
        <w:top w:val="none" w:sz="0" w:space="0" w:color="auto"/>
        <w:left w:val="none" w:sz="0" w:space="0" w:color="auto"/>
        <w:bottom w:val="none" w:sz="0" w:space="0" w:color="auto"/>
        <w:right w:val="none" w:sz="0" w:space="0" w:color="auto"/>
      </w:divBdr>
    </w:div>
    <w:div w:id="737675607">
      <w:bodyDiv w:val="1"/>
      <w:marLeft w:val="0"/>
      <w:marRight w:val="0"/>
      <w:marTop w:val="0"/>
      <w:marBottom w:val="0"/>
      <w:divBdr>
        <w:top w:val="none" w:sz="0" w:space="0" w:color="auto"/>
        <w:left w:val="none" w:sz="0" w:space="0" w:color="auto"/>
        <w:bottom w:val="none" w:sz="0" w:space="0" w:color="auto"/>
        <w:right w:val="none" w:sz="0" w:space="0" w:color="auto"/>
      </w:divBdr>
    </w:div>
    <w:div w:id="742992100">
      <w:bodyDiv w:val="1"/>
      <w:marLeft w:val="0"/>
      <w:marRight w:val="0"/>
      <w:marTop w:val="0"/>
      <w:marBottom w:val="0"/>
      <w:divBdr>
        <w:top w:val="none" w:sz="0" w:space="0" w:color="auto"/>
        <w:left w:val="none" w:sz="0" w:space="0" w:color="auto"/>
        <w:bottom w:val="none" w:sz="0" w:space="0" w:color="auto"/>
        <w:right w:val="none" w:sz="0" w:space="0" w:color="auto"/>
      </w:divBdr>
    </w:div>
    <w:div w:id="747262821">
      <w:bodyDiv w:val="1"/>
      <w:marLeft w:val="0"/>
      <w:marRight w:val="0"/>
      <w:marTop w:val="0"/>
      <w:marBottom w:val="0"/>
      <w:divBdr>
        <w:top w:val="none" w:sz="0" w:space="0" w:color="auto"/>
        <w:left w:val="none" w:sz="0" w:space="0" w:color="auto"/>
        <w:bottom w:val="none" w:sz="0" w:space="0" w:color="auto"/>
        <w:right w:val="none" w:sz="0" w:space="0" w:color="auto"/>
      </w:divBdr>
    </w:div>
    <w:div w:id="757604735">
      <w:bodyDiv w:val="1"/>
      <w:marLeft w:val="0"/>
      <w:marRight w:val="0"/>
      <w:marTop w:val="0"/>
      <w:marBottom w:val="0"/>
      <w:divBdr>
        <w:top w:val="none" w:sz="0" w:space="0" w:color="auto"/>
        <w:left w:val="none" w:sz="0" w:space="0" w:color="auto"/>
        <w:bottom w:val="none" w:sz="0" w:space="0" w:color="auto"/>
        <w:right w:val="none" w:sz="0" w:space="0" w:color="auto"/>
      </w:divBdr>
    </w:div>
    <w:div w:id="767582818">
      <w:bodyDiv w:val="1"/>
      <w:marLeft w:val="0"/>
      <w:marRight w:val="0"/>
      <w:marTop w:val="0"/>
      <w:marBottom w:val="0"/>
      <w:divBdr>
        <w:top w:val="none" w:sz="0" w:space="0" w:color="auto"/>
        <w:left w:val="none" w:sz="0" w:space="0" w:color="auto"/>
        <w:bottom w:val="none" w:sz="0" w:space="0" w:color="auto"/>
        <w:right w:val="none" w:sz="0" w:space="0" w:color="auto"/>
      </w:divBdr>
    </w:div>
    <w:div w:id="767777578">
      <w:bodyDiv w:val="1"/>
      <w:marLeft w:val="0"/>
      <w:marRight w:val="0"/>
      <w:marTop w:val="0"/>
      <w:marBottom w:val="0"/>
      <w:divBdr>
        <w:top w:val="none" w:sz="0" w:space="0" w:color="auto"/>
        <w:left w:val="none" w:sz="0" w:space="0" w:color="auto"/>
        <w:bottom w:val="none" w:sz="0" w:space="0" w:color="auto"/>
        <w:right w:val="none" w:sz="0" w:space="0" w:color="auto"/>
      </w:divBdr>
    </w:div>
    <w:div w:id="768937647">
      <w:bodyDiv w:val="1"/>
      <w:marLeft w:val="0"/>
      <w:marRight w:val="0"/>
      <w:marTop w:val="0"/>
      <w:marBottom w:val="0"/>
      <w:divBdr>
        <w:top w:val="none" w:sz="0" w:space="0" w:color="auto"/>
        <w:left w:val="none" w:sz="0" w:space="0" w:color="auto"/>
        <w:bottom w:val="none" w:sz="0" w:space="0" w:color="auto"/>
        <w:right w:val="none" w:sz="0" w:space="0" w:color="auto"/>
      </w:divBdr>
    </w:div>
    <w:div w:id="776826591">
      <w:bodyDiv w:val="1"/>
      <w:marLeft w:val="0"/>
      <w:marRight w:val="0"/>
      <w:marTop w:val="0"/>
      <w:marBottom w:val="0"/>
      <w:divBdr>
        <w:top w:val="none" w:sz="0" w:space="0" w:color="auto"/>
        <w:left w:val="none" w:sz="0" w:space="0" w:color="auto"/>
        <w:bottom w:val="none" w:sz="0" w:space="0" w:color="auto"/>
        <w:right w:val="none" w:sz="0" w:space="0" w:color="auto"/>
      </w:divBdr>
    </w:div>
    <w:div w:id="779495829">
      <w:bodyDiv w:val="1"/>
      <w:marLeft w:val="0"/>
      <w:marRight w:val="0"/>
      <w:marTop w:val="0"/>
      <w:marBottom w:val="0"/>
      <w:divBdr>
        <w:top w:val="none" w:sz="0" w:space="0" w:color="auto"/>
        <w:left w:val="none" w:sz="0" w:space="0" w:color="auto"/>
        <w:bottom w:val="none" w:sz="0" w:space="0" w:color="auto"/>
        <w:right w:val="none" w:sz="0" w:space="0" w:color="auto"/>
      </w:divBdr>
    </w:div>
    <w:div w:id="784618883">
      <w:bodyDiv w:val="1"/>
      <w:marLeft w:val="0"/>
      <w:marRight w:val="0"/>
      <w:marTop w:val="0"/>
      <w:marBottom w:val="0"/>
      <w:divBdr>
        <w:top w:val="none" w:sz="0" w:space="0" w:color="auto"/>
        <w:left w:val="none" w:sz="0" w:space="0" w:color="auto"/>
        <w:bottom w:val="none" w:sz="0" w:space="0" w:color="auto"/>
        <w:right w:val="none" w:sz="0" w:space="0" w:color="auto"/>
      </w:divBdr>
    </w:div>
    <w:div w:id="795022478">
      <w:bodyDiv w:val="1"/>
      <w:marLeft w:val="0"/>
      <w:marRight w:val="0"/>
      <w:marTop w:val="0"/>
      <w:marBottom w:val="0"/>
      <w:divBdr>
        <w:top w:val="none" w:sz="0" w:space="0" w:color="auto"/>
        <w:left w:val="none" w:sz="0" w:space="0" w:color="auto"/>
        <w:bottom w:val="none" w:sz="0" w:space="0" w:color="auto"/>
        <w:right w:val="none" w:sz="0" w:space="0" w:color="auto"/>
      </w:divBdr>
    </w:div>
    <w:div w:id="796220043">
      <w:bodyDiv w:val="1"/>
      <w:marLeft w:val="0"/>
      <w:marRight w:val="0"/>
      <w:marTop w:val="0"/>
      <w:marBottom w:val="0"/>
      <w:divBdr>
        <w:top w:val="none" w:sz="0" w:space="0" w:color="auto"/>
        <w:left w:val="none" w:sz="0" w:space="0" w:color="auto"/>
        <w:bottom w:val="none" w:sz="0" w:space="0" w:color="auto"/>
        <w:right w:val="none" w:sz="0" w:space="0" w:color="auto"/>
      </w:divBdr>
    </w:div>
    <w:div w:id="796921756">
      <w:bodyDiv w:val="1"/>
      <w:marLeft w:val="0"/>
      <w:marRight w:val="0"/>
      <w:marTop w:val="0"/>
      <w:marBottom w:val="0"/>
      <w:divBdr>
        <w:top w:val="none" w:sz="0" w:space="0" w:color="auto"/>
        <w:left w:val="none" w:sz="0" w:space="0" w:color="auto"/>
        <w:bottom w:val="none" w:sz="0" w:space="0" w:color="auto"/>
        <w:right w:val="none" w:sz="0" w:space="0" w:color="auto"/>
      </w:divBdr>
    </w:div>
    <w:div w:id="799762691">
      <w:bodyDiv w:val="1"/>
      <w:marLeft w:val="0"/>
      <w:marRight w:val="0"/>
      <w:marTop w:val="0"/>
      <w:marBottom w:val="0"/>
      <w:divBdr>
        <w:top w:val="none" w:sz="0" w:space="0" w:color="auto"/>
        <w:left w:val="none" w:sz="0" w:space="0" w:color="auto"/>
        <w:bottom w:val="none" w:sz="0" w:space="0" w:color="auto"/>
        <w:right w:val="none" w:sz="0" w:space="0" w:color="auto"/>
      </w:divBdr>
    </w:div>
    <w:div w:id="802115200">
      <w:bodyDiv w:val="1"/>
      <w:marLeft w:val="0"/>
      <w:marRight w:val="0"/>
      <w:marTop w:val="0"/>
      <w:marBottom w:val="0"/>
      <w:divBdr>
        <w:top w:val="none" w:sz="0" w:space="0" w:color="auto"/>
        <w:left w:val="none" w:sz="0" w:space="0" w:color="auto"/>
        <w:bottom w:val="none" w:sz="0" w:space="0" w:color="auto"/>
        <w:right w:val="none" w:sz="0" w:space="0" w:color="auto"/>
      </w:divBdr>
    </w:div>
    <w:div w:id="821308013">
      <w:bodyDiv w:val="1"/>
      <w:marLeft w:val="0"/>
      <w:marRight w:val="0"/>
      <w:marTop w:val="0"/>
      <w:marBottom w:val="0"/>
      <w:divBdr>
        <w:top w:val="none" w:sz="0" w:space="0" w:color="auto"/>
        <w:left w:val="none" w:sz="0" w:space="0" w:color="auto"/>
        <w:bottom w:val="none" w:sz="0" w:space="0" w:color="auto"/>
        <w:right w:val="none" w:sz="0" w:space="0" w:color="auto"/>
      </w:divBdr>
    </w:div>
    <w:div w:id="822357328">
      <w:bodyDiv w:val="1"/>
      <w:marLeft w:val="0"/>
      <w:marRight w:val="0"/>
      <w:marTop w:val="0"/>
      <w:marBottom w:val="0"/>
      <w:divBdr>
        <w:top w:val="none" w:sz="0" w:space="0" w:color="auto"/>
        <w:left w:val="none" w:sz="0" w:space="0" w:color="auto"/>
        <w:bottom w:val="none" w:sz="0" w:space="0" w:color="auto"/>
        <w:right w:val="none" w:sz="0" w:space="0" w:color="auto"/>
      </w:divBdr>
    </w:div>
    <w:div w:id="831290035">
      <w:bodyDiv w:val="1"/>
      <w:marLeft w:val="0"/>
      <w:marRight w:val="0"/>
      <w:marTop w:val="0"/>
      <w:marBottom w:val="0"/>
      <w:divBdr>
        <w:top w:val="none" w:sz="0" w:space="0" w:color="auto"/>
        <w:left w:val="none" w:sz="0" w:space="0" w:color="auto"/>
        <w:bottom w:val="none" w:sz="0" w:space="0" w:color="auto"/>
        <w:right w:val="none" w:sz="0" w:space="0" w:color="auto"/>
      </w:divBdr>
    </w:div>
    <w:div w:id="839080179">
      <w:bodyDiv w:val="1"/>
      <w:marLeft w:val="0"/>
      <w:marRight w:val="0"/>
      <w:marTop w:val="0"/>
      <w:marBottom w:val="0"/>
      <w:divBdr>
        <w:top w:val="none" w:sz="0" w:space="0" w:color="auto"/>
        <w:left w:val="none" w:sz="0" w:space="0" w:color="auto"/>
        <w:bottom w:val="none" w:sz="0" w:space="0" w:color="auto"/>
        <w:right w:val="none" w:sz="0" w:space="0" w:color="auto"/>
      </w:divBdr>
    </w:div>
    <w:div w:id="840003680">
      <w:bodyDiv w:val="1"/>
      <w:marLeft w:val="0"/>
      <w:marRight w:val="0"/>
      <w:marTop w:val="0"/>
      <w:marBottom w:val="0"/>
      <w:divBdr>
        <w:top w:val="none" w:sz="0" w:space="0" w:color="auto"/>
        <w:left w:val="none" w:sz="0" w:space="0" w:color="auto"/>
        <w:bottom w:val="none" w:sz="0" w:space="0" w:color="auto"/>
        <w:right w:val="none" w:sz="0" w:space="0" w:color="auto"/>
      </w:divBdr>
    </w:div>
    <w:div w:id="845242014">
      <w:bodyDiv w:val="1"/>
      <w:marLeft w:val="0"/>
      <w:marRight w:val="0"/>
      <w:marTop w:val="0"/>
      <w:marBottom w:val="0"/>
      <w:divBdr>
        <w:top w:val="none" w:sz="0" w:space="0" w:color="auto"/>
        <w:left w:val="none" w:sz="0" w:space="0" w:color="auto"/>
        <w:bottom w:val="none" w:sz="0" w:space="0" w:color="auto"/>
        <w:right w:val="none" w:sz="0" w:space="0" w:color="auto"/>
      </w:divBdr>
    </w:div>
    <w:div w:id="847983692">
      <w:bodyDiv w:val="1"/>
      <w:marLeft w:val="0"/>
      <w:marRight w:val="0"/>
      <w:marTop w:val="0"/>
      <w:marBottom w:val="0"/>
      <w:divBdr>
        <w:top w:val="none" w:sz="0" w:space="0" w:color="auto"/>
        <w:left w:val="none" w:sz="0" w:space="0" w:color="auto"/>
        <w:bottom w:val="none" w:sz="0" w:space="0" w:color="auto"/>
        <w:right w:val="none" w:sz="0" w:space="0" w:color="auto"/>
      </w:divBdr>
    </w:div>
    <w:div w:id="859781714">
      <w:bodyDiv w:val="1"/>
      <w:marLeft w:val="0"/>
      <w:marRight w:val="0"/>
      <w:marTop w:val="0"/>
      <w:marBottom w:val="0"/>
      <w:divBdr>
        <w:top w:val="none" w:sz="0" w:space="0" w:color="auto"/>
        <w:left w:val="none" w:sz="0" w:space="0" w:color="auto"/>
        <w:bottom w:val="none" w:sz="0" w:space="0" w:color="auto"/>
        <w:right w:val="none" w:sz="0" w:space="0" w:color="auto"/>
      </w:divBdr>
    </w:div>
    <w:div w:id="862091054">
      <w:bodyDiv w:val="1"/>
      <w:marLeft w:val="0"/>
      <w:marRight w:val="0"/>
      <w:marTop w:val="0"/>
      <w:marBottom w:val="0"/>
      <w:divBdr>
        <w:top w:val="none" w:sz="0" w:space="0" w:color="auto"/>
        <w:left w:val="none" w:sz="0" w:space="0" w:color="auto"/>
        <w:bottom w:val="none" w:sz="0" w:space="0" w:color="auto"/>
        <w:right w:val="none" w:sz="0" w:space="0" w:color="auto"/>
      </w:divBdr>
    </w:div>
    <w:div w:id="885336282">
      <w:bodyDiv w:val="1"/>
      <w:marLeft w:val="0"/>
      <w:marRight w:val="0"/>
      <w:marTop w:val="0"/>
      <w:marBottom w:val="0"/>
      <w:divBdr>
        <w:top w:val="none" w:sz="0" w:space="0" w:color="auto"/>
        <w:left w:val="none" w:sz="0" w:space="0" w:color="auto"/>
        <w:bottom w:val="none" w:sz="0" w:space="0" w:color="auto"/>
        <w:right w:val="none" w:sz="0" w:space="0" w:color="auto"/>
      </w:divBdr>
    </w:div>
    <w:div w:id="887255389">
      <w:bodyDiv w:val="1"/>
      <w:marLeft w:val="0"/>
      <w:marRight w:val="0"/>
      <w:marTop w:val="0"/>
      <w:marBottom w:val="0"/>
      <w:divBdr>
        <w:top w:val="none" w:sz="0" w:space="0" w:color="auto"/>
        <w:left w:val="none" w:sz="0" w:space="0" w:color="auto"/>
        <w:bottom w:val="none" w:sz="0" w:space="0" w:color="auto"/>
        <w:right w:val="none" w:sz="0" w:space="0" w:color="auto"/>
      </w:divBdr>
    </w:div>
    <w:div w:id="926886317">
      <w:bodyDiv w:val="1"/>
      <w:marLeft w:val="0"/>
      <w:marRight w:val="0"/>
      <w:marTop w:val="0"/>
      <w:marBottom w:val="0"/>
      <w:divBdr>
        <w:top w:val="none" w:sz="0" w:space="0" w:color="auto"/>
        <w:left w:val="none" w:sz="0" w:space="0" w:color="auto"/>
        <w:bottom w:val="none" w:sz="0" w:space="0" w:color="auto"/>
        <w:right w:val="none" w:sz="0" w:space="0" w:color="auto"/>
      </w:divBdr>
    </w:div>
    <w:div w:id="929394051">
      <w:bodyDiv w:val="1"/>
      <w:marLeft w:val="0"/>
      <w:marRight w:val="0"/>
      <w:marTop w:val="0"/>
      <w:marBottom w:val="0"/>
      <w:divBdr>
        <w:top w:val="none" w:sz="0" w:space="0" w:color="auto"/>
        <w:left w:val="none" w:sz="0" w:space="0" w:color="auto"/>
        <w:bottom w:val="none" w:sz="0" w:space="0" w:color="auto"/>
        <w:right w:val="none" w:sz="0" w:space="0" w:color="auto"/>
      </w:divBdr>
    </w:div>
    <w:div w:id="944578672">
      <w:bodyDiv w:val="1"/>
      <w:marLeft w:val="0"/>
      <w:marRight w:val="0"/>
      <w:marTop w:val="0"/>
      <w:marBottom w:val="0"/>
      <w:divBdr>
        <w:top w:val="none" w:sz="0" w:space="0" w:color="auto"/>
        <w:left w:val="none" w:sz="0" w:space="0" w:color="auto"/>
        <w:bottom w:val="none" w:sz="0" w:space="0" w:color="auto"/>
        <w:right w:val="none" w:sz="0" w:space="0" w:color="auto"/>
      </w:divBdr>
    </w:div>
    <w:div w:id="947546143">
      <w:bodyDiv w:val="1"/>
      <w:marLeft w:val="0"/>
      <w:marRight w:val="0"/>
      <w:marTop w:val="0"/>
      <w:marBottom w:val="0"/>
      <w:divBdr>
        <w:top w:val="none" w:sz="0" w:space="0" w:color="auto"/>
        <w:left w:val="none" w:sz="0" w:space="0" w:color="auto"/>
        <w:bottom w:val="none" w:sz="0" w:space="0" w:color="auto"/>
        <w:right w:val="none" w:sz="0" w:space="0" w:color="auto"/>
      </w:divBdr>
    </w:div>
    <w:div w:id="951984905">
      <w:bodyDiv w:val="1"/>
      <w:marLeft w:val="0"/>
      <w:marRight w:val="0"/>
      <w:marTop w:val="0"/>
      <w:marBottom w:val="0"/>
      <w:divBdr>
        <w:top w:val="none" w:sz="0" w:space="0" w:color="auto"/>
        <w:left w:val="none" w:sz="0" w:space="0" w:color="auto"/>
        <w:bottom w:val="none" w:sz="0" w:space="0" w:color="auto"/>
        <w:right w:val="none" w:sz="0" w:space="0" w:color="auto"/>
      </w:divBdr>
    </w:div>
    <w:div w:id="960112405">
      <w:bodyDiv w:val="1"/>
      <w:marLeft w:val="0"/>
      <w:marRight w:val="0"/>
      <w:marTop w:val="0"/>
      <w:marBottom w:val="0"/>
      <w:divBdr>
        <w:top w:val="none" w:sz="0" w:space="0" w:color="auto"/>
        <w:left w:val="none" w:sz="0" w:space="0" w:color="auto"/>
        <w:bottom w:val="none" w:sz="0" w:space="0" w:color="auto"/>
        <w:right w:val="none" w:sz="0" w:space="0" w:color="auto"/>
      </w:divBdr>
    </w:div>
    <w:div w:id="977489875">
      <w:bodyDiv w:val="1"/>
      <w:marLeft w:val="0"/>
      <w:marRight w:val="0"/>
      <w:marTop w:val="0"/>
      <w:marBottom w:val="0"/>
      <w:divBdr>
        <w:top w:val="none" w:sz="0" w:space="0" w:color="auto"/>
        <w:left w:val="none" w:sz="0" w:space="0" w:color="auto"/>
        <w:bottom w:val="none" w:sz="0" w:space="0" w:color="auto"/>
        <w:right w:val="none" w:sz="0" w:space="0" w:color="auto"/>
      </w:divBdr>
    </w:div>
    <w:div w:id="981160689">
      <w:bodyDiv w:val="1"/>
      <w:marLeft w:val="0"/>
      <w:marRight w:val="0"/>
      <w:marTop w:val="0"/>
      <w:marBottom w:val="0"/>
      <w:divBdr>
        <w:top w:val="none" w:sz="0" w:space="0" w:color="auto"/>
        <w:left w:val="none" w:sz="0" w:space="0" w:color="auto"/>
        <w:bottom w:val="none" w:sz="0" w:space="0" w:color="auto"/>
        <w:right w:val="none" w:sz="0" w:space="0" w:color="auto"/>
      </w:divBdr>
    </w:div>
    <w:div w:id="986012302">
      <w:bodyDiv w:val="1"/>
      <w:marLeft w:val="0"/>
      <w:marRight w:val="0"/>
      <w:marTop w:val="0"/>
      <w:marBottom w:val="0"/>
      <w:divBdr>
        <w:top w:val="none" w:sz="0" w:space="0" w:color="auto"/>
        <w:left w:val="none" w:sz="0" w:space="0" w:color="auto"/>
        <w:bottom w:val="none" w:sz="0" w:space="0" w:color="auto"/>
        <w:right w:val="none" w:sz="0" w:space="0" w:color="auto"/>
      </w:divBdr>
    </w:div>
    <w:div w:id="986326199">
      <w:bodyDiv w:val="1"/>
      <w:marLeft w:val="0"/>
      <w:marRight w:val="0"/>
      <w:marTop w:val="0"/>
      <w:marBottom w:val="0"/>
      <w:divBdr>
        <w:top w:val="none" w:sz="0" w:space="0" w:color="auto"/>
        <w:left w:val="none" w:sz="0" w:space="0" w:color="auto"/>
        <w:bottom w:val="none" w:sz="0" w:space="0" w:color="auto"/>
        <w:right w:val="none" w:sz="0" w:space="0" w:color="auto"/>
      </w:divBdr>
    </w:div>
    <w:div w:id="992835573">
      <w:bodyDiv w:val="1"/>
      <w:marLeft w:val="0"/>
      <w:marRight w:val="0"/>
      <w:marTop w:val="0"/>
      <w:marBottom w:val="0"/>
      <w:divBdr>
        <w:top w:val="none" w:sz="0" w:space="0" w:color="auto"/>
        <w:left w:val="none" w:sz="0" w:space="0" w:color="auto"/>
        <w:bottom w:val="none" w:sz="0" w:space="0" w:color="auto"/>
        <w:right w:val="none" w:sz="0" w:space="0" w:color="auto"/>
      </w:divBdr>
    </w:div>
    <w:div w:id="1004478257">
      <w:bodyDiv w:val="1"/>
      <w:marLeft w:val="0"/>
      <w:marRight w:val="0"/>
      <w:marTop w:val="0"/>
      <w:marBottom w:val="0"/>
      <w:divBdr>
        <w:top w:val="none" w:sz="0" w:space="0" w:color="auto"/>
        <w:left w:val="none" w:sz="0" w:space="0" w:color="auto"/>
        <w:bottom w:val="none" w:sz="0" w:space="0" w:color="auto"/>
        <w:right w:val="none" w:sz="0" w:space="0" w:color="auto"/>
      </w:divBdr>
    </w:div>
    <w:div w:id="1026634886">
      <w:bodyDiv w:val="1"/>
      <w:marLeft w:val="0"/>
      <w:marRight w:val="0"/>
      <w:marTop w:val="0"/>
      <w:marBottom w:val="0"/>
      <w:divBdr>
        <w:top w:val="none" w:sz="0" w:space="0" w:color="auto"/>
        <w:left w:val="none" w:sz="0" w:space="0" w:color="auto"/>
        <w:bottom w:val="none" w:sz="0" w:space="0" w:color="auto"/>
        <w:right w:val="none" w:sz="0" w:space="0" w:color="auto"/>
      </w:divBdr>
    </w:div>
    <w:div w:id="1033384254">
      <w:bodyDiv w:val="1"/>
      <w:marLeft w:val="0"/>
      <w:marRight w:val="0"/>
      <w:marTop w:val="0"/>
      <w:marBottom w:val="0"/>
      <w:divBdr>
        <w:top w:val="none" w:sz="0" w:space="0" w:color="auto"/>
        <w:left w:val="none" w:sz="0" w:space="0" w:color="auto"/>
        <w:bottom w:val="none" w:sz="0" w:space="0" w:color="auto"/>
        <w:right w:val="none" w:sz="0" w:space="0" w:color="auto"/>
      </w:divBdr>
    </w:div>
    <w:div w:id="1046294418">
      <w:bodyDiv w:val="1"/>
      <w:marLeft w:val="0"/>
      <w:marRight w:val="0"/>
      <w:marTop w:val="0"/>
      <w:marBottom w:val="0"/>
      <w:divBdr>
        <w:top w:val="none" w:sz="0" w:space="0" w:color="auto"/>
        <w:left w:val="none" w:sz="0" w:space="0" w:color="auto"/>
        <w:bottom w:val="none" w:sz="0" w:space="0" w:color="auto"/>
        <w:right w:val="none" w:sz="0" w:space="0" w:color="auto"/>
      </w:divBdr>
    </w:div>
    <w:div w:id="1048452440">
      <w:bodyDiv w:val="1"/>
      <w:marLeft w:val="0"/>
      <w:marRight w:val="0"/>
      <w:marTop w:val="0"/>
      <w:marBottom w:val="0"/>
      <w:divBdr>
        <w:top w:val="none" w:sz="0" w:space="0" w:color="auto"/>
        <w:left w:val="none" w:sz="0" w:space="0" w:color="auto"/>
        <w:bottom w:val="none" w:sz="0" w:space="0" w:color="auto"/>
        <w:right w:val="none" w:sz="0" w:space="0" w:color="auto"/>
      </w:divBdr>
    </w:div>
    <w:div w:id="1053582869">
      <w:bodyDiv w:val="1"/>
      <w:marLeft w:val="0"/>
      <w:marRight w:val="0"/>
      <w:marTop w:val="0"/>
      <w:marBottom w:val="0"/>
      <w:divBdr>
        <w:top w:val="none" w:sz="0" w:space="0" w:color="auto"/>
        <w:left w:val="none" w:sz="0" w:space="0" w:color="auto"/>
        <w:bottom w:val="none" w:sz="0" w:space="0" w:color="auto"/>
        <w:right w:val="none" w:sz="0" w:space="0" w:color="auto"/>
      </w:divBdr>
    </w:div>
    <w:div w:id="1064523799">
      <w:bodyDiv w:val="1"/>
      <w:marLeft w:val="0"/>
      <w:marRight w:val="0"/>
      <w:marTop w:val="0"/>
      <w:marBottom w:val="0"/>
      <w:divBdr>
        <w:top w:val="none" w:sz="0" w:space="0" w:color="auto"/>
        <w:left w:val="none" w:sz="0" w:space="0" w:color="auto"/>
        <w:bottom w:val="none" w:sz="0" w:space="0" w:color="auto"/>
        <w:right w:val="none" w:sz="0" w:space="0" w:color="auto"/>
      </w:divBdr>
    </w:div>
    <w:div w:id="1072385097">
      <w:bodyDiv w:val="1"/>
      <w:marLeft w:val="0"/>
      <w:marRight w:val="0"/>
      <w:marTop w:val="0"/>
      <w:marBottom w:val="0"/>
      <w:divBdr>
        <w:top w:val="none" w:sz="0" w:space="0" w:color="auto"/>
        <w:left w:val="none" w:sz="0" w:space="0" w:color="auto"/>
        <w:bottom w:val="none" w:sz="0" w:space="0" w:color="auto"/>
        <w:right w:val="none" w:sz="0" w:space="0" w:color="auto"/>
      </w:divBdr>
    </w:div>
    <w:div w:id="1084646200">
      <w:bodyDiv w:val="1"/>
      <w:marLeft w:val="0"/>
      <w:marRight w:val="0"/>
      <w:marTop w:val="0"/>
      <w:marBottom w:val="0"/>
      <w:divBdr>
        <w:top w:val="none" w:sz="0" w:space="0" w:color="auto"/>
        <w:left w:val="none" w:sz="0" w:space="0" w:color="auto"/>
        <w:bottom w:val="none" w:sz="0" w:space="0" w:color="auto"/>
        <w:right w:val="none" w:sz="0" w:space="0" w:color="auto"/>
      </w:divBdr>
    </w:div>
    <w:div w:id="1089354651">
      <w:bodyDiv w:val="1"/>
      <w:marLeft w:val="0"/>
      <w:marRight w:val="0"/>
      <w:marTop w:val="0"/>
      <w:marBottom w:val="0"/>
      <w:divBdr>
        <w:top w:val="none" w:sz="0" w:space="0" w:color="auto"/>
        <w:left w:val="none" w:sz="0" w:space="0" w:color="auto"/>
        <w:bottom w:val="none" w:sz="0" w:space="0" w:color="auto"/>
        <w:right w:val="none" w:sz="0" w:space="0" w:color="auto"/>
      </w:divBdr>
    </w:div>
    <w:div w:id="1089615171">
      <w:bodyDiv w:val="1"/>
      <w:marLeft w:val="0"/>
      <w:marRight w:val="0"/>
      <w:marTop w:val="0"/>
      <w:marBottom w:val="0"/>
      <w:divBdr>
        <w:top w:val="none" w:sz="0" w:space="0" w:color="auto"/>
        <w:left w:val="none" w:sz="0" w:space="0" w:color="auto"/>
        <w:bottom w:val="none" w:sz="0" w:space="0" w:color="auto"/>
        <w:right w:val="none" w:sz="0" w:space="0" w:color="auto"/>
      </w:divBdr>
    </w:div>
    <w:div w:id="1090471173">
      <w:bodyDiv w:val="1"/>
      <w:marLeft w:val="0"/>
      <w:marRight w:val="0"/>
      <w:marTop w:val="0"/>
      <w:marBottom w:val="0"/>
      <w:divBdr>
        <w:top w:val="none" w:sz="0" w:space="0" w:color="auto"/>
        <w:left w:val="none" w:sz="0" w:space="0" w:color="auto"/>
        <w:bottom w:val="none" w:sz="0" w:space="0" w:color="auto"/>
        <w:right w:val="none" w:sz="0" w:space="0" w:color="auto"/>
      </w:divBdr>
    </w:div>
    <w:div w:id="1096949947">
      <w:bodyDiv w:val="1"/>
      <w:marLeft w:val="0"/>
      <w:marRight w:val="0"/>
      <w:marTop w:val="0"/>
      <w:marBottom w:val="0"/>
      <w:divBdr>
        <w:top w:val="none" w:sz="0" w:space="0" w:color="auto"/>
        <w:left w:val="none" w:sz="0" w:space="0" w:color="auto"/>
        <w:bottom w:val="none" w:sz="0" w:space="0" w:color="auto"/>
        <w:right w:val="none" w:sz="0" w:space="0" w:color="auto"/>
      </w:divBdr>
    </w:div>
    <w:div w:id="1103452749">
      <w:bodyDiv w:val="1"/>
      <w:marLeft w:val="0"/>
      <w:marRight w:val="0"/>
      <w:marTop w:val="0"/>
      <w:marBottom w:val="0"/>
      <w:divBdr>
        <w:top w:val="none" w:sz="0" w:space="0" w:color="auto"/>
        <w:left w:val="none" w:sz="0" w:space="0" w:color="auto"/>
        <w:bottom w:val="none" w:sz="0" w:space="0" w:color="auto"/>
        <w:right w:val="none" w:sz="0" w:space="0" w:color="auto"/>
      </w:divBdr>
    </w:div>
    <w:div w:id="1104181897">
      <w:bodyDiv w:val="1"/>
      <w:marLeft w:val="0"/>
      <w:marRight w:val="0"/>
      <w:marTop w:val="0"/>
      <w:marBottom w:val="0"/>
      <w:divBdr>
        <w:top w:val="none" w:sz="0" w:space="0" w:color="auto"/>
        <w:left w:val="none" w:sz="0" w:space="0" w:color="auto"/>
        <w:bottom w:val="none" w:sz="0" w:space="0" w:color="auto"/>
        <w:right w:val="none" w:sz="0" w:space="0" w:color="auto"/>
      </w:divBdr>
    </w:div>
    <w:div w:id="1106576792">
      <w:bodyDiv w:val="1"/>
      <w:marLeft w:val="0"/>
      <w:marRight w:val="0"/>
      <w:marTop w:val="0"/>
      <w:marBottom w:val="0"/>
      <w:divBdr>
        <w:top w:val="none" w:sz="0" w:space="0" w:color="auto"/>
        <w:left w:val="none" w:sz="0" w:space="0" w:color="auto"/>
        <w:bottom w:val="none" w:sz="0" w:space="0" w:color="auto"/>
        <w:right w:val="none" w:sz="0" w:space="0" w:color="auto"/>
      </w:divBdr>
    </w:div>
    <w:div w:id="1113983304">
      <w:bodyDiv w:val="1"/>
      <w:marLeft w:val="0"/>
      <w:marRight w:val="0"/>
      <w:marTop w:val="0"/>
      <w:marBottom w:val="0"/>
      <w:divBdr>
        <w:top w:val="none" w:sz="0" w:space="0" w:color="auto"/>
        <w:left w:val="none" w:sz="0" w:space="0" w:color="auto"/>
        <w:bottom w:val="none" w:sz="0" w:space="0" w:color="auto"/>
        <w:right w:val="none" w:sz="0" w:space="0" w:color="auto"/>
      </w:divBdr>
    </w:div>
    <w:div w:id="1140071959">
      <w:bodyDiv w:val="1"/>
      <w:marLeft w:val="0"/>
      <w:marRight w:val="0"/>
      <w:marTop w:val="0"/>
      <w:marBottom w:val="0"/>
      <w:divBdr>
        <w:top w:val="none" w:sz="0" w:space="0" w:color="auto"/>
        <w:left w:val="none" w:sz="0" w:space="0" w:color="auto"/>
        <w:bottom w:val="none" w:sz="0" w:space="0" w:color="auto"/>
        <w:right w:val="none" w:sz="0" w:space="0" w:color="auto"/>
      </w:divBdr>
    </w:div>
    <w:div w:id="1142622407">
      <w:bodyDiv w:val="1"/>
      <w:marLeft w:val="0"/>
      <w:marRight w:val="0"/>
      <w:marTop w:val="0"/>
      <w:marBottom w:val="0"/>
      <w:divBdr>
        <w:top w:val="none" w:sz="0" w:space="0" w:color="auto"/>
        <w:left w:val="none" w:sz="0" w:space="0" w:color="auto"/>
        <w:bottom w:val="none" w:sz="0" w:space="0" w:color="auto"/>
        <w:right w:val="none" w:sz="0" w:space="0" w:color="auto"/>
      </w:divBdr>
    </w:div>
    <w:div w:id="1149248822">
      <w:bodyDiv w:val="1"/>
      <w:marLeft w:val="0"/>
      <w:marRight w:val="0"/>
      <w:marTop w:val="0"/>
      <w:marBottom w:val="0"/>
      <w:divBdr>
        <w:top w:val="none" w:sz="0" w:space="0" w:color="auto"/>
        <w:left w:val="none" w:sz="0" w:space="0" w:color="auto"/>
        <w:bottom w:val="none" w:sz="0" w:space="0" w:color="auto"/>
        <w:right w:val="none" w:sz="0" w:space="0" w:color="auto"/>
      </w:divBdr>
    </w:div>
    <w:div w:id="1161509806">
      <w:bodyDiv w:val="1"/>
      <w:marLeft w:val="0"/>
      <w:marRight w:val="0"/>
      <w:marTop w:val="0"/>
      <w:marBottom w:val="0"/>
      <w:divBdr>
        <w:top w:val="none" w:sz="0" w:space="0" w:color="auto"/>
        <w:left w:val="none" w:sz="0" w:space="0" w:color="auto"/>
        <w:bottom w:val="none" w:sz="0" w:space="0" w:color="auto"/>
        <w:right w:val="none" w:sz="0" w:space="0" w:color="auto"/>
      </w:divBdr>
    </w:div>
    <w:div w:id="1174414264">
      <w:bodyDiv w:val="1"/>
      <w:marLeft w:val="0"/>
      <w:marRight w:val="0"/>
      <w:marTop w:val="0"/>
      <w:marBottom w:val="0"/>
      <w:divBdr>
        <w:top w:val="none" w:sz="0" w:space="0" w:color="auto"/>
        <w:left w:val="none" w:sz="0" w:space="0" w:color="auto"/>
        <w:bottom w:val="none" w:sz="0" w:space="0" w:color="auto"/>
        <w:right w:val="none" w:sz="0" w:space="0" w:color="auto"/>
      </w:divBdr>
    </w:div>
    <w:div w:id="1195925951">
      <w:bodyDiv w:val="1"/>
      <w:marLeft w:val="0"/>
      <w:marRight w:val="0"/>
      <w:marTop w:val="0"/>
      <w:marBottom w:val="0"/>
      <w:divBdr>
        <w:top w:val="none" w:sz="0" w:space="0" w:color="auto"/>
        <w:left w:val="none" w:sz="0" w:space="0" w:color="auto"/>
        <w:bottom w:val="none" w:sz="0" w:space="0" w:color="auto"/>
        <w:right w:val="none" w:sz="0" w:space="0" w:color="auto"/>
      </w:divBdr>
    </w:div>
    <w:div w:id="1207377842">
      <w:bodyDiv w:val="1"/>
      <w:marLeft w:val="0"/>
      <w:marRight w:val="0"/>
      <w:marTop w:val="0"/>
      <w:marBottom w:val="0"/>
      <w:divBdr>
        <w:top w:val="none" w:sz="0" w:space="0" w:color="auto"/>
        <w:left w:val="none" w:sz="0" w:space="0" w:color="auto"/>
        <w:bottom w:val="none" w:sz="0" w:space="0" w:color="auto"/>
        <w:right w:val="none" w:sz="0" w:space="0" w:color="auto"/>
      </w:divBdr>
    </w:div>
    <w:div w:id="1210411103">
      <w:bodyDiv w:val="1"/>
      <w:marLeft w:val="0"/>
      <w:marRight w:val="0"/>
      <w:marTop w:val="0"/>
      <w:marBottom w:val="0"/>
      <w:divBdr>
        <w:top w:val="none" w:sz="0" w:space="0" w:color="auto"/>
        <w:left w:val="none" w:sz="0" w:space="0" w:color="auto"/>
        <w:bottom w:val="none" w:sz="0" w:space="0" w:color="auto"/>
        <w:right w:val="none" w:sz="0" w:space="0" w:color="auto"/>
      </w:divBdr>
    </w:div>
    <w:div w:id="1215238084">
      <w:bodyDiv w:val="1"/>
      <w:marLeft w:val="0"/>
      <w:marRight w:val="0"/>
      <w:marTop w:val="0"/>
      <w:marBottom w:val="0"/>
      <w:divBdr>
        <w:top w:val="none" w:sz="0" w:space="0" w:color="auto"/>
        <w:left w:val="none" w:sz="0" w:space="0" w:color="auto"/>
        <w:bottom w:val="none" w:sz="0" w:space="0" w:color="auto"/>
        <w:right w:val="none" w:sz="0" w:space="0" w:color="auto"/>
      </w:divBdr>
    </w:div>
    <w:div w:id="1215392337">
      <w:bodyDiv w:val="1"/>
      <w:marLeft w:val="0"/>
      <w:marRight w:val="0"/>
      <w:marTop w:val="0"/>
      <w:marBottom w:val="0"/>
      <w:divBdr>
        <w:top w:val="none" w:sz="0" w:space="0" w:color="auto"/>
        <w:left w:val="none" w:sz="0" w:space="0" w:color="auto"/>
        <w:bottom w:val="none" w:sz="0" w:space="0" w:color="auto"/>
        <w:right w:val="none" w:sz="0" w:space="0" w:color="auto"/>
      </w:divBdr>
    </w:div>
    <w:div w:id="1219510053">
      <w:bodyDiv w:val="1"/>
      <w:marLeft w:val="0"/>
      <w:marRight w:val="0"/>
      <w:marTop w:val="0"/>
      <w:marBottom w:val="0"/>
      <w:divBdr>
        <w:top w:val="none" w:sz="0" w:space="0" w:color="auto"/>
        <w:left w:val="none" w:sz="0" w:space="0" w:color="auto"/>
        <w:bottom w:val="none" w:sz="0" w:space="0" w:color="auto"/>
        <w:right w:val="none" w:sz="0" w:space="0" w:color="auto"/>
      </w:divBdr>
    </w:div>
    <w:div w:id="1220823490">
      <w:bodyDiv w:val="1"/>
      <w:marLeft w:val="0"/>
      <w:marRight w:val="0"/>
      <w:marTop w:val="0"/>
      <w:marBottom w:val="0"/>
      <w:divBdr>
        <w:top w:val="none" w:sz="0" w:space="0" w:color="auto"/>
        <w:left w:val="none" w:sz="0" w:space="0" w:color="auto"/>
        <w:bottom w:val="none" w:sz="0" w:space="0" w:color="auto"/>
        <w:right w:val="none" w:sz="0" w:space="0" w:color="auto"/>
      </w:divBdr>
    </w:div>
    <w:div w:id="1229344541">
      <w:bodyDiv w:val="1"/>
      <w:marLeft w:val="0"/>
      <w:marRight w:val="0"/>
      <w:marTop w:val="0"/>
      <w:marBottom w:val="0"/>
      <w:divBdr>
        <w:top w:val="none" w:sz="0" w:space="0" w:color="auto"/>
        <w:left w:val="none" w:sz="0" w:space="0" w:color="auto"/>
        <w:bottom w:val="none" w:sz="0" w:space="0" w:color="auto"/>
        <w:right w:val="none" w:sz="0" w:space="0" w:color="auto"/>
      </w:divBdr>
    </w:div>
    <w:div w:id="1239825771">
      <w:bodyDiv w:val="1"/>
      <w:marLeft w:val="0"/>
      <w:marRight w:val="0"/>
      <w:marTop w:val="0"/>
      <w:marBottom w:val="0"/>
      <w:divBdr>
        <w:top w:val="none" w:sz="0" w:space="0" w:color="auto"/>
        <w:left w:val="none" w:sz="0" w:space="0" w:color="auto"/>
        <w:bottom w:val="none" w:sz="0" w:space="0" w:color="auto"/>
        <w:right w:val="none" w:sz="0" w:space="0" w:color="auto"/>
      </w:divBdr>
    </w:div>
    <w:div w:id="1240864888">
      <w:bodyDiv w:val="1"/>
      <w:marLeft w:val="0"/>
      <w:marRight w:val="0"/>
      <w:marTop w:val="0"/>
      <w:marBottom w:val="0"/>
      <w:divBdr>
        <w:top w:val="none" w:sz="0" w:space="0" w:color="auto"/>
        <w:left w:val="none" w:sz="0" w:space="0" w:color="auto"/>
        <w:bottom w:val="none" w:sz="0" w:space="0" w:color="auto"/>
        <w:right w:val="none" w:sz="0" w:space="0" w:color="auto"/>
      </w:divBdr>
    </w:div>
    <w:div w:id="1265765532">
      <w:bodyDiv w:val="1"/>
      <w:marLeft w:val="0"/>
      <w:marRight w:val="0"/>
      <w:marTop w:val="0"/>
      <w:marBottom w:val="0"/>
      <w:divBdr>
        <w:top w:val="none" w:sz="0" w:space="0" w:color="auto"/>
        <w:left w:val="none" w:sz="0" w:space="0" w:color="auto"/>
        <w:bottom w:val="none" w:sz="0" w:space="0" w:color="auto"/>
        <w:right w:val="none" w:sz="0" w:space="0" w:color="auto"/>
      </w:divBdr>
    </w:div>
    <w:div w:id="1265990136">
      <w:bodyDiv w:val="1"/>
      <w:marLeft w:val="0"/>
      <w:marRight w:val="0"/>
      <w:marTop w:val="0"/>
      <w:marBottom w:val="0"/>
      <w:divBdr>
        <w:top w:val="none" w:sz="0" w:space="0" w:color="auto"/>
        <w:left w:val="none" w:sz="0" w:space="0" w:color="auto"/>
        <w:bottom w:val="none" w:sz="0" w:space="0" w:color="auto"/>
        <w:right w:val="none" w:sz="0" w:space="0" w:color="auto"/>
      </w:divBdr>
    </w:div>
    <w:div w:id="1268543132">
      <w:bodyDiv w:val="1"/>
      <w:marLeft w:val="0"/>
      <w:marRight w:val="0"/>
      <w:marTop w:val="0"/>
      <w:marBottom w:val="0"/>
      <w:divBdr>
        <w:top w:val="none" w:sz="0" w:space="0" w:color="auto"/>
        <w:left w:val="none" w:sz="0" w:space="0" w:color="auto"/>
        <w:bottom w:val="none" w:sz="0" w:space="0" w:color="auto"/>
        <w:right w:val="none" w:sz="0" w:space="0" w:color="auto"/>
      </w:divBdr>
    </w:div>
    <w:div w:id="1298727593">
      <w:bodyDiv w:val="1"/>
      <w:marLeft w:val="0"/>
      <w:marRight w:val="0"/>
      <w:marTop w:val="0"/>
      <w:marBottom w:val="0"/>
      <w:divBdr>
        <w:top w:val="none" w:sz="0" w:space="0" w:color="auto"/>
        <w:left w:val="none" w:sz="0" w:space="0" w:color="auto"/>
        <w:bottom w:val="none" w:sz="0" w:space="0" w:color="auto"/>
        <w:right w:val="none" w:sz="0" w:space="0" w:color="auto"/>
      </w:divBdr>
    </w:div>
    <w:div w:id="1305239721">
      <w:bodyDiv w:val="1"/>
      <w:marLeft w:val="0"/>
      <w:marRight w:val="0"/>
      <w:marTop w:val="0"/>
      <w:marBottom w:val="0"/>
      <w:divBdr>
        <w:top w:val="none" w:sz="0" w:space="0" w:color="auto"/>
        <w:left w:val="none" w:sz="0" w:space="0" w:color="auto"/>
        <w:bottom w:val="none" w:sz="0" w:space="0" w:color="auto"/>
        <w:right w:val="none" w:sz="0" w:space="0" w:color="auto"/>
      </w:divBdr>
    </w:div>
    <w:div w:id="1309093537">
      <w:bodyDiv w:val="1"/>
      <w:marLeft w:val="0"/>
      <w:marRight w:val="0"/>
      <w:marTop w:val="0"/>
      <w:marBottom w:val="0"/>
      <w:divBdr>
        <w:top w:val="none" w:sz="0" w:space="0" w:color="auto"/>
        <w:left w:val="none" w:sz="0" w:space="0" w:color="auto"/>
        <w:bottom w:val="none" w:sz="0" w:space="0" w:color="auto"/>
        <w:right w:val="none" w:sz="0" w:space="0" w:color="auto"/>
      </w:divBdr>
    </w:div>
    <w:div w:id="1312948244">
      <w:bodyDiv w:val="1"/>
      <w:marLeft w:val="0"/>
      <w:marRight w:val="0"/>
      <w:marTop w:val="0"/>
      <w:marBottom w:val="0"/>
      <w:divBdr>
        <w:top w:val="none" w:sz="0" w:space="0" w:color="auto"/>
        <w:left w:val="none" w:sz="0" w:space="0" w:color="auto"/>
        <w:bottom w:val="none" w:sz="0" w:space="0" w:color="auto"/>
        <w:right w:val="none" w:sz="0" w:space="0" w:color="auto"/>
      </w:divBdr>
    </w:div>
    <w:div w:id="1317148409">
      <w:bodyDiv w:val="1"/>
      <w:marLeft w:val="0"/>
      <w:marRight w:val="0"/>
      <w:marTop w:val="0"/>
      <w:marBottom w:val="0"/>
      <w:divBdr>
        <w:top w:val="none" w:sz="0" w:space="0" w:color="auto"/>
        <w:left w:val="none" w:sz="0" w:space="0" w:color="auto"/>
        <w:bottom w:val="none" w:sz="0" w:space="0" w:color="auto"/>
        <w:right w:val="none" w:sz="0" w:space="0" w:color="auto"/>
      </w:divBdr>
    </w:div>
    <w:div w:id="1336878327">
      <w:bodyDiv w:val="1"/>
      <w:marLeft w:val="0"/>
      <w:marRight w:val="0"/>
      <w:marTop w:val="0"/>
      <w:marBottom w:val="0"/>
      <w:divBdr>
        <w:top w:val="none" w:sz="0" w:space="0" w:color="auto"/>
        <w:left w:val="none" w:sz="0" w:space="0" w:color="auto"/>
        <w:bottom w:val="none" w:sz="0" w:space="0" w:color="auto"/>
        <w:right w:val="none" w:sz="0" w:space="0" w:color="auto"/>
      </w:divBdr>
    </w:div>
    <w:div w:id="1338145859">
      <w:bodyDiv w:val="1"/>
      <w:marLeft w:val="0"/>
      <w:marRight w:val="0"/>
      <w:marTop w:val="0"/>
      <w:marBottom w:val="0"/>
      <w:divBdr>
        <w:top w:val="none" w:sz="0" w:space="0" w:color="auto"/>
        <w:left w:val="none" w:sz="0" w:space="0" w:color="auto"/>
        <w:bottom w:val="none" w:sz="0" w:space="0" w:color="auto"/>
        <w:right w:val="none" w:sz="0" w:space="0" w:color="auto"/>
      </w:divBdr>
    </w:div>
    <w:div w:id="1344085112">
      <w:bodyDiv w:val="1"/>
      <w:marLeft w:val="0"/>
      <w:marRight w:val="0"/>
      <w:marTop w:val="0"/>
      <w:marBottom w:val="0"/>
      <w:divBdr>
        <w:top w:val="none" w:sz="0" w:space="0" w:color="auto"/>
        <w:left w:val="none" w:sz="0" w:space="0" w:color="auto"/>
        <w:bottom w:val="none" w:sz="0" w:space="0" w:color="auto"/>
        <w:right w:val="none" w:sz="0" w:space="0" w:color="auto"/>
      </w:divBdr>
    </w:div>
    <w:div w:id="1345865081">
      <w:bodyDiv w:val="1"/>
      <w:marLeft w:val="0"/>
      <w:marRight w:val="0"/>
      <w:marTop w:val="0"/>
      <w:marBottom w:val="0"/>
      <w:divBdr>
        <w:top w:val="none" w:sz="0" w:space="0" w:color="auto"/>
        <w:left w:val="none" w:sz="0" w:space="0" w:color="auto"/>
        <w:bottom w:val="none" w:sz="0" w:space="0" w:color="auto"/>
        <w:right w:val="none" w:sz="0" w:space="0" w:color="auto"/>
      </w:divBdr>
    </w:div>
    <w:div w:id="1345980499">
      <w:bodyDiv w:val="1"/>
      <w:marLeft w:val="0"/>
      <w:marRight w:val="0"/>
      <w:marTop w:val="0"/>
      <w:marBottom w:val="0"/>
      <w:divBdr>
        <w:top w:val="none" w:sz="0" w:space="0" w:color="auto"/>
        <w:left w:val="none" w:sz="0" w:space="0" w:color="auto"/>
        <w:bottom w:val="none" w:sz="0" w:space="0" w:color="auto"/>
        <w:right w:val="none" w:sz="0" w:space="0" w:color="auto"/>
      </w:divBdr>
    </w:div>
    <w:div w:id="1373461285">
      <w:bodyDiv w:val="1"/>
      <w:marLeft w:val="0"/>
      <w:marRight w:val="0"/>
      <w:marTop w:val="0"/>
      <w:marBottom w:val="0"/>
      <w:divBdr>
        <w:top w:val="none" w:sz="0" w:space="0" w:color="auto"/>
        <w:left w:val="none" w:sz="0" w:space="0" w:color="auto"/>
        <w:bottom w:val="none" w:sz="0" w:space="0" w:color="auto"/>
        <w:right w:val="none" w:sz="0" w:space="0" w:color="auto"/>
      </w:divBdr>
    </w:div>
    <w:div w:id="1377895454">
      <w:bodyDiv w:val="1"/>
      <w:marLeft w:val="0"/>
      <w:marRight w:val="0"/>
      <w:marTop w:val="0"/>
      <w:marBottom w:val="0"/>
      <w:divBdr>
        <w:top w:val="none" w:sz="0" w:space="0" w:color="auto"/>
        <w:left w:val="none" w:sz="0" w:space="0" w:color="auto"/>
        <w:bottom w:val="none" w:sz="0" w:space="0" w:color="auto"/>
        <w:right w:val="none" w:sz="0" w:space="0" w:color="auto"/>
      </w:divBdr>
    </w:div>
    <w:div w:id="1379823090">
      <w:bodyDiv w:val="1"/>
      <w:marLeft w:val="0"/>
      <w:marRight w:val="0"/>
      <w:marTop w:val="0"/>
      <w:marBottom w:val="0"/>
      <w:divBdr>
        <w:top w:val="none" w:sz="0" w:space="0" w:color="auto"/>
        <w:left w:val="none" w:sz="0" w:space="0" w:color="auto"/>
        <w:bottom w:val="none" w:sz="0" w:space="0" w:color="auto"/>
        <w:right w:val="none" w:sz="0" w:space="0" w:color="auto"/>
      </w:divBdr>
    </w:div>
    <w:div w:id="1391077137">
      <w:bodyDiv w:val="1"/>
      <w:marLeft w:val="0"/>
      <w:marRight w:val="0"/>
      <w:marTop w:val="0"/>
      <w:marBottom w:val="0"/>
      <w:divBdr>
        <w:top w:val="none" w:sz="0" w:space="0" w:color="auto"/>
        <w:left w:val="none" w:sz="0" w:space="0" w:color="auto"/>
        <w:bottom w:val="none" w:sz="0" w:space="0" w:color="auto"/>
        <w:right w:val="none" w:sz="0" w:space="0" w:color="auto"/>
      </w:divBdr>
    </w:div>
    <w:div w:id="1396927224">
      <w:bodyDiv w:val="1"/>
      <w:marLeft w:val="0"/>
      <w:marRight w:val="0"/>
      <w:marTop w:val="0"/>
      <w:marBottom w:val="0"/>
      <w:divBdr>
        <w:top w:val="none" w:sz="0" w:space="0" w:color="auto"/>
        <w:left w:val="none" w:sz="0" w:space="0" w:color="auto"/>
        <w:bottom w:val="none" w:sz="0" w:space="0" w:color="auto"/>
        <w:right w:val="none" w:sz="0" w:space="0" w:color="auto"/>
      </w:divBdr>
    </w:div>
    <w:div w:id="1412848341">
      <w:bodyDiv w:val="1"/>
      <w:marLeft w:val="0"/>
      <w:marRight w:val="0"/>
      <w:marTop w:val="0"/>
      <w:marBottom w:val="0"/>
      <w:divBdr>
        <w:top w:val="none" w:sz="0" w:space="0" w:color="auto"/>
        <w:left w:val="none" w:sz="0" w:space="0" w:color="auto"/>
        <w:bottom w:val="none" w:sz="0" w:space="0" w:color="auto"/>
        <w:right w:val="none" w:sz="0" w:space="0" w:color="auto"/>
      </w:divBdr>
    </w:div>
    <w:div w:id="1414430227">
      <w:bodyDiv w:val="1"/>
      <w:marLeft w:val="0"/>
      <w:marRight w:val="0"/>
      <w:marTop w:val="0"/>
      <w:marBottom w:val="0"/>
      <w:divBdr>
        <w:top w:val="none" w:sz="0" w:space="0" w:color="auto"/>
        <w:left w:val="none" w:sz="0" w:space="0" w:color="auto"/>
        <w:bottom w:val="none" w:sz="0" w:space="0" w:color="auto"/>
        <w:right w:val="none" w:sz="0" w:space="0" w:color="auto"/>
      </w:divBdr>
    </w:div>
    <w:div w:id="1416395644">
      <w:bodyDiv w:val="1"/>
      <w:marLeft w:val="0"/>
      <w:marRight w:val="0"/>
      <w:marTop w:val="0"/>
      <w:marBottom w:val="0"/>
      <w:divBdr>
        <w:top w:val="none" w:sz="0" w:space="0" w:color="auto"/>
        <w:left w:val="none" w:sz="0" w:space="0" w:color="auto"/>
        <w:bottom w:val="none" w:sz="0" w:space="0" w:color="auto"/>
        <w:right w:val="none" w:sz="0" w:space="0" w:color="auto"/>
      </w:divBdr>
    </w:div>
    <w:div w:id="1418286774">
      <w:bodyDiv w:val="1"/>
      <w:marLeft w:val="0"/>
      <w:marRight w:val="0"/>
      <w:marTop w:val="0"/>
      <w:marBottom w:val="0"/>
      <w:divBdr>
        <w:top w:val="none" w:sz="0" w:space="0" w:color="auto"/>
        <w:left w:val="none" w:sz="0" w:space="0" w:color="auto"/>
        <w:bottom w:val="none" w:sz="0" w:space="0" w:color="auto"/>
        <w:right w:val="none" w:sz="0" w:space="0" w:color="auto"/>
      </w:divBdr>
    </w:div>
    <w:div w:id="1418358433">
      <w:bodyDiv w:val="1"/>
      <w:marLeft w:val="0"/>
      <w:marRight w:val="0"/>
      <w:marTop w:val="0"/>
      <w:marBottom w:val="0"/>
      <w:divBdr>
        <w:top w:val="none" w:sz="0" w:space="0" w:color="auto"/>
        <w:left w:val="none" w:sz="0" w:space="0" w:color="auto"/>
        <w:bottom w:val="none" w:sz="0" w:space="0" w:color="auto"/>
        <w:right w:val="none" w:sz="0" w:space="0" w:color="auto"/>
      </w:divBdr>
    </w:div>
    <w:div w:id="1426917592">
      <w:bodyDiv w:val="1"/>
      <w:marLeft w:val="0"/>
      <w:marRight w:val="0"/>
      <w:marTop w:val="0"/>
      <w:marBottom w:val="0"/>
      <w:divBdr>
        <w:top w:val="none" w:sz="0" w:space="0" w:color="auto"/>
        <w:left w:val="none" w:sz="0" w:space="0" w:color="auto"/>
        <w:bottom w:val="none" w:sz="0" w:space="0" w:color="auto"/>
        <w:right w:val="none" w:sz="0" w:space="0" w:color="auto"/>
      </w:divBdr>
    </w:div>
    <w:div w:id="1430854743">
      <w:bodyDiv w:val="1"/>
      <w:marLeft w:val="0"/>
      <w:marRight w:val="0"/>
      <w:marTop w:val="0"/>
      <w:marBottom w:val="0"/>
      <w:divBdr>
        <w:top w:val="none" w:sz="0" w:space="0" w:color="auto"/>
        <w:left w:val="none" w:sz="0" w:space="0" w:color="auto"/>
        <w:bottom w:val="none" w:sz="0" w:space="0" w:color="auto"/>
        <w:right w:val="none" w:sz="0" w:space="0" w:color="auto"/>
      </w:divBdr>
    </w:div>
    <w:div w:id="1431194709">
      <w:bodyDiv w:val="1"/>
      <w:marLeft w:val="0"/>
      <w:marRight w:val="0"/>
      <w:marTop w:val="0"/>
      <w:marBottom w:val="0"/>
      <w:divBdr>
        <w:top w:val="none" w:sz="0" w:space="0" w:color="auto"/>
        <w:left w:val="none" w:sz="0" w:space="0" w:color="auto"/>
        <w:bottom w:val="none" w:sz="0" w:space="0" w:color="auto"/>
        <w:right w:val="none" w:sz="0" w:space="0" w:color="auto"/>
      </w:divBdr>
    </w:div>
    <w:div w:id="1442216734">
      <w:bodyDiv w:val="1"/>
      <w:marLeft w:val="0"/>
      <w:marRight w:val="0"/>
      <w:marTop w:val="0"/>
      <w:marBottom w:val="0"/>
      <w:divBdr>
        <w:top w:val="none" w:sz="0" w:space="0" w:color="auto"/>
        <w:left w:val="none" w:sz="0" w:space="0" w:color="auto"/>
        <w:bottom w:val="none" w:sz="0" w:space="0" w:color="auto"/>
        <w:right w:val="none" w:sz="0" w:space="0" w:color="auto"/>
      </w:divBdr>
    </w:div>
    <w:div w:id="1448309239">
      <w:bodyDiv w:val="1"/>
      <w:marLeft w:val="0"/>
      <w:marRight w:val="0"/>
      <w:marTop w:val="0"/>
      <w:marBottom w:val="0"/>
      <w:divBdr>
        <w:top w:val="none" w:sz="0" w:space="0" w:color="auto"/>
        <w:left w:val="none" w:sz="0" w:space="0" w:color="auto"/>
        <w:bottom w:val="none" w:sz="0" w:space="0" w:color="auto"/>
        <w:right w:val="none" w:sz="0" w:space="0" w:color="auto"/>
      </w:divBdr>
    </w:div>
    <w:div w:id="1466894779">
      <w:bodyDiv w:val="1"/>
      <w:marLeft w:val="0"/>
      <w:marRight w:val="0"/>
      <w:marTop w:val="0"/>
      <w:marBottom w:val="0"/>
      <w:divBdr>
        <w:top w:val="none" w:sz="0" w:space="0" w:color="auto"/>
        <w:left w:val="none" w:sz="0" w:space="0" w:color="auto"/>
        <w:bottom w:val="none" w:sz="0" w:space="0" w:color="auto"/>
        <w:right w:val="none" w:sz="0" w:space="0" w:color="auto"/>
      </w:divBdr>
    </w:div>
    <w:div w:id="1473325788">
      <w:bodyDiv w:val="1"/>
      <w:marLeft w:val="0"/>
      <w:marRight w:val="0"/>
      <w:marTop w:val="0"/>
      <w:marBottom w:val="0"/>
      <w:divBdr>
        <w:top w:val="none" w:sz="0" w:space="0" w:color="auto"/>
        <w:left w:val="none" w:sz="0" w:space="0" w:color="auto"/>
        <w:bottom w:val="none" w:sz="0" w:space="0" w:color="auto"/>
        <w:right w:val="none" w:sz="0" w:space="0" w:color="auto"/>
      </w:divBdr>
    </w:div>
    <w:div w:id="1479953479">
      <w:bodyDiv w:val="1"/>
      <w:marLeft w:val="0"/>
      <w:marRight w:val="0"/>
      <w:marTop w:val="0"/>
      <w:marBottom w:val="0"/>
      <w:divBdr>
        <w:top w:val="none" w:sz="0" w:space="0" w:color="auto"/>
        <w:left w:val="none" w:sz="0" w:space="0" w:color="auto"/>
        <w:bottom w:val="none" w:sz="0" w:space="0" w:color="auto"/>
        <w:right w:val="none" w:sz="0" w:space="0" w:color="auto"/>
      </w:divBdr>
    </w:div>
    <w:div w:id="1484656761">
      <w:bodyDiv w:val="1"/>
      <w:marLeft w:val="0"/>
      <w:marRight w:val="0"/>
      <w:marTop w:val="0"/>
      <w:marBottom w:val="0"/>
      <w:divBdr>
        <w:top w:val="none" w:sz="0" w:space="0" w:color="auto"/>
        <w:left w:val="none" w:sz="0" w:space="0" w:color="auto"/>
        <w:bottom w:val="none" w:sz="0" w:space="0" w:color="auto"/>
        <w:right w:val="none" w:sz="0" w:space="0" w:color="auto"/>
      </w:divBdr>
    </w:div>
    <w:div w:id="1489128478">
      <w:bodyDiv w:val="1"/>
      <w:marLeft w:val="0"/>
      <w:marRight w:val="0"/>
      <w:marTop w:val="0"/>
      <w:marBottom w:val="0"/>
      <w:divBdr>
        <w:top w:val="none" w:sz="0" w:space="0" w:color="auto"/>
        <w:left w:val="none" w:sz="0" w:space="0" w:color="auto"/>
        <w:bottom w:val="none" w:sz="0" w:space="0" w:color="auto"/>
        <w:right w:val="none" w:sz="0" w:space="0" w:color="auto"/>
      </w:divBdr>
    </w:div>
    <w:div w:id="1491287632">
      <w:bodyDiv w:val="1"/>
      <w:marLeft w:val="0"/>
      <w:marRight w:val="0"/>
      <w:marTop w:val="0"/>
      <w:marBottom w:val="0"/>
      <w:divBdr>
        <w:top w:val="none" w:sz="0" w:space="0" w:color="auto"/>
        <w:left w:val="none" w:sz="0" w:space="0" w:color="auto"/>
        <w:bottom w:val="none" w:sz="0" w:space="0" w:color="auto"/>
        <w:right w:val="none" w:sz="0" w:space="0" w:color="auto"/>
      </w:divBdr>
    </w:div>
    <w:div w:id="1492676888">
      <w:bodyDiv w:val="1"/>
      <w:marLeft w:val="0"/>
      <w:marRight w:val="0"/>
      <w:marTop w:val="0"/>
      <w:marBottom w:val="0"/>
      <w:divBdr>
        <w:top w:val="none" w:sz="0" w:space="0" w:color="auto"/>
        <w:left w:val="none" w:sz="0" w:space="0" w:color="auto"/>
        <w:bottom w:val="none" w:sz="0" w:space="0" w:color="auto"/>
        <w:right w:val="none" w:sz="0" w:space="0" w:color="auto"/>
      </w:divBdr>
      <w:divsChild>
        <w:div w:id="1779639843">
          <w:marLeft w:val="0"/>
          <w:marRight w:val="0"/>
          <w:marTop w:val="0"/>
          <w:marBottom w:val="0"/>
          <w:divBdr>
            <w:top w:val="none" w:sz="0" w:space="0" w:color="auto"/>
            <w:left w:val="none" w:sz="0" w:space="0" w:color="auto"/>
            <w:bottom w:val="none" w:sz="0" w:space="0" w:color="auto"/>
            <w:right w:val="none" w:sz="0" w:space="0" w:color="auto"/>
          </w:divBdr>
          <w:divsChild>
            <w:div w:id="771164437">
              <w:marLeft w:val="0"/>
              <w:marRight w:val="0"/>
              <w:marTop w:val="0"/>
              <w:marBottom w:val="0"/>
              <w:divBdr>
                <w:top w:val="none" w:sz="0" w:space="0" w:color="auto"/>
                <w:left w:val="none" w:sz="0" w:space="0" w:color="auto"/>
                <w:bottom w:val="none" w:sz="0" w:space="0" w:color="auto"/>
                <w:right w:val="none" w:sz="0" w:space="0" w:color="auto"/>
              </w:divBdr>
            </w:div>
            <w:div w:id="1702584632">
              <w:marLeft w:val="0"/>
              <w:marRight w:val="0"/>
              <w:marTop w:val="0"/>
              <w:marBottom w:val="0"/>
              <w:divBdr>
                <w:top w:val="none" w:sz="0" w:space="0" w:color="auto"/>
                <w:left w:val="none" w:sz="0" w:space="0" w:color="auto"/>
                <w:bottom w:val="none" w:sz="0" w:space="0" w:color="auto"/>
                <w:right w:val="none" w:sz="0" w:space="0" w:color="auto"/>
              </w:divBdr>
            </w:div>
            <w:div w:id="859316001">
              <w:marLeft w:val="0"/>
              <w:marRight w:val="0"/>
              <w:marTop w:val="0"/>
              <w:marBottom w:val="0"/>
              <w:divBdr>
                <w:top w:val="none" w:sz="0" w:space="0" w:color="auto"/>
                <w:left w:val="none" w:sz="0" w:space="0" w:color="auto"/>
                <w:bottom w:val="none" w:sz="0" w:space="0" w:color="auto"/>
                <w:right w:val="none" w:sz="0" w:space="0" w:color="auto"/>
              </w:divBdr>
            </w:div>
            <w:div w:id="1415515410">
              <w:marLeft w:val="0"/>
              <w:marRight w:val="0"/>
              <w:marTop w:val="0"/>
              <w:marBottom w:val="0"/>
              <w:divBdr>
                <w:top w:val="none" w:sz="0" w:space="0" w:color="auto"/>
                <w:left w:val="none" w:sz="0" w:space="0" w:color="auto"/>
                <w:bottom w:val="none" w:sz="0" w:space="0" w:color="auto"/>
                <w:right w:val="none" w:sz="0" w:space="0" w:color="auto"/>
              </w:divBdr>
            </w:div>
          </w:divsChild>
        </w:div>
        <w:div w:id="641930762">
          <w:marLeft w:val="0"/>
          <w:marRight w:val="0"/>
          <w:marTop w:val="0"/>
          <w:marBottom w:val="0"/>
          <w:divBdr>
            <w:top w:val="none" w:sz="0" w:space="0" w:color="auto"/>
            <w:left w:val="none" w:sz="0" w:space="0" w:color="auto"/>
            <w:bottom w:val="none" w:sz="0" w:space="0" w:color="auto"/>
            <w:right w:val="none" w:sz="0" w:space="0" w:color="auto"/>
          </w:divBdr>
        </w:div>
        <w:div w:id="454106774">
          <w:marLeft w:val="0"/>
          <w:marRight w:val="0"/>
          <w:marTop w:val="0"/>
          <w:marBottom w:val="0"/>
          <w:divBdr>
            <w:top w:val="none" w:sz="0" w:space="0" w:color="auto"/>
            <w:left w:val="none" w:sz="0" w:space="0" w:color="auto"/>
            <w:bottom w:val="none" w:sz="0" w:space="0" w:color="auto"/>
            <w:right w:val="none" w:sz="0" w:space="0" w:color="auto"/>
          </w:divBdr>
        </w:div>
        <w:div w:id="47456471">
          <w:marLeft w:val="0"/>
          <w:marRight w:val="0"/>
          <w:marTop w:val="0"/>
          <w:marBottom w:val="0"/>
          <w:divBdr>
            <w:top w:val="none" w:sz="0" w:space="0" w:color="auto"/>
            <w:left w:val="none" w:sz="0" w:space="0" w:color="auto"/>
            <w:bottom w:val="none" w:sz="0" w:space="0" w:color="auto"/>
            <w:right w:val="none" w:sz="0" w:space="0" w:color="auto"/>
          </w:divBdr>
        </w:div>
        <w:div w:id="1498769249">
          <w:marLeft w:val="0"/>
          <w:marRight w:val="0"/>
          <w:marTop w:val="0"/>
          <w:marBottom w:val="0"/>
          <w:divBdr>
            <w:top w:val="none" w:sz="0" w:space="0" w:color="auto"/>
            <w:left w:val="none" w:sz="0" w:space="0" w:color="auto"/>
            <w:bottom w:val="none" w:sz="0" w:space="0" w:color="auto"/>
            <w:right w:val="none" w:sz="0" w:space="0" w:color="auto"/>
          </w:divBdr>
        </w:div>
        <w:div w:id="499780524">
          <w:marLeft w:val="0"/>
          <w:marRight w:val="0"/>
          <w:marTop w:val="0"/>
          <w:marBottom w:val="0"/>
          <w:divBdr>
            <w:top w:val="none" w:sz="0" w:space="0" w:color="auto"/>
            <w:left w:val="none" w:sz="0" w:space="0" w:color="auto"/>
            <w:bottom w:val="none" w:sz="0" w:space="0" w:color="auto"/>
            <w:right w:val="none" w:sz="0" w:space="0" w:color="auto"/>
          </w:divBdr>
        </w:div>
      </w:divsChild>
    </w:div>
    <w:div w:id="1509902587">
      <w:bodyDiv w:val="1"/>
      <w:marLeft w:val="0"/>
      <w:marRight w:val="0"/>
      <w:marTop w:val="0"/>
      <w:marBottom w:val="0"/>
      <w:divBdr>
        <w:top w:val="none" w:sz="0" w:space="0" w:color="auto"/>
        <w:left w:val="none" w:sz="0" w:space="0" w:color="auto"/>
        <w:bottom w:val="none" w:sz="0" w:space="0" w:color="auto"/>
        <w:right w:val="none" w:sz="0" w:space="0" w:color="auto"/>
      </w:divBdr>
    </w:div>
    <w:div w:id="1526359793">
      <w:bodyDiv w:val="1"/>
      <w:marLeft w:val="0"/>
      <w:marRight w:val="0"/>
      <w:marTop w:val="0"/>
      <w:marBottom w:val="0"/>
      <w:divBdr>
        <w:top w:val="none" w:sz="0" w:space="0" w:color="auto"/>
        <w:left w:val="none" w:sz="0" w:space="0" w:color="auto"/>
        <w:bottom w:val="none" w:sz="0" w:space="0" w:color="auto"/>
        <w:right w:val="none" w:sz="0" w:space="0" w:color="auto"/>
      </w:divBdr>
    </w:div>
    <w:div w:id="1537278658">
      <w:bodyDiv w:val="1"/>
      <w:marLeft w:val="0"/>
      <w:marRight w:val="0"/>
      <w:marTop w:val="0"/>
      <w:marBottom w:val="0"/>
      <w:divBdr>
        <w:top w:val="none" w:sz="0" w:space="0" w:color="auto"/>
        <w:left w:val="none" w:sz="0" w:space="0" w:color="auto"/>
        <w:bottom w:val="none" w:sz="0" w:space="0" w:color="auto"/>
        <w:right w:val="none" w:sz="0" w:space="0" w:color="auto"/>
      </w:divBdr>
    </w:div>
    <w:div w:id="1538663067">
      <w:bodyDiv w:val="1"/>
      <w:marLeft w:val="0"/>
      <w:marRight w:val="0"/>
      <w:marTop w:val="0"/>
      <w:marBottom w:val="0"/>
      <w:divBdr>
        <w:top w:val="none" w:sz="0" w:space="0" w:color="auto"/>
        <w:left w:val="none" w:sz="0" w:space="0" w:color="auto"/>
        <w:bottom w:val="none" w:sz="0" w:space="0" w:color="auto"/>
        <w:right w:val="none" w:sz="0" w:space="0" w:color="auto"/>
      </w:divBdr>
    </w:div>
    <w:div w:id="1558466146">
      <w:bodyDiv w:val="1"/>
      <w:marLeft w:val="0"/>
      <w:marRight w:val="0"/>
      <w:marTop w:val="0"/>
      <w:marBottom w:val="0"/>
      <w:divBdr>
        <w:top w:val="none" w:sz="0" w:space="0" w:color="auto"/>
        <w:left w:val="none" w:sz="0" w:space="0" w:color="auto"/>
        <w:bottom w:val="none" w:sz="0" w:space="0" w:color="auto"/>
        <w:right w:val="none" w:sz="0" w:space="0" w:color="auto"/>
      </w:divBdr>
    </w:div>
    <w:div w:id="1559317787">
      <w:bodyDiv w:val="1"/>
      <w:marLeft w:val="0"/>
      <w:marRight w:val="0"/>
      <w:marTop w:val="0"/>
      <w:marBottom w:val="0"/>
      <w:divBdr>
        <w:top w:val="none" w:sz="0" w:space="0" w:color="auto"/>
        <w:left w:val="none" w:sz="0" w:space="0" w:color="auto"/>
        <w:bottom w:val="none" w:sz="0" w:space="0" w:color="auto"/>
        <w:right w:val="none" w:sz="0" w:space="0" w:color="auto"/>
      </w:divBdr>
    </w:div>
    <w:div w:id="1560938161">
      <w:bodyDiv w:val="1"/>
      <w:marLeft w:val="0"/>
      <w:marRight w:val="0"/>
      <w:marTop w:val="0"/>
      <w:marBottom w:val="0"/>
      <w:divBdr>
        <w:top w:val="none" w:sz="0" w:space="0" w:color="auto"/>
        <w:left w:val="none" w:sz="0" w:space="0" w:color="auto"/>
        <w:bottom w:val="none" w:sz="0" w:space="0" w:color="auto"/>
        <w:right w:val="none" w:sz="0" w:space="0" w:color="auto"/>
      </w:divBdr>
    </w:div>
    <w:div w:id="1583837697">
      <w:bodyDiv w:val="1"/>
      <w:marLeft w:val="0"/>
      <w:marRight w:val="0"/>
      <w:marTop w:val="0"/>
      <w:marBottom w:val="0"/>
      <w:divBdr>
        <w:top w:val="none" w:sz="0" w:space="0" w:color="auto"/>
        <w:left w:val="none" w:sz="0" w:space="0" w:color="auto"/>
        <w:bottom w:val="none" w:sz="0" w:space="0" w:color="auto"/>
        <w:right w:val="none" w:sz="0" w:space="0" w:color="auto"/>
      </w:divBdr>
    </w:div>
    <w:div w:id="1586182415">
      <w:bodyDiv w:val="1"/>
      <w:marLeft w:val="0"/>
      <w:marRight w:val="0"/>
      <w:marTop w:val="0"/>
      <w:marBottom w:val="0"/>
      <w:divBdr>
        <w:top w:val="none" w:sz="0" w:space="0" w:color="auto"/>
        <w:left w:val="none" w:sz="0" w:space="0" w:color="auto"/>
        <w:bottom w:val="none" w:sz="0" w:space="0" w:color="auto"/>
        <w:right w:val="none" w:sz="0" w:space="0" w:color="auto"/>
      </w:divBdr>
    </w:div>
    <w:div w:id="1588490587">
      <w:bodyDiv w:val="1"/>
      <w:marLeft w:val="0"/>
      <w:marRight w:val="0"/>
      <w:marTop w:val="0"/>
      <w:marBottom w:val="0"/>
      <w:divBdr>
        <w:top w:val="none" w:sz="0" w:space="0" w:color="auto"/>
        <w:left w:val="none" w:sz="0" w:space="0" w:color="auto"/>
        <w:bottom w:val="none" w:sz="0" w:space="0" w:color="auto"/>
        <w:right w:val="none" w:sz="0" w:space="0" w:color="auto"/>
      </w:divBdr>
    </w:div>
    <w:div w:id="1617713999">
      <w:bodyDiv w:val="1"/>
      <w:marLeft w:val="0"/>
      <w:marRight w:val="0"/>
      <w:marTop w:val="0"/>
      <w:marBottom w:val="0"/>
      <w:divBdr>
        <w:top w:val="none" w:sz="0" w:space="0" w:color="auto"/>
        <w:left w:val="none" w:sz="0" w:space="0" w:color="auto"/>
        <w:bottom w:val="none" w:sz="0" w:space="0" w:color="auto"/>
        <w:right w:val="none" w:sz="0" w:space="0" w:color="auto"/>
      </w:divBdr>
    </w:div>
    <w:div w:id="1623733198">
      <w:bodyDiv w:val="1"/>
      <w:marLeft w:val="0"/>
      <w:marRight w:val="0"/>
      <w:marTop w:val="0"/>
      <w:marBottom w:val="0"/>
      <w:divBdr>
        <w:top w:val="none" w:sz="0" w:space="0" w:color="auto"/>
        <w:left w:val="none" w:sz="0" w:space="0" w:color="auto"/>
        <w:bottom w:val="none" w:sz="0" w:space="0" w:color="auto"/>
        <w:right w:val="none" w:sz="0" w:space="0" w:color="auto"/>
      </w:divBdr>
    </w:div>
    <w:div w:id="1654143598">
      <w:bodyDiv w:val="1"/>
      <w:marLeft w:val="0"/>
      <w:marRight w:val="0"/>
      <w:marTop w:val="0"/>
      <w:marBottom w:val="0"/>
      <w:divBdr>
        <w:top w:val="none" w:sz="0" w:space="0" w:color="auto"/>
        <w:left w:val="none" w:sz="0" w:space="0" w:color="auto"/>
        <w:bottom w:val="none" w:sz="0" w:space="0" w:color="auto"/>
        <w:right w:val="none" w:sz="0" w:space="0" w:color="auto"/>
      </w:divBdr>
    </w:div>
    <w:div w:id="1654867796">
      <w:bodyDiv w:val="1"/>
      <w:marLeft w:val="0"/>
      <w:marRight w:val="0"/>
      <w:marTop w:val="0"/>
      <w:marBottom w:val="0"/>
      <w:divBdr>
        <w:top w:val="none" w:sz="0" w:space="0" w:color="auto"/>
        <w:left w:val="none" w:sz="0" w:space="0" w:color="auto"/>
        <w:bottom w:val="none" w:sz="0" w:space="0" w:color="auto"/>
        <w:right w:val="none" w:sz="0" w:space="0" w:color="auto"/>
      </w:divBdr>
    </w:div>
    <w:div w:id="1656495299">
      <w:bodyDiv w:val="1"/>
      <w:marLeft w:val="0"/>
      <w:marRight w:val="0"/>
      <w:marTop w:val="0"/>
      <w:marBottom w:val="0"/>
      <w:divBdr>
        <w:top w:val="none" w:sz="0" w:space="0" w:color="auto"/>
        <w:left w:val="none" w:sz="0" w:space="0" w:color="auto"/>
        <w:bottom w:val="none" w:sz="0" w:space="0" w:color="auto"/>
        <w:right w:val="none" w:sz="0" w:space="0" w:color="auto"/>
      </w:divBdr>
    </w:div>
    <w:div w:id="1667787385">
      <w:bodyDiv w:val="1"/>
      <w:marLeft w:val="0"/>
      <w:marRight w:val="0"/>
      <w:marTop w:val="0"/>
      <w:marBottom w:val="0"/>
      <w:divBdr>
        <w:top w:val="none" w:sz="0" w:space="0" w:color="auto"/>
        <w:left w:val="none" w:sz="0" w:space="0" w:color="auto"/>
        <w:bottom w:val="none" w:sz="0" w:space="0" w:color="auto"/>
        <w:right w:val="none" w:sz="0" w:space="0" w:color="auto"/>
      </w:divBdr>
    </w:div>
    <w:div w:id="1668435238">
      <w:bodyDiv w:val="1"/>
      <w:marLeft w:val="0"/>
      <w:marRight w:val="0"/>
      <w:marTop w:val="0"/>
      <w:marBottom w:val="0"/>
      <w:divBdr>
        <w:top w:val="none" w:sz="0" w:space="0" w:color="auto"/>
        <w:left w:val="none" w:sz="0" w:space="0" w:color="auto"/>
        <w:bottom w:val="none" w:sz="0" w:space="0" w:color="auto"/>
        <w:right w:val="none" w:sz="0" w:space="0" w:color="auto"/>
      </w:divBdr>
    </w:div>
    <w:div w:id="1674259249">
      <w:bodyDiv w:val="1"/>
      <w:marLeft w:val="0"/>
      <w:marRight w:val="0"/>
      <w:marTop w:val="0"/>
      <w:marBottom w:val="0"/>
      <w:divBdr>
        <w:top w:val="none" w:sz="0" w:space="0" w:color="auto"/>
        <w:left w:val="none" w:sz="0" w:space="0" w:color="auto"/>
        <w:bottom w:val="none" w:sz="0" w:space="0" w:color="auto"/>
        <w:right w:val="none" w:sz="0" w:space="0" w:color="auto"/>
      </w:divBdr>
    </w:div>
    <w:div w:id="1674845001">
      <w:bodyDiv w:val="1"/>
      <w:marLeft w:val="0"/>
      <w:marRight w:val="0"/>
      <w:marTop w:val="0"/>
      <w:marBottom w:val="0"/>
      <w:divBdr>
        <w:top w:val="none" w:sz="0" w:space="0" w:color="auto"/>
        <w:left w:val="none" w:sz="0" w:space="0" w:color="auto"/>
        <w:bottom w:val="none" w:sz="0" w:space="0" w:color="auto"/>
        <w:right w:val="none" w:sz="0" w:space="0" w:color="auto"/>
      </w:divBdr>
    </w:div>
    <w:div w:id="1677683772">
      <w:bodyDiv w:val="1"/>
      <w:marLeft w:val="0"/>
      <w:marRight w:val="0"/>
      <w:marTop w:val="0"/>
      <w:marBottom w:val="0"/>
      <w:divBdr>
        <w:top w:val="none" w:sz="0" w:space="0" w:color="auto"/>
        <w:left w:val="none" w:sz="0" w:space="0" w:color="auto"/>
        <w:bottom w:val="none" w:sz="0" w:space="0" w:color="auto"/>
        <w:right w:val="none" w:sz="0" w:space="0" w:color="auto"/>
      </w:divBdr>
    </w:div>
    <w:div w:id="1695888925">
      <w:bodyDiv w:val="1"/>
      <w:marLeft w:val="0"/>
      <w:marRight w:val="0"/>
      <w:marTop w:val="0"/>
      <w:marBottom w:val="0"/>
      <w:divBdr>
        <w:top w:val="none" w:sz="0" w:space="0" w:color="auto"/>
        <w:left w:val="none" w:sz="0" w:space="0" w:color="auto"/>
        <w:bottom w:val="none" w:sz="0" w:space="0" w:color="auto"/>
        <w:right w:val="none" w:sz="0" w:space="0" w:color="auto"/>
      </w:divBdr>
    </w:div>
    <w:div w:id="1716781976">
      <w:bodyDiv w:val="1"/>
      <w:marLeft w:val="0"/>
      <w:marRight w:val="0"/>
      <w:marTop w:val="0"/>
      <w:marBottom w:val="0"/>
      <w:divBdr>
        <w:top w:val="none" w:sz="0" w:space="0" w:color="auto"/>
        <w:left w:val="none" w:sz="0" w:space="0" w:color="auto"/>
        <w:bottom w:val="none" w:sz="0" w:space="0" w:color="auto"/>
        <w:right w:val="none" w:sz="0" w:space="0" w:color="auto"/>
      </w:divBdr>
    </w:div>
    <w:div w:id="1726492144">
      <w:bodyDiv w:val="1"/>
      <w:marLeft w:val="0"/>
      <w:marRight w:val="0"/>
      <w:marTop w:val="0"/>
      <w:marBottom w:val="0"/>
      <w:divBdr>
        <w:top w:val="none" w:sz="0" w:space="0" w:color="auto"/>
        <w:left w:val="none" w:sz="0" w:space="0" w:color="auto"/>
        <w:bottom w:val="none" w:sz="0" w:space="0" w:color="auto"/>
        <w:right w:val="none" w:sz="0" w:space="0" w:color="auto"/>
      </w:divBdr>
    </w:div>
    <w:div w:id="1727953964">
      <w:bodyDiv w:val="1"/>
      <w:marLeft w:val="0"/>
      <w:marRight w:val="0"/>
      <w:marTop w:val="0"/>
      <w:marBottom w:val="0"/>
      <w:divBdr>
        <w:top w:val="none" w:sz="0" w:space="0" w:color="auto"/>
        <w:left w:val="none" w:sz="0" w:space="0" w:color="auto"/>
        <w:bottom w:val="none" w:sz="0" w:space="0" w:color="auto"/>
        <w:right w:val="none" w:sz="0" w:space="0" w:color="auto"/>
      </w:divBdr>
    </w:div>
    <w:div w:id="1745907899">
      <w:bodyDiv w:val="1"/>
      <w:marLeft w:val="0"/>
      <w:marRight w:val="0"/>
      <w:marTop w:val="0"/>
      <w:marBottom w:val="0"/>
      <w:divBdr>
        <w:top w:val="none" w:sz="0" w:space="0" w:color="auto"/>
        <w:left w:val="none" w:sz="0" w:space="0" w:color="auto"/>
        <w:bottom w:val="none" w:sz="0" w:space="0" w:color="auto"/>
        <w:right w:val="none" w:sz="0" w:space="0" w:color="auto"/>
      </w:divBdr>
    </w:div>
    <w:div w:id="1746494324">
      <w:bodyDiv w:val="1"/>
      <w:marLeft w:val="0"/>
      <w:marRight w:val="0"/>
      <w:marTop w:val="0"/>
      <w:marBottom w:val="0"/>
      <w:divBdr>
        <w:top w:val="none" w:sz="0" w:space="0" w:color="auto"/>
        <w:left w:val="none" w:sz="0" w:space="0" w:color="auto"/>
        <w:bottom w:val="none" w:sz="0" w:space="0" w:color="auto"/>
        <w:right w:val="none" w:sz="0" w:space="0" w:color="auto"/>
      </w:divBdr>
    </w:div>
    <w:div w:id="1764185836">
      <w:bodyDiv w:val="1"/>
      <w:marLeft w:val="0"/>
      <w:marRight w:val="0"/>
      <w:marTop w:val="0"/>
      <w:marBottom w:val="0"/>
      <w:divBdr>
        <w:top w:val="none" w:sz="0" w:space="0" w:color="auto"/>
        <w:left w:val="none" w:sz="0" w:space="0" w:color="auto"/>
        <w:bottom w:val="none" w:sz="0" w:space="0" w:color="auto"/>
        <w:right w:val="none" w:sz="0" w:space="0" w:color="auto"/>
      </w:divBdr>
    </w:div>
    <w:div w:id="1791971092">
      <w:bodyDiv w:val="1"/>
      <w:marLeft w:val="0"/>
      <w:marRight w:val="0"/>
      <w:marTop w:val="0"/>
      <w:marBottom w:val="0"/>
      <w:divBdr>
        <w:top w:val="none" w:sz="0" w:space="0" w:color="auto"/>
        <w:left w:val="none" w:sz="0" w:space="0" w:color="auto"/>
        <w:bottom w:val="none" w:sz="0" w:space="0" w:color="auto"/>
        <w:right w:val="none" w:sz="0" w:space="0" w:color="auto"/>
      </w:divBdr>
    </w:div>
    <w:div w:id="1792169923">
      <w:bodyDiv w:val="1"/>
      <w:marLeft w:val="0"/>
      <w:marRight w:val="0"/>
      <w:marTop w:val="0"/>
      <w:marBottom w:val="0"/>
      <w:divBdr>
        <w:top w:val="none" w:sz="0" w:space="0" w:color="auto"/>
        <w:left w:val="none" w:sz="0" w:space="0" w:color="auto"/>
        <w:bottom w:val="none" w:sz="0" w:space="0" w:color="auto"/>
        <w:right w:val="none" w:sz="0" w:space="0" w:color="auto"/>
      </w:divBdr>
    </w:div>
    <w:div w:id="1792363983">
      <w:bodyDiv w:val="1"/>
      <w:marLeft w:val="0"/>
      <w:marRight w:val="0"/>
      <w:marTop w:val="0"/>
      <w:marBottom w:val="0"/>
      <w:divBdr>
        <w:top w:val="none" w:sz="0" w:space="0" w:color="auto"/>
        <w:left w:val="none" w:sz="0" w:space="0" w:color="auto"/>
        <w:bottom w:val="none" w:sz="0" w:space="0" w:color="auto"/>
        <w:right w:val="none" w:sz="0" w:space="0" w:color="auto"/>
      </w:divBdr>
    </w:div>
    <w:div w:id="1800103970">
      <w:bodyDiv w:val="1"/>
      <w:marLeft w:val="0"/>
      <w:marRight w:val="0"/>
      <w:marTop w:val="0"/>
      <w:marBottom w:val="0"/>
      <w:divBdr>
        <w:top w:val="none" w:sz="0" w:space="0" w:color="auto"/>
        <w:left w:val="none" w:sz="0" w:space="0" w:color="auto"/>
        <w:bottom w:val="none" w:sz="0" w:space="0" w:color="auto"/>
        <w:right w:val="none" w:sz="0" w:space="0" w:color="auto"/>
      </w:divBdr>
    </w:div>
    <w:div w:id="1801681416">
      <w:bodyDiv w:val="1"/>
      <w:marLeft w:val="0"/>
      <w:marRight w:val="0"/>
      <w:marTop w:val="0"/>
      <w:marBottom w:val="0"/>
      <w:divBdr>
        <w:top w:val="none" w:sz="0" w:space="0" w:color="auto"/>
        <w:left w:val="none" w:sz="0" w:space="0" w:color="auto"/>
        <w:bottom w:val="none" w:sz="0" w:space="0" w:color="auto"/>
        <w:right w:val="none" w:sz="0" w:space="0" w:color="auto"/>
      </w:divBdr>
    </w:div>
    <w:div w:id="1807963020">
      <w:bodyDiv w:val="1"/>
      <w:marLeft w:val="0"/>
      <w:marRight w:val="0"/>
      <w:marTop w:val="0"/>
      <w:marBottom w:val="0"/>
      <w:divBdr>
        <w:top w:val="none" w:sz="0" w:space="0" w:color="auto"/>
        <w:left w:val="none" w:sz="0" w:space="0" w:color="auto"/>
        <w:bottom w:val="none" w:sz="0" w:space="0" w:color="auto"/>
        <w:right w:val="none" w:sz="0" w:space="0" w:color="auto"/>
      </w:divBdr>
    </w:div>
    <w:div w:id="1812793139">
      <w:bodyDiv w:val="1"/>
      <w:marLeft w:val="0"/>
      <w:marRight w:val="0"/>
      <w:marTop w:val="0"/>
      <w:marBottom w:val="0"/>
      <w:divBdr>
        <w:top w:val="none" w:sz="0" w:space="0" w:color="auto"/>
        <w:left w:val="none" w:sz="0" w:space="0" w:color="auto"/>
        <w:bottom w:val="none" w:sz="0" w:space="0" w:color="auto"/>
        <w:right w:val="none" w:sz="0" w:space="0" w:color="auto"/>
      </w:divBdr>
    </w:div>
    <w:div w:id="1821998022">
      <w:bodyDiv w:val="1"/>
      <w:marLeft w:val="0"/>
      <w:marRight w:val="0"/>
      <w:marTop w:val="0"/>
      <w:marBottom w:val="0"/>
      <w:divBdr>
        <w:top w:val="none" w:sz="0" w:space="0" w:color="auto"/>
        <w:left w:val="none" w:sz="0" w:space="0" w:color="auto"/>
        <w:bottom w:val="none" w:sz="0" w:space="0" w:color="auto"/>
        <w:right w:val="none" w:sz="0" w:space="0" w:color="auto"/>
      </w:divBdr>
    </w:div>
    <w:div w:id="1835758980">
      <w:bodyDiv w:val="1"/>
      <w:marLeft w:val="0"/>
      <w:marRight w:val="0"/>
      <w:marTop w:val="0"/>
      <w:marBottom w:val="0"/>
      <w:divBdr>
        <w:top w:val="none" w:sz="0" w:space="0" w:color="auto"/>
        <w:left w:val="none" w:sz="0" w:space="0" w:color="auto"/>
        <w:bottom w:val="none" w:sz="0" w:space="0" w:color="auto"/>
        <w:right w:val="none" w:sz="0" w:space="0" w:color="auto"/>
      </w:divBdr>
    </w:div>
    <w:div w:id="1841264008">
      <w:bodyDiv w:val="1"/>
      <w:marLeft w:val="0"/>
      <w:marRight w:val="0"/>
      <w:marTop w:val="0"/>
      <w:marBottom w:val="0"/>
      <w:divBdr>
        <w:top w:val="none" w:sz="0" w:space="0" w:color="auto"/>
        <w:left w:val="none" w:sz="0" w:space="0" w:color="auto"/>
        <w:bottom w:val="none" w:sz="0" w:space="0" w:color="auto"/>
        <w:right w:val="none" w:sz="0" w:space="0" w:color="auto"/>
      </w:divBdr>
    </w:div>
    <w:div w:id="1846046474">
      <w:bodyDiv w:val="1"/>
      <w:marLeft w:val="0"/>
      <w:marRight w:val="0"/>
      <w:marTop w:val="0"/>
      <w:marBottom w:val="0"/>
      <w:divBdr>
        <w:top w:val="none" w:sz="0" w:space="0" w:color="auto"/>
        <w:left w:val="none" w:sz="0" w:space="0" w:color="auto"/>
        <w:bottom w:val="none" w:sz="0" w:space="0" w:color="auto"/>
        <w:right w:val="none" w:sz="0" w:space="0" w:color="auto"/>
      </w:divBdr>
    </w:div>
    <w:div w:id="1846942411">
      <w:bodyDiv w:val="1"/>
      <w:marLeft w:val="0"/>
      <w:marRight w:val="0"/>
      <w:marTop w:val="0"/>
      <w:marBottom w:val="0"/>
      <w:divBdr>
        <w:top w:val="none" w:sz="0" w:space="0" w:color="auto"/>
        <w:left w:val="none" w:sz="0" w:space="0" w:color="auto"/>
        <w:bottom w:val="none" w:sz="0" w:space="0" w:color="auto"/>
        <w:right w:val="none" w:sz="0" w:space="0" w:color="auto"/>
      </w:divBdr>
    </w:div>
    <w:div w:id="1854226871">
      <w:bodyDiv w:val="1"/>
      <w:marLeft w:val="0"/>
      <w:marRight w:val="0"/>
      <w:marTop w:val="0"/>
      <w:marBottom w:val="0"/>
      <w:divBdr>
        <w:top w:val="none" w:sz="0" w:space="0" w:color="auto"/>
        <w:left w:val="none" w:sz="0" w:space="0" w:color="auto"/>
        <w:bottom w:val="none" w:sz="0" w:space="0" w:color="auto"/>
        <w:right w:val="none" w:sz="0" w:space="0" w:color="auto"/>
      </w:divBdr>
    </w:div>
    <w:div w:id="1861355710">
      <w:bodyDiv w:val="1"/>
      <w:marLeft w:val="0"/>
      <w:marRight w:val="0"/>
      <w:marTop w:val="0"/>
      <w:marBottom w:val="0"/>
      <w:divBdr>
        <w:top w:val="none" w:sz="0" w:space="0" w:color="auto"/>
        <w:left w:val="none" w:sz="0" w:space="0" w:color="auto"/>
        <w:bottom w:val="none" w:sz="0" w:space="0" w:color="auto"/>
        <w:right w:val="none" w:sz="0" w:space="0" w:color="auto"/>
      </w:divBdr>
    </w:div>
    <w:div w:id="1863741656">
      <w:bodyDiv w:val="1"/>
      <w:marLeft w:val="0"/>
      <w:marRight w:val="0"/>
      <w:marTop w:val="0"/>
      <w:marBottom w:val="0"/>
      <w:divBdr>
        <w:top w:val="none" w:sz="0" w:space="0" w:color="auto"/>
        <w:left w:val="none" w:sz="0" w:space="0" w:color="auto"/>
        <w:bottom w:val="none" w:sz="0" w:space="0" w:color="auto"/>
        <w:right w:val="none" w:sz="0" w:space="0" w:color="auto"/>
      </w:divBdr>
    </w:div>
    <w:div w:id="1875998242">
      <w:bodyDiv w:val="1"/>
      <w:marLeft w:val="0"/>
      <w:marRight w:val="0"/>
      <w:marTop w:val="0"/>
      <w:marBottom w:val="0"/>
      <w:divBdr>
        <w:top w:val="none" w:sz="0" w:space="0" w:color="auto"/>
        <w:left w:val="none" w:sz="0" w:space="0" w:color="auto"/>
        <w:bottom w:val="none" w:sz="0" w:space="0" w:color="auto"/>
        <w:right w:val="none" w:sz="0" w:space="0" w:color="auto"/>
      </w:divBdr>
    </w:div>
    <w:div w:id="1904945983">
      <w:bodyDiv w:val="1"/>
      <w:marLeft w:val="0"/>
      <w:marRight w:val="0"/>
      <w:marTop w:val="0"/>
      <w:marBottom w:val="0"/>
      <w:divBdr>
        <w:top w:val="none" w:sz="0" w:space="0" w:color="auto"/>
        <w:left w:val="none" w:sz="0" w:space="0" w:color="auto"/>
        <w:bottom w:val="none" w:sz="0" w:space="0" w:color="auto"/>
        <w:right w:val="none" w:sz="0" w:space="0" w:color="auto"/>
      </w:divBdr>
    </w:div>
    <w:div w:id="1910118261">
      <w:bodyDiv w:val="1"/>
      <w:marLeft w:val="0"/>
      <w:marRight w:val="0"/>
      <w:marTop w:val="0"/>
      <w:marBottom w:val="0"/>
      <w:divBdr>
        <w:top w:val="none" w:sz="0" w:space="0" w:color="auto"/>
        <w:left w:val="none" w:sz="0" w:space="0" w:color="auto"/>
        <w:bottom w:val="none" w:sz="0" w:space="0" w:color="auto"/>
        <w:right w:val="none" w:sz="0" w:space="0" w:color="auto"/>
      </w:divBdr>
    </w:div>
    <w:div w:id="1935017856">
      <w:bodyDiv w:val="1"/>
      <w:marLeft w:val="0"/>
      <w:marRight w:val="0"/>
      <w:marTop w:val="0"/>
      <w:marBottom w:val="0"/>
      <w:divBdr>
        <w:top w:val="none" w:sz="0" w:space="0" w:color="auto"/>
        <w:left w:val="none" w:sz="0" w:space="0" w:color="auto"/>
        <w:bottom w:val="none" w:sz="0" w:space="0" w:color="auto"/>
        <w:right w:val="none" w:sz="0" w:space="0" w:color="auto"/>
      </w:divBdr>
    </w:div>
    <w:div w:id="1937054399">
      <w:bodyDiv w:val="1"/>
      <w:marLeft w:val="0"/>
      <w:marRight w:val="0"/>
      <w:marTop w:val="0"/>
      <w:marBottom w:val="0"/>
      <w:divBdr>
        <w:top w:val="none" w:sz="0" w:space="0" w:color="auto"/>
        <w:left w:val="none" w:sz="0" w:space="0" w:color="auto"/>
        <w:bottom w:val="none" w:sz="0" w:space="0" w:color="auto"/>
        <w:right w:val="none" w:sz="0" w:space="0" w:color="auto"/>
      </w:divBdr>
    </w:div>
    <w:div w:id="1941989800">
      <w:bodyDiv w:val="1"/>
      <w:marLeft w:val="0"/>
      <w:marRight w:val="0"/>
      <w:marTop w:val="0"/>
      <w:marBottom w:val="0"/>
      <w:divBdr>
        <w:top w:val="none" w:sz="0" w:space="0" w:color="auto"/>
        <w:left w:val="none" w:sz="0" w:space="0" w:color="auto"/>
        <w:bottom w:val="none" w:sz="0" w:space="0" w:color="auto"/>
        <w:right w:val="none" w:sz="0" w:space="0" w:color="auto"/>
      </w:divBdr>
    </w:div>
    <w:div w:id="1945578135">
      <w:bodyDiv w:val="1"/>
      <w:marLeft w:val="0"/>
      <w:marRight w:val="0"/>
      <w:marTop w:val="0"/>
      <w:marBottom w:val="0"/>
      <w:divBdr>
        <w:top w:val="none" w:sz="0" w:space="0" w:color="auto"/>
        <w:left w:val="none" w:sz="0" w:space="0" w:color="auto"/>
        <w:bottom w:val="none" w:sz="0" w:space="0" w:color="auto"/>
        <w:right w:val="none" w:sz="0" w:space="0" w:color="auto"/>
      </w:divBdr>
    </w:div>
    <w:div w:id="1946690332">
      <w:bodyDiv w:val="1"/>
      <w:marLeft w:val="0"/>
      <w:marRight w:val="0"/>
      <w:marTop w:val="0"/>
      <w:marBottom w:val="0"/>
      <w:divBdr>
        <w:top w:val="none" w:sz="0" w:space="0" w:color="auto"/>
        <w:left w:val="none" w:sz="0" w:space="0" w:color="auto"/>
        <w:bottom w:val="none" w:sz="0" w:space="0" w:color="auto"/>
        <w:right w:val="none" w:sz="0" w:space="0" w:color="auto"/>
      </w:divBdr>
    </w:div>
    <w:div w:id="1952546390">
      <w:bodyDiv w:val="1"/>
      <w:marLeft w:val="0"/>
      <w:marRight w:val="0"/>
      <w:marTop w:val="0"/>
      <w:marBottom w:val="0"/>
      <w:divBdr>
        <w:top w:val="none" w:sz="0" w:space="0" w:color="auto"/>
        <w:left w:val="none" w:sz="0" w:space="0" w:color="auto"/>
        <w:bottom w:val="none" w:sz="0" w:space="0" w:color="auto"/>
        <w:right w:val="none" w:sz="0" w:space="0" w:color="auto"/>
      </w:divBdr>
    </w:div>
    <w:div w:id="1955865910">
      <w:bodyDiv w:val="1"/>
      <w:marLeft w:val="0"/>
      <w:marRight w:val="0"/>
      <w:marTop w:val="0"/>
      <w:marBottom w:val="0"/>
      <w:divBdr>
        <w:top w:val="none" w:sz="0" w:space="0" w:color="auto"/>
        <w:left w:val="none" w:sz="0" w:space="0" w:color="auto"/>
        <w:bottom w:val="none" w:sz="0" w:space="0" w:color="auto"/>
        <w:right w:val="none" w:sz="0" w:space="0" w:color="auto"/>
      </w:divBdr>
    </w:div>
    <w:div w:id="1956407319">
      <w:bodyDiv w:val="1"/>
      <w:marLeft w:val="0"/>
      <w:marRight w:val="0"/>
      <w:marTop w:val="0"/>
      <w:marBottom w:val="0"/>
      <w:divBdr>
        <w:top w:val="none" w:sz="0" w:space="0" w:color="auto"/>
        <w:left w:val="none" w:sz="0" w:space="0" w:color="auto"/>
        <w:bottom w:val="none" w:sz="0" w:space="0" w:color="auto"/>
        <w:right w:val="none" w:sz="0" w:space="0" w:color="auto"/>
      </w:divBdr>
    </w:div>
    <w:div w:id="1966081501">
      <w:bodyDiv w:val="1"/>
      <w:marLeft w:val="0"/>
      <w:marRight w:val="0"/>
      <w:marTop w:val="0"/>
      <w:marBottom w:val="0"/>
      <w:divBdr>
        <w:top w:val="none" w:sz="0" w:space="0" w:color="auto"/>
        <w:left w:val="none" w:sz="0" w:space="0" w:color="auto"/>
        <w:bottom w:val="none" w:sz="0" w:space="0" w:color="auto"/>
        <w:right w:val="none" w:sz="0" w:space="0" w:color="auto"/>
      </w:divBdr>
    </w:div>
    <w:div w:id="1974628433">
      <w:bodyDiv w:val="1"/>
      <w:marLeft w:val="0"/>
      <w:marRight w:val="0"/>
      <w:marTop w:val="0"/>
      <w:marBottom w:val="0"/>
      <w:divBdr>
        <w:top w:val="none" w:sz="0" w:space="0" w:color="auto"/>
        <w:left w:val="none" w:sz="0" w:space="0" w:color="auto"/>
        <w:bottom w:val="none" w:sz="0" w:space="0" w:color="auto"/>
        <w:right w:val="none" w:sz="0" w:space="0" w:color="auto"/>
      </w:divBdr>
    </w:div>
    <w:div w:id="1995641000">
      <w:bodyDiv w:val="1"/>
      <w:marLeft w:val="0"/>
      <w:marRight w:val="0"/>
      <w:marTop w:val="0"/>
      <w:marBottom w:val="0"/>
      <w:divBdr>
        <w:top w:val="none" w:sz="0" w:space="0" w:color="auto"/>
        <w:left w:val="none" w:sz="0" w:space="0" w:color="auto"/>
        <w:bottom w:val="none" w:sz="0" w:space="0" w:color="auto"/>
        <w:right w:val="none" w:sz="0" w:space="0" w:color="auto"/>
      </w:divBdr>
    </w:div>
    <w:div w:id="2003969107">
      <w:bodyDiv w:val="1"/>
      <w:marLeft w:val="0"/>
      <w:marRight w:val="0"/>
      <w:marTop w:val="0"/>
      <w:marBottom w:val="0"/>
      <w:divBdr>
        <w:top w:val="none" w:sz="0" w:space="0" w:color="auto"/>
        <w:left w:val="none" w:sz="0" w:space="0" w:color="auto"/>
        <w:bottom w:val="none" w:sz="0" w:space="0" w:color="auto"/>
        <w:right w:val="none" w:sz="0" w:space="0" w:color="auto"/>
      </w:divBdr>
    </w:div>
    <w:div w:id="2011521796">
      <w:bodyDiv w:val="1"/>
      <w:marLeft w:val="0"/>
      <w:marRight w:val="0"/>
      <w:marTop w:val="0"/>
      <w:marBottom w:val="0"/>
      <w:divBdr>
        <w:top w:val="none" w:sz="0" w:space="0" w:color="auto"/>
        <w:left w:val="none" w:sz="0" w:space="0" w:color="auto"/>
        <w:bottom w:val="none" w:sz="0" w:space="0" w:color="auto"/>
        <w:right w:val="none" w:sz="0" w:space="0" w:color="auto"/>
      </w:divBdr>
    </w:div>
    <w:div w:id="2012485098">
      <w:bodyDiv w:val="1"/>
      <w:marLeft w:val="0"/>
      <w:marRight w:val="0"/>
      <w:marTop w:val="0"/>
      <w:marBottom w:val="0"/>
      <w:divBdr>
        <w:top w:val="none" w:sz="0" w:space="0" w:color="auto"/>
        <w:left w:val="none" w:sz="0" w:space="0" w:color="auto"/>
        <w:bottom w:val="none" w:sz="0" w:space="0" w:color="auto"/>
        <w:right w:val="none" w:sz="0" w:space="0" w:color="auto"/>
      </w:divBdr>
    </w:div>
    <w:div w:id="2017460490">
      <w:bodyDiv w:val="1"/>
      <w:marLeft w:val="0"/>
      <w:marRight w:val="0"/>
      <w:marTop w:val="0"/>
      <w:marBottom w:val="0"/>
      <w:divBdr>
        <w:top w:val="none" w:sz="0" w:space="0" w:color="auto"/>
        <w:left w:val="none" w:sz="0" w:space="0" w:color="auto"/>
        <w:bottom w:val="none" w:sz="0" w:space="0" w:color="auto"/>
        <w:right w:val="none" w:sz="0" w:space="0" w:color="auto"/>
      </w:divBdr>
    </w:div>
    <w:div w:id="2019842326">
      <w:bodyDiv w:val="1"/>
      <w:marLeft w:val="0"/>
      <w:marRight w:val="0"/>
      <w:marTop w:val="0"/>
      <w:marBottom w:val="0"/>
      <w:divBdr>
        <w:top w:val="none" w:sz="0" w:space="0" w:color="auto"/>
        <w:left w:val="none" w:sz="0" w:space="0" w:color="auto"/>
        <w:bottom w:val="none" w:sz="0" w:space="0" w:color="auto"/>
        <w:right w:val="none" w:sz="0" w:space="0" w:color="auto"/>
      </w:divBdr>
    </w:div>
    <w:div w:id="2028752257">
      <w:bodyDiv w:val="1"/>
      <w:marLeft w:val="0"/>
      <w:marRight w:val="0"/>
      <w:marTop w:val="0"/>
      <w:marBottom w:val="0"/>
      <w:divBdr>
        <w:top w:val="none" w:sz="0" w:space="0" w:color="auto"/>
        <w:left w:val="none" w:sz="0" w:space="0" w:color="auto"/>
        <w:bottom w:val="none" w:sz="0" w:space="0" w:color="auto"/>
        <w:right w:val="none" w:sz="0" w:space="0" w:color="auto"/>
      </w:divBdr>
    </w:div>
    <w:div w:id="2031950882">
      <w:bodyDiv w:val="1"/>
      <w:marLeft w:val="0"/>
      <w:marRight w:val="0"/>
      <w:marTop w:val="0"/>
      <w:marBottom w:val="0"/>
      <w:divBdr>
        <w:top w:val="none" w:sz="0" w:space="0" w:color="auto"/>
        <w:left w:val="none" w:sz="0" w:space="0" w:color="auto"/>
        <w:bottom w:val="none" w:sz="0" w:space="0" w:color="auto"/>
        <w:right w:val="none" w:sz="0" w:space="0" w:color="auto"/>
      </w:divBdr>
    </w:div>
    <w:div w:id="2044402423">
      <w:bodyDiv w:val="1"/>
      <w:marLeft w:val="0"/>
      <w:marRight w:val="0"/>
      <w:marTop w:val="0"/>
      <w:marBottom w:val="0"/>
      <w:divBdr>
        <w:top w:val="none" w:sz="0" w:space="0" w:color="auto"/>
        <w:left w:val="none" w:sz="0" w:space="0" w:color="auto"/>
        <w:bottom w:val="none" w:sz="0" w:space="0" w:color="auto"/>
        <w:right w:val="none" w:sz="0" w:space="0" w:color="auto"/>
      </w:divBdr>
    </w:div>
    <w:div w:id="2053187209">
      <w:bodyDiv w:val="1"/>
      <w:marLeft w:val="0"/>
      <w:marRight w:val="0"/>
      <w:marTop w:val="0"/>
      <w:marBottom w:val="0"/>
      <w:divBdr>
        <w:top w:val="none" w:sz="0" w:space="0" w:color="auto"/>
        <w:left w:val="none" w:sz="0" w:space="0" w:color="auto"/>
        <w:bottom w:val="none" w:sz="0" w:space="0" w:color="auto"/>
        <w:right w:val="none" w:sz="0" w:space="0" w:color="auto"/>
      </w:divBdr>
    </w:div>
    <w:div w:id="2055961261">
      <w:bodyDiv w:val="1"/>
      <w:marLeft w:val="0"/>
      <w:marRight w:val="0"/>
      <w:marTop w:val="0"/>
      <w:marBottom w:val="0"/>
      <w:divBdr>
        <w:top w:val="none" w:sz="0" w:space="0" w:color="auto"/>
        <w:left w:val="none" w:sz="0" w:space="0" w:color="auto"/>
        <w:bottom w:val="none" w:sz="0" w:space="0" w:color="auto"/>
        <w:right w:val="none" w:sz="0" w:space="0" w:color="auto"/>
      </w:divBdr>
    </w:div>
    <w:div w:id="2062751895">
      <w:bodyDiv w:val="1"/>
      <w:marLeft w:val="0"/>
      <w:marRight w:val="0"/>
      <w:marTop w:val="0"/>
      <w:marBottom w:val="0"/>
      <w:divBdr>
        <w:top w:val="none" w:sz="0" w:space="0" w:color="auto"/>
        <w:left w:val="none" w:sz="0" w:space="0" w:color="auto"/>
        <w:bottom w:val="none" w:sz="0" w:space="0" w:color="auto"/>
        <w:right w:val="none" w:sz="0" w:space="0" w:color="auto"/>
      </w:divBdr>
    </w:div>
    <w:div w:id="2069330113">
      <w:marLeft w:val="0"/>
      <w:marRight w:val="0"/>
      <w:marTop w:val="0"/>
      <w:marBottom w:val="0"/>
      <w:divBdr>
        <w:top w:val="none" w:sz="0" w:space="0" w:color="auto"/>
        <w:left w:val="none" w:sz="0" w:space="0" w:color="auto"/>
        <w:bottom w:val="none" w:sz="0" w:space="0" w:color="auto"/>
        <w:right w:val="none" w:sz="0" w:space="0" w:color="auto"/>
      </w:divBdr>
    </w:div>
    <w:div w:id="2092198545">
      <w:bodyDiv w:val="1"/>
      <w:marLeft w:val="0"/>
      <w:marRight w:val="0"/>
      <w:marTop w:val="0"/>
      <w:marBottom w:val="0"/>
      <w:divBdr>
        <w:top w:val="none" w:sz="0" w:space="0" w:color="auto"/>
        <w:left w:val="none" w:sz="0" w:space="0" w:color="auto"/>
        <w:bottom w:val="none" w:sz="0" w:space="0" w:color="auto"/>
        <w:right w:val="none" w:sz="0" w:space="0" w:color="auto"/>
      </w:divBdr>
    </w:div>
    <w:div w:id="2096201012">
      <w:bodyDiv w:val="1"/>
      <w:marLeft w:val="0"/>
      <w:marRight w:val="0"/>
      <w:marTop w:val="0"/>
      <w:marBottom w:val="0"/>
      <w:divBdr>
        <w:top w:val="none" w:sz="0" w:space="0" w:color="auto"/>
        <w:left w:val="none" w:sz="0" w:space="0" w:color="auto"/>
        <w:bottom w:val="none" w:sz="0" w:space="0" w:color="auto"/>
        <w:right w:val="none" w:sz="0" w:space="0" w:color="auto"/>
      </w:divBdr>
    </w:div>
    <w:div w:id="2100127805">
      <w:bodyDiv w:val="1"/>
      <w:marLeft w:val="0"/>
      <w:marRight w:val="0"/>
      <w:marTop w:val="0"/>
      <w:marBottom w:val="0"/>
      <w:divBdr>
        <w:top w:val="none" w:sz="0" w:space="0" w:color="auto"/>
        <w:left w:val="none" w:sz="0" w:space="0" w:color="auto"/>
        <w:bottom w:val="none" w:sz="0" w:space="0" w:color="auto"/>
        <w:right w:val="none" w:sz="0" w:space="0" w:color="auto"/>
      </w:divBdr>
    </w:div>
    <w:div w:id="2112042678">
      <w:bodyDiv w:val="1"/>
      <w:marLeft w:val="0"/>
      <w:marRight w:val="0"/>
      <w:marTop w:val="0"/>
      <w:marBottom w:val="0"/>
      <w:divBdr>
        <w:top w:val="none" w:sz="0" w:space="0" w:color="auto"/>
        <w:left w:val="none" w:sz="0" w:space="0" w:color="auto"/>
        <w:bottom w:val="none" w:sz="0" w:space="0" w:color="auto"/>
        <w:right w:val="none" w:sz="0" w:space="0" w:color="auto"/>
      </w:divBdr>
    </w:div>
    <w:div w:id="2113091293">
      <w:bodyDiv w:val="1"/>
      <w:marLeft w:val="0"/>
      <w:marRight w:val="0"/>
      <w:marTop w:val="0"/>
      <w:marBottom w:val="0"/>
      <w:divBdr>
        <w:top w:val="none" w:sz="0" w:space="0" w:color="auto"/>
        <w:left w:val="none" w:sz="0" w:space="0" w:color="auto"/>
        <w:bottom w:val="none" w:sz="0" w:space="0" w:color="auto"/>
        <w:right w:val="none" w:sz="0" w:space="0" w:color="auto"/>
      </w:divBdr>
    </w:div>
    <w:div w:id="2119063263">
      <w:bodyDiv w:val="1"/>
      <w:marLeft w:val="0"/>
      <w:marRight w:val="0"/>
      <w:marTop w:val="0"/>
      <w:marBottom w:val="0"/>
      <w:divBdr>
        <w:top w:val="none" w:sz="0" w:space="0" w:color="auto"/>
        <w:left w:val="none" w:sz="0" w:space="0" w:color="auto"/>
        <w:bottom w:val="none" w:sz="0" w:space="0" w:color="auto"/>
        <w:right w:val="none" w:sz="0" w:space="0" w:color="auto"/>
      </w:divBdr>
    </w:div>
    <w:div w:id="211917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bettinger@stanford.edu" TargetMode="External"/><Relationship Id="rId18" Type="http://schemas.openxmlformats.org/officeDocument/2006/relationships/hyperlink" Target="http://190.25.231.249/metadatos/index.php/catalo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historico.unperiodico.unal.edu.co/Ediciones/72/05.ht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juansaav@usc.edu" TargetMode="External"/><Relationship Id="rId25" Type="http://schemas.openxmlformats.org/officeDocument/2006/relationships/hyperlink" Target="http://www.dps.gov.co/Ingreso_Social/FamiliasenAccion.aspx" TargetMode="External"/><Relationship Id="rId2" Type="http://schemas.openxmlformats.org/officeDocument/2006/relationships/customXml" Target="../customXml/item2.xml"/><Relationship Id="rId16" Type="http://schemas.openxmlformats.org/officeDocument/2006/relationships/hyperlink" Target="mailto:cmedindu@banrep.gov.co" TargetMode="External"/><Relationship Id="rId20" Type="http://schemas.openxmlformats.org/officeDocument/2006/relationships/hyperlink" Target="http://menweb.mineducacion.gov.co/seguimiento/estadisticas/principal.php?seccion=9&amp;id_categoria=2&amp;consulta=coberturan_nivel&amp;nivel=9&amp;dpto=&amp;et=&amp;mun=&amp;ins=&amp;sede=&amp;consulta_detalle=e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maurice.kugler@gmail.com"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menweb.mineducacion.gov.co/seguimiento/estadisticas/principal.php?seccion=2&amp;consulta_detalle=et&amp;id_categoria=2&amp;nivel=2&amp;et=&amp;consulta=mat_sector"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kremer@fas.harvard.edu" TargetMode="External"/><Relationship Id="rId22" Type="http://schemas.openxmlformats.org/officeDocument/2006/relationships/hyperlink" Target="http://www.un.org/esa/population/publications/worldmarriage/worldmarriagepatterns2000.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8F91C-A025-4D11-9921-DC3E2E02B18E}">
  <ds:schemaRefs>
    <ds:schemaRef ds:uri="http://schemas.openxmlformats.org/officeDocument/2006/bibliography"/>
  </ds:schemaRefs>
</ds:datastoreItem>
</file>

<file path=customXml/itemProps2.xml><?xml version="1.0" encoding="utf-8"?>
<ds:datastoreItem xmlns:ds="http://schemas.openxmlformats.org/officeDocument/2006/customXml" ds:itemID="{AFC3C009-677D-4818-9932-C17CB580F5CF}">
  <ds:schemaRefs>
    <ds:schemaRef ds:uri="http://schemas.openxmlformats.org/officeDocument/2006/bibliography"/>
  </ds:schemaRefs>
</ds:datastoreItem>
</file>

<file path=customXml/itemProps3.xml><?xml version="1.0" encoding="utf-8"?>
<ds:datastoreItem xmlns:ds="http://schemas.openxmlformats.org/officeDocument/2006/customXml" ds:itemID="{02402363-9307-4984-A92D-C0B0D5778815}">
  <ds:schemaRefs>
    <ds:schemaRef ds:uri="http://schemas.openxmlformats.org/officeDocument/2006/bibliography"/>
  </ds:schemaRefs>
</ds:datastoreItem>
</file>

<file path=customXml/itemProps4.xml><?xml version="1.0" encoding="utf-8"?>
<ds:datastoreItem xmlns:ds="http://schemas.openxmlformats.org/officeDocument/2006/customXml" ds:itemID="{0EB42DC1-6A1E-4AB5-8D28-CA7B7F221103}">
  <ds:schemaRefs>
    <ds:schemaRef ds:uri="http://schemas.openxmlformats.org/officeDocument/2006/bibliography"/>
  </ds:schemaRefs>
</ds:datastoreItem>
</file>

<file path=customXml/itemProps5.xml><?xml version="1.0" encoding="utf-8"?>
<ds:datastoreItem xmlns:ds="http://schemas.openxmlformats.org/officeDocument/2006/customXml" ds:itemID="{B93AEF3F-C259-4FCA-BB0E-2B91E8C78AF7}">
  <ds:schemaRefs>
    <ds:schemaRef ds:uri="http://schemas.openxmlformats.org/officeDocument/2006/bibliography"/>
  </ds:schemaRefs>
</ds:datastoreItem>
</file>

<file path=customXml/itemProps6.xml><?xml version="1.0" encoding="utf-8"?>
<ds:datastoreItem xmlns:ds="http://schemas.openxmlformats.org/officeDocument/2006/customXml" ds:itemID="{7B29608C-859B-40E0-9FF6-478AFD8D1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16433</Words>
  <Characters>93673</Characters>
  <Application>Microsoft Office Word</Application>
  <DocSecurity>4</DocSecurity>
  <Lines>780</Lines>
  <Paragraphs>219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Collegiate and Labor Market Effects of Vouchers for Private Schooling</vt:lpstr>
      <vt:lpstr>Collegiate and Labor Market Effects of Vouchers for Private Schooling</vt:lpstr>
    </vt:vector>
  </TitlesOfParts>
  <Company>The RAND Corporation</Company>
  <LinksUpToDate>false</LinksUpToDate>
  <CharactersWithSpaces>109887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Collegiate and Labor Market Effects of Vouchers for Private Schooling</dc:title>
  <dc:creator>The RAND Corporation</dc:creator>
  <cp:lastModifiedBy>Chloe Smith</cp:lastModifiedBy>
  <cp:revision>2</cp:revision>
  <cp:lastPrinted>2016-08-05T17:39:00Z</cp:lastPrinted>
  <dcterms:created xsi:type="dcterms:W3CDTF">2016-09-26T09:44:00Z</dcterms:created>
  <dcterms:modified xsi:type="dcterms:W3CDTF">2016-09-26T09:44:00Z</dcterms:modified>
</cp:coreProperties>
</file>