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734FD3" w14:textId="5C190F0C" w:rsidR="003966C1" w:rsidRDefault="001E3033" w:rsidP="003966C1">
      <w:pPr>
        <w:jc w:val="right"/>
        <w:rPr>
          <w:rFonts w:eastAsia="Times New Roman" w:cs="Times New Roman"/>
          <w:color w:val="222222"/>
          <w:szCs w:val="24"/>
        </w:rPr>
      </w:pPr>
      <w:r>
        <w:rPr>
          <w:rFonts w:eastAsia="Times New Roman" w:cs="Times New Roman"/>
          <w:color w:val="222222"/>
          <w:szCs w:val="24"/>
        </w:rPr>
        <w:t>January 2018</w:t>
      </w:r>
    </w:p>
    <w:p w14:paraId="6D74D52F" w14:textId="77777777" w:rsidR="006F2D0B" w:rsidRDefault="006F2D0B" w:rsidP="003966C1">
      <w:pPr>
        <w:jc w:val="right"/>
        <w:rPr>
          <w:rFonts w:eastAsia="Times New Roman" w:cs="Times New Roman"/>
          <w:color w:val="222222"/>
          <w:szCs w:val="24"/>
        </w:rPr>
      </w:pPr>
    </w:p>
    <w:p w14:paraId="06CA52AF" w14:textId="77777777" w:rsidR="003966C1" w:rsidRDefault="003966C1" w:rsidP="003966C1">
      <w:pPr>
        <w:jc w:val="right"/>
        <w:rPr>
          <w:rFonts w:eastAsia="Times New Roman" w:cs="Times New Roman"/>
          <w:color w:val="222222"/>
          <w:szCs w:val="24"/>
        </w:rPr>
      </w:pPr>
    </w:p>
    <w:p w14:paraId="443D6AF8" w14:textId="22E42C97" w:rsidR="00E44682" w:rsidRPr="006F2D0B" w:rsidRDefault="00053736" w:rsidP="00E44682">
      <w:pPr>
        <w:jc w:val="center"/>
        <w:rPr>
          <w:rFonts w:eastAsia="Times New Roman" w:cs="Times New Roman"/>
          <w:color w:val="222222"/>
          <w:szCs w:val="24"/>
        </w:rPr>
      </w:pPr>
      <w:r>
        <w:rPr>
          <w:rFonts w:eastAsia="Times New Roman" w:cs="Times New Roman"/>
          <w:bCs/>
          <w:color w:val="222222"/>
          <w:szCs w:val="24"/>
        </w:rPr>
        <w:t xml:space="preserve">THE IMPACT OF </w:t>
      </w:r>
      <w:r w:rsidR="000F7C52">
        <w:rPr>
          <w:rFonts w:eastAsia="Times New Roman" w:cs="Times New Roman"/>
          <w:bCs/>
          <w:color w:val="222222"/>
          <w:szCs w:val="24"/>
        </w:rPr>
        <w:t>WORLD WAR II</w:t>
      </w:r>
      <w:r>
        <w:rPr>
          <w:rFonts w:eastAsia="Times New Roman" w:cs="Times New Roman"/>
          <w:bCs/>
          <w:color w:val="222222"/>
          <w:szCs w:val="24"/>
        </w:rPr>
        <w:t xml:space="preserve"> ON</w:t>
      </w:r>
      <w:r w:rsidR="006F2D0B" w:rsidRPr="006F2D0B">
        <w:rPr>
          <w:rFonts w:eastAsia="Times New Roman" w:cs="Times New Roman"/>
          <w:bCs/>
          <w:color w:val="222222"/>
          <w:szCs w:val="24"/>
        </w:rPr>
        <w:t xml:space="preserve"> THE GROWTH OF U.S. POTENTIAL OUTPUT</w:t>
      </w:r>
    </w:p>
    <w:p w14:paraId="22471F76" w14:textId="77777777" w:rsidR="003966C1" w:rsidRDefault="003966C1" w:rsidP="003966C1">
      <w:pPr>
        <w:jc w:val="center"/>
        <w:rPr>
          <w:rFonts w:eastAsia="Times New Roman" w:cs="Times New Roman"/>
          <w:color w:val="222222"/>
          <w:szCs w:val="24"/>
        </w:rPr>
      </w:pPr>
    </w:p>
    <w:p w14:paraId="1D8EBE26" w14:textId="77777777" w:rsidR="003966C1" w:rsidRDefault="003966C1" w:rsidP="003966C1">
      <w:pPr>
        <w:jc w:val="center"/>
        <w:rPr>
          <w:rFonts w:eastAsia="Times New Roman" w:cs="Times New Roman"/>
          <w:color w:val="222222"/>
          <w:szCs w:val="24"/>
        </w:rPr>
      </w:pPr>
      <w:r>
        <w:rPr>
          <w:rFonts w:eastAsia="Times New Roman" w:cs="Times New Roman"/>
          <w:color w:val="222222"/>
          <w:szCs w:val="24"/>
        </w:rPr>
        <w:t>by</w:t>
      </w:r>
    </w:p>
    <w:p w14:paraId="082167D6" w14:textId="77777777" w:rsidR="003966C1" w:rsidRDefault="003966C1" w:rsidP="003966C1">
      <w:pPr>
        <w:jc w:val="center"/>
        <w:rPr>
          <w:rFonts w:eastAsia="Times New Roman" w:cs="Times New Roman"/>
          <w:color w:val="222222"/>
          <w:szCs w:val="24"/>
        </w:rPr>
      </w:pPr>
    </w:p>
    <w:p w14:paraId="049940C8" w14:textId="2FE2238B" w:rsidR="003966C1" w:rsidRDefault="003966C1" w:rsidP="003966C1">
      <w:pPr>
        <w:jc w:val="center"/>
        <w:rPr>
          <w:rStyle w:val="Hyperlink"/>
          <w:rFonts w:eastAsia="Times New Roman" w:cs="Times New Roman"/>
          <w:szCs w:val="24"/>
        </w:rPr>
      </w:pPr>
      <w:r>
        <w:rPr>
          <w:rFonts w:eastAsia="Times New Roman" w:cs="Times New Roman"/>
          <w:color w:val="222222"/>
          <w:szCs w:val="24"/>
        </w:rPr>
        <w:t>Alexander J. Field</w:t>
      </w:r>
      <w:r>
        <w:rPr>
          <w:rFonts w:eastAsia="Times New Roman" w:cs="Times New Roman"/>
          <w:color w:val="222222"/>
          <w:szCs w:val="24"/>
        </w:rPr>
        <w:br/>
        <w:t>Department of Economics</w:t>
      </w:r>
      <w:r>
        <w:rPr>
          <w:rFonts w:eastAsia="Times New Roman" w:cs="Times New Roman"/>
          <w:color w:val="222222"/>
          <w:szCs w:val="24"/>
        </w:rPr>
        <w:br/>
        <w:t>Santa Clara University</w:t>
      </w:r>
      <w:r>
        <w:rPr>
          <w:rFonts w:eastAsia="Times New Roman" w:cs="Times New Roman"/>
          <w:color w:val="222222"/>
          <w:szCs w:val="24"/>
        </w:rPr>
        <w:br/>
        <w:t>Santa Clara, CA 95053</w:t>
      </w:r>
      <w:r w:rsidR="00B05419">
        <w:rPr>
          <w:rFonts w:eastAsia="Times New Roman" w:cs="Times New Roman"/>
          <w:color w:val="222222"/>
          <w:szCs w:val="24"/>
        </w:rPr>
        <w:br/>
        <w:t>(408) 554-4348</w:t>
      </w:r>
      <w:r w:rsidR="00B05419">
        <w:rPr>
          <w:rFonts w:eastAsia="Times New Roman" w:cs="Times New Roman"/>
          <w:color w:val="222222"/>
          <w:szCs w:val="24"/>
        </w:rPr>
        <w:br/>
        <w:t>(408) 554-2331 (fax)</w:t>
      </w:r>
      <w:r>
        <w:rPr>
          <w:rFonts w:eastAsia="Times New Roman" w:cs="Times New Roman"/>
          <w:color w:val="222222"/>
          <w:szCs w:val="24"/>
        </w:rPr>
        <w:br/>
      </w:r>
      <w:hyperlink r:id="rId8" w:history="1">
        <w:r w:rsidRPr="00AD5869">
          <w:rPr>
            <w:rStyle w:val="Hyperlink"/>
            <w:rFonts w:eastAsia="Times New Roman" w:cs="Times New Roman"/>
            <w:szCs w:val="24"/>
          </w:rPr>
          <w:t>afield@scu.edu</w:t>
        </w:r>
      </w:hyperlink>
    </w:p>
    <w:p w14:paraId="40B8CA49" w14:textId="77777777" w:rsidR="00B05419" w:rsidRDefault="00B05419" w:rsidP="00C928B3">
      <w:pPr>
        <w:rPr>
          <w:rFonts w:eastAsia="Times New Roman" w:cs="Times New Roman"/>
          <w:color w:val="222222"/>
          <w:szCs w:val="24"/>
        </w:rPr>
      </w:pPr>
    </w:p>
    <w:p w14:paraId="36B06741" w14:textId="77777777" w:rsidR="00DA3E9A" w:rsidRDefault="00DA3E9A" w:rsidP="00C928B3">
      <w:pPr>
        <w:rPr>
          <w:rFonts w:eastAsia="Times New Roman" w:cs="Times New Roman"/>
          <w:color w:val="222222"/>
          <w:szCs w:val="24"/>
        </w:rPr>
      </w:pPr>
    </w:p>
    <w:p w14:paraId="24EDDF1F" w14:textId="77777777" w:rsidR="00DA3E9A" w:rsidRDefault="00DA3E9A" w:rsidP="00C928B3">
      <w:pPr>
        <w:rPr>
          <w:rFonts w:eastAsia="Times New Roman" w:cs="Times New Roman"/>
          <w:color w:val="222222"/>
          <w:szCs w:val="24"/>
        </w:rPr>
      </w:pPr>
    </w:p>
    <w:p w14:paraId="1CEE7B2D" w14:textId="48B72F4F" w:rsidR="003966C1" w:rsidRDefault="003966C1" w:rsidP="003966C1">
      <w:pPr>
        <w:jc w:val="center"/>
        <w:rPr>
          <w:rFonts w:eastAsia="Times New Roman" w:cs="Times New Roman"/>
          <w:color w:val="222222"/>
          <w:szCs w:val="24"/>
        </w:rPr>
      </w:pPr>
      <w:r>
        <w:rPr>
          <w:rFonts w:eastAsia="Times New Roman" w:cs="Times New Roman"/>
          <w:color w:val="222222"/>
          <w:szCs w:val="24"/>
        </w:rPr>
        <w:t>ABSTRACT</w:t>
      </w:r>
    </w:p>
    <w:p w14:paraId="3E732DCF" w14:textId="77777777" w:rsidR="00045986" w:rsidRDefault="00045986" w:rsidP="003966C1">
      <w:pPr>
        <w:jc w:val="center"/>
        <w:rPr>
          <w:rFonts w:eastAsia="Times New Roman" w:cs="Times New Roman"/>
          <w:color w:val="222222"/>
          <w:szCs w:val="24"/>
        </w:rPr>
      </w:pPr>
    </w:p>
    <w:p w14:paraId="29C2C42E" w14:textId="154099B7" w:rsidR="001E0DF5" w:rsidRDefault="00C3151D" w:rsidP="003966C1">
      <w:pPr>
        <w:shd w:val="clear" w:color="auto" w:fill="FFFFFF"/>
        <w:spacing w:line="240" w:lineRule="auto"/>
        <w:rPr>
          <w:rFonts w:eastAsia="Times New Roman" w:cs="Times New Roman"/>
          <w:color w:val="222222"/>
          <w:szCs w:val="24"/>
        </w:rPr>
      </w:pPr>
      <w:r>
        <w:t xml:space="preserve">Claims </w:t>
      </w:r>
      <w:r w:rsidR="009378D0" w:rsidRPr="009378D0">
        <w:t>that</w:t>
      </w:r>
      <w:r>
        <w:t xml:space="preserve"> the experience of</w:t>
      </w:r>
      <w:r w:rsidR="009378D0" w:rsidRPr="009378D0">
        <w:t xml:space="preserve"> economic mobilization between 1942 and 1945 laid the supply foundations for output and productivity growth after the war have formed the basis of the conventional wisdom for decades. This paper argues, in contrast, that the extraordinary mass production of ships, aircraft, and other munitions during the Second World War had little relevance for the postwar period because the wartime output mix and implicit factor prices were unique to that period, never to be repeated.  </w:t>
      </w:r>
      <w:r w:rsidR="00986539">
        <w:t>Measuring b</w:t>
      </w:r>
      <w:r w:rsidR="009378D0" w:rsidRPr="009378D0">
        <w:t xml:space="preserve">etween 1941 and 1948, total factor productivity within manufacturing declined. </w:t>
      </w:r>
      <w:r w:rsidR="006A4A81">
        <w:t xml:space="preserve">Considering </w:t>
      </w:r>
      <w:r w:rsidR="007C2E2D">
        <w:t xml:space="preserve">together </w:t>
      </w:r>
      <w:r w:rsidR="006A4A81">
        <w:t>the effects on TFP, the labor force, and the physical capital stock, the</w:t>
      </w:r>
      <w:r w:rsidR="009378D0" w:rsidRPr="009378D0">
        <w:t xml:space="preserve"> impact of World War II on the </w:t>
      </w:r>
      <w:r w:rsidR="001E3033">
        <w:t xml:space="preserve">level </w:t>
      </w:r>
      <w:r w:rsidR="000251EE">
        <w:t xml:space="preserve">and </w:t>
      </w:r>
      <w:r w:rsidR="006A4A81">
        <w:t>trajectory</w:t>
      </w:r>
      <w:r w:rsidR="009378D0" w:rsidRPr="009378D0">
        <w:t xml:space="preserve"> of US potential output following the war was, on balance, </w:t>
      </w:r>
      <w:r w:rsidR="00EF5C4B">
        <w:t xml:space="preserve">almost certainly </w:t>
      </w:r>
      <w:r w:rsidR="004C2868">
        <w:t>negative</w:t>
      </w:r>
      <w:r w:rsidR="00B9761E">
        <w:t>.</w:t>
      </w:r>
      <w:r w:rsidR="009378D0" w:rsidRPr="009378D0">
        <w:t xml:space="preserve"> </w:t>
      </w:r>
      <w:r w:rsidR="00197C9D">
        <w:rPr>
          <w:rFonts w:eastAsia="Times New Roman" w:cs="Times New Roman"/>
          <w:color w:val="222222"/>
          <w:szCs w:val="24"/>
        </w:rPr>
        <w:t>(O47, O51, N12)</w:t>
      </w:r>
    </w:p>
    <w:p w14:paraId="2DD31151" w14:textId="77777777" w:rsidR="001E0DF5" w:rsidRDefault="001E0DF5">
      <w:pPr>
        <w:rPr>
          <w:rFonts w:eastAsia="Times New Roman" w:cs="Times New Roman"/>
          <w:color w:val="222222"/>
          <w:szCs w:val="24"/>
        </w:rPr>
      </w:pPr>
      <w:r>
        <w:rPr>
          <w:rFonts w:eastAsia="Times New Roman" w:cs="Times New Roman"/>
          <w:color w:val="222222"/>
          <w:szCs w:val="24"/>
        </w:rPr>
        <w:br w:type="page"/>
      </w:r>
    </w:p>
    <w:p w14:paraId="33CC71FF" w14:textId="0808D951" w:rsidR="00E120C5" w:rsidRDefault="00983430" w:rsidP="001E3033">
      <w:pPr>
        <w:shd w:val="clear" w:color="auto" w:fill="FFFFFF"/>
        <w:spacing w:line="480" w:lineRule="auto"/>
      </w:pPr>
      <w:bookmarkStart w:id="0" w:name="_Hlk500927409"/>
      <w:r>
        <w:rPr>
          <w:rFonts w:eastAsia="Times New Roman" w:cs="Times New Roman"/>
          <w:color w:val="222222"/>
          <w:szCs w:val="24"/>
        </w:rPr>
        <w:lastRenderedPageBreak/>
        <w:t xml:space="preserve">        </w:t>
      </w:r>
      <w:r w:rsidR="001E3033">
        <w:t xml:space="preserve">  </w:t>
      </w:r>
      <w:r>
        <w:t>Whatever the</w:t>
      </w:r>
      <w:r w:rsidR="001E0DF5">
        <w:t xml:space="preserve"> </w:t>
      </w:r>
      <w:r w:rsidR="004C2868">
        <w:t>objectives</w:t>
      </w:r>
      <w:r w:rsidR="007F20A4">
        <w:t xml:space="preserve"> for which it is fought, and whatever their merits</w:t>
      </w:r>
      <w:r>
        <w:t xml:space="preserve">, </w:t>
      </w:r>
      <w:r w:rsidR="003871DF" w:rsidRPr="00983430">
        <w:t xml:space="preserve">war </w:t>
      </w:r>
      <w:r>
        <w:t>is</w:t>
      </w:r>
      <w:r w:rsidR="003871DF" w:rsidRPr="00983430">
        <w:t xml:space="preserve"> in fact an enormous and tragic waste of human and physical resources.  </w:t>
      </w:r>
      <w:r w:rsidR="006B36FA">
        <w:t>Faced</w:t>
      </w:r>
      <w:r w:rsidR="00887AF7">
        <w:t xml:space="preserve"> with</w:t>
      </w:r>
      <w:r w:rsidR="007F20A4">
        <w:t xml:space="preserve"> </w:t>
      </w:r>
      <w:r w:rsidR="001E0DF5">
        <w:t xml:space="preserve">unimaginable carnage and destruction, </w:t>
      </w:r>
      <w:r w:rsidR="00EF5C4B">
        <w:t>we</w:t>
      </w:r>
      <w:r w:rsidR="001E0DF5">
        <w:t xml:space="preserve"> </w:t>
      </w:r>
      <w:r w:rsidR="00E120C5">
        <w:t xml:space="preserve">may </w:t>
      </w:r>
      <w:r w:rsidR="007F20A4">
        <w:t xml:space="preserve">as human beings </w:t>
      </w:r>
      <w:r w:rsidR="00E120C5">
        <w:t xml:space="preserve">be predisposed </w:t>
      </w:r>
      <w:r w:rsidR="001E0DF5">
        <w:t xml:space="preserve">to </w:t>
      </w:r>
      <w:r w:rsidR="00887AF7">
        <w:t>search for</w:t>
      </w:r>
      <w:r w:rsidR="001E0DF5">
        <w:t xml:space="preserve"> s</w:t>
      </w:r>
      <w:r w:rsidR="00E120C5">
        <w:t xml:space="preserve">ilver linings. </w:t>
      </w:r>
      <w:r w:rsidR="001E0DF5">
        <w:t xml:space="preserve"> E</w:t>
      </w:r>
      <w:r w:rsidR="001E3033" w:rsidRPr="001E3033">
        <w:t xml:space="preserve">conomists, historians, and much of the general </w:t>
      </w:r>
      <w:r w:rsidR="001E0DF5">
        <w:t xml:space="preserve">public, for example, have often been remarkably sanguine about the economic benefits of </w:t>
      </w:r>
      <w:r w:rsidR="001E3033" w:rsidRPr="001E3033">
        <w:t>wa</w:t>
      </w:r>
      <w:r w:rsidR="00DC2DF4">
        <w:t>r,</w:t>
      </w:r>
      <w:r w:rsidR="001E0DF5">
        <w:t xml:space="preserve"> emphasizing its role </w:t>
      </w:r>
      <w:r w:rsidR="001E3033" w:rsidRPr="001E3033">
        <w:t>not only in closing output gaps</w:t>
      </w:r>
      <w:r w:rsidR="004C2868">
        <w:t>,</w:t>
      </w:r>
      <w:r w:rsidR="001E3033" w:rsidRPr="001E3033">
        <w:t xml:space="preserve"> but also in accelerating the growth of potential output.</w:t>
      </w:r>
      <w:r w:rsidR="001E3033">
        <w:t xml:space="preserve"> </w:t>
      </w:r>
    </w:p>
    <w:p w14:paraId="03014CA9" w14:textId="7866CD49" w:rsidR="00565C7B" w:rsidRDefault="00E120C5" w:rsidP="001E3033">
      <w:pPr>
        <w:shd w:val="clear" w:color="auto" w:fill="FFFFFF"/>
        <w:spacing w:line="480" w:lineRule="auto"/>
        <w:rPr>
          <w:rFonts w:eastAsia="Times New Roman" w:cs="Times New Roman"/>
          <w:color w:val="222222"/>
          <w:szCs w:val="24"/>
        </w:rPr>
      </w:pPr>
      <w:r>
        <w:t xml:space="preserve">           </w:t>
      </w:r>
      <w:r w:rsidR="00887AF7">
        <w:t>It is easy to find i</w:t>
      </w:r>
      <w:r w:rsidR="00DC2DF4">
        <w:t>llustrative examples</w:t>
      </w:r>
      <w:r w:rsidR="00887AF7">
        <w:t>.</w:t>
      </w:r>
      <w:r w:rsidR="00DC2DF4">
        <w:t xml:space="preserve">  </w:t>
      </w:r>
      <w:r w:rsidR="00CF6D14">
        <w:rPr>
          <w:rFonts w:eastAsia="Times New Roman" w:cs="Times New Roman"/>
          <w:color w:val="222222"/>
          <w:szCs w:val="24"/>
        </w:rPr>
        <w:t>T</w:t>
      </w:r>
      <w:r w:rsidR="00BF0DAB">
        <w:rPr>
          <w:rFonts w:eastAsia="Times New Roman" w:cs="Times New Roman"/>
          <w:color w:val="222222"/>
          <w:szCs w:val="24"/>
        </w:rPr>
        <w:t>hree quarters of a century</w:t>
      </w:r>
      <w:r w:rsidR="00CF6D14">
        <w:rPr>
          <w:rFonts w:eastAsia="Times New Roman" w:cs="Times New Roman"/>
          <w:color w:val="222222"/>
          <w:szCs w:val="24"/>
        </w:rPr>
        <w:t xml:space="preserve"> ago,</w:t>
      </w:r>
      <w:r w:rsidR="002A6E40">
        <w:rPr>
          <w:rFonts w:eastAsia="Times New Roman" w:cs="Times New Roman"/>
          <w:color w:val="222222"/>
          <w:szCs w:val="24"/>
        </w:rPr>
        <w:t xml:space="preserve"> </w:t>
      </w:r>
      <w:r w:rsidR="00584C5A">
        <w:rPr>
          <w:rFonts w:eastAsia="Times New Roman" w:cs="Times New Roman"/>
          <w:color w:val="222222"/>
          <w:szCs w:val="24"/>
        </w:rPr>
        <w:t xml:space="preserve">Louis M. </w:t>
      </w:r>
      <w:r w:rsidR="00F40179">
        <w:rPr>
          <w:rFonts w:eastAsia="Times New Roman" w:cs="Times New Roman"/>
          <w:color w:val="222222"/>
          <w:szCs w:val="24"/>
        </w:rPr>
        <w:t>Hacker</w:t>
      </w:r>
      <w:r w:rsidR="005248C7">
        <w:rPr>
          <w:rFonts w:eastAsia="Times New Roman" w:cs="Times New Roman"/>
          <w:color w:val="222222"/>
          <w:szCs w:val="24"/>
        </w:rPr>
        <w:t xml:space="preserve"> (1940)</w:t>
      </w:r>
      <w:r w:rsidR="00A0261D">
        <w:rPr>
          <w:rFonts w:eastAsia="Times New Roman" w:cs="Times New Roman"/>
          <w:color w:val="222222"/>
          <w:szCs w:val="24"/>
        </w:rPr>
        <w:t xml:space="preserve">, </w:t>
      </w:r>
      <w:r w:rsidR="008F45C4">
        <w:rPr>
          <w:rFonts w:eastAsia="Times New Roman" w:cs="Times New Roman"/>
          <w:color w:val="222222"/>
          <w:szCs w:val="24"/>
        </w:rPr>
        <w:t>s</w:t>
      </w:r>
      <w:r w:rsidR="00F40179">
        <w:rPr>
          <w:rFonts w:eastAsia="Times New Roman" w:cs="Times New Roman"/>
          <w:color w:val="222222"/>
          <w:szCs w:val="24"/>
        </w:rPr>
        <w:t>peaking of the</w:t>
      </w:r>
      <w:r w:rsidR="005248C7">
        <w:rPr>
          <w:rFonts w:eastAsia="Times New Roman" w:cs="Times New Roman"/>
          <w:color w:val="222222"/>
          <w:szCs w:val="24"/>
        </w:rPr>
        <w:t xml:space="preserve"> effect of the Napoleonic Wars o</w:t>
      </w:r>
      <w:r w:rsidR="00F40179">
        <w:rPr>
          <w:rFonts w:eastAsia="Times New Roman" w:cs="Times New Roman"/>
          <w:color w:val="222222"/>
          <w:szCs w:val="24"/>
        </w:rPr>
        <w:t>n En</w:t>
      </w:r>
      <w:r w:rsidR="00305386">
        <w:rPr>
          <w:rFonts w:eastAsia="Times New Roman" w:cs="Times New Roman"/>
          <w:color w:val="222222"/>
          <w:szCs w:val="24"/>
        </w:rPr>
        <w:t xml:space="preserve">gland and of that of </w:t>
      </w:r>
      <w:r w:rsidR="005248C7">
        <w:rPr>
          <w:rFonts w:eastAsia="Times New Roman" w:cs="Times New Roman"/>
          <w:color w:val="222222"/>
          <w:szCs w:val="24"/>
        </w:rPr>
        <w:t>the Civil War o</w:t>
      </w:r>
      <w:r w:rsidR="00F40179">
        <w:rPr>
          <w:rFonts w:eastAsia="Times New Roman" w:cs="Times New Roman"/>
          <w:color w:val="222222"/>
          <w:szCs w:val="24"/>
        </w:rPr>
        <w:t>n the United States,</w:t>
      </w:r>
      <w:r w:rsidR="005248C7">
        <w:rPr>
          <w:rFonts w:eastAsia="Times New Roman" w:cs="Times New Roman"/>
          <w:color w:val="222222"/>
          <w:szCs w:val="24"/>
        </w:rPr>
        <w:t xml:space="preserve"> </w:t>
      </w:r>
      <w:r w:rsidR="00F40179">
        <w:rPr>
          <w:rFonts w:eastAsia="Times New Roman" w:cs="Times New Roman"/>
          <w:color w:val="222222"/>
          <w:szCs w:val="24"/>
        </w:rPr>
        <w:t xml:space="preserve">opined that “As far as capitalism has been concerned, modern war (while it lasts) has been an unmixed blessing” (p. 250). </w:t>
      </w:r>
      <w:r w:rsidR="009B3139">
        <w:rPr>
          <w:rFonts w:eastAsia="Times New Roman" w:cs="Times New Roman"/>
          <w:color w:val="222222"/>
          <w:szCs w:val="24"/>
        </w:rPr>
        <w:t xml:space="preserve">He </w:t>
      </w:r>
      <w:r w:rsidR="00511847">
        <w:rPr>
          <w:rFonts w:eastAsia="Times New Roman" w:cs="Times New Roman"/>
          <w:color w:val="222222"/>
          <w:szCs w:val="24"/>
        </w:rPr>
        <w:t xml:space="preserve">waxed particularly enthusiastically about </w:t>
      </w:r>
      <w:r w:rsidR="009B3139">
        <w:rPr>
          <w:rFonts w:eastAsia="Times New Roman" w:cs="Times New Roman"/>
          <w:color w:val="222222"/>
          <w:szCs w:val="24"/>
        </w:rPr>
        <w:t>the pr</w:t>
      </w:r>
      <w:r w:rsidR="006A16A2">
        <w:rPr>
          <w:rFonts w:eastAsia="Times New Roman" w:cs="Times New Roman"/>
          <w:color w:val="222222"/>
          <w:szCs w:val="24"/>
        </w:rPr>
        <w:t>opulsive</w:t>
      </w:r>
      <w:r w:rsidR="005E4C6F">
        <w:rPr>
          <w:rFonts w:eastAsia="Times New Roman" w:cs="Times New Roman"/>
          <w:color w:val="222222"/>
          <w:szCs w:val="24"/>
        </w:rPr>
        <w:t xml:space="preserve"> impact of the </w:t>
      </w:r>
      <w:r w:rsidR="006A16A2">
        <w:rPr>
          <w:rFonts w:eastAsia="Times New Roman" w:cs="Times New Roman"/>
          <w:color w:val="222222"/>
          <w:szCs w:val="24"/>
        </w:rPr>
        <w:t>conflict over slavery</w:t>
      </w:r>
      <w:r w:rsidR="00305386">
        <w:rPr>
          <w:rFonts w:eastAsia="Times New Roman" w:cs="Times New Roman"/>
          <w:color w:val="222222"/>
          <w:szCs w:val="24"/>
        </w:rPr>
        <w:t xml:space="preserve"> in the </w:t>
      </w:r>
      <w:r w:rsidR="00095829">
        <w:rPr>
          <w:rFonts w:eastAsia="Times New Roman" w:cs="Times New Roman"/>
          <w:color w:val="222222"/>
          <w:szCs w:val="24"/>
        </w:rPr>
        <w:t>United States</w:t>
      </w:r>
      <w:r w:rsidR="003D371A">
        <w:rPr>
          <w:rFonts w:eastAsia="Times New Roman" w:cs="Times New Roman"/>
          <w:color w:val="222222"/>
          <w:szCs w:val="24"/>
        </w:rPr>
        <w:t>:</w:t>
      </w:r>
      <w:r w:rsidR="005248C7">
        <w:rPr>
          <w:rFonts w:eastAsia="Times New Roman" w:cs="Times New Roman"/>
          <w:color w:val="222222"/>
          <w:szCs w:val="24"/>
        </w:rPr>
        <w:t xml:space="preserve"> </w:t>
      </w:r>
      <w:r w:rsidR="00B25E9D">
        <w:rPr>
          <w:rFonts w:eastAsia="Times New Roman" w:cs="Times New Roman"/>
          <w:color w:val="222222"/>
          <w:szCs w:val="24"/>
        </w:rPr>
        <w:t xml:space="preserve">“Under the leadership of the new and vital force released by the Civil War and Reconstruction measures, American industry strode ahead on seven-league boots” </w:t>
      </w:r>
      <w:r w:rsidR="00C80120">
        <w:rPr>
          <w:rFonts w:eastAsia="Times New Roman" w:cs="Times New Roman"/>
          <w:color w:val="222222"/>
          <w:szCs w:val="24"/>
        </w:rPr>
        <w:t>(</w:t>
      </w:r>
      <w:r w:rsidR="00B25E9D">
        <w:rPr>
          <w:rFonts w:eastAsia="Times New Roman" w:cs="Times New Roman"/>
          <w:color w:val="222222"/>
          <w:szCs w:val="24"/>
        </w:rPr>
        <w:t>p. 401)</w:t>
      </w:r>
      <w:r w:rsidR="003D371A">
        <w:rPr>
          <w:rFonts w:eastAsia="Times New Roman" w:cs="Times New Roman"/>
          <w:color w:val="222222"/>
          <w:szCs w:val="24"/>
        </w:rPr>
        <w:t xml:space="preserve">, </w:t>
      </w:r>
      <w:r w:rsidR="00B36AC2">
        <w:rPr>
          <w:rFonts w:eastAsia="Times New Roman" w:cs="Times New Roman"/>
          <w:color w:val="222222"/>
          <w:szCs w:val="24"/>
        </w:rPr>
        <w:t xml:space="preserve">and </w:t>
      </w:r>
      <w:r w:rsidR="005A42DB">
        <w:rPr>
          <w:rFonts w:eastAsia="Times New Roman" w:cs="Times New Roman"/>
          <w:color w:val="222222"/>
          <w:szCs w:val="24"/>
        </w:rPr>
        <w:t>“…railroading, like i</w:t>
      </w:r>
      <w:r w:rsidR="005248C7">
        <w:rPr>
          <w:rFonts w:eastAsia="Times New Roman" w:cs="Times New Roman"/>
          <w:color w:val="222222"/>
          <w:szCs w:val="24"/>
        </w:rPr>
        <w:t>ndustrial production, was …</w:t>
      </w:r>
      <w:r w:rsidR="005A42DB">
        <w:rPr>
          <w:rFonts w:eastAsia="Times New Roman" w:cs="Times New Roman"/>
          <w:color w:val="222222"/>
          <w:szCs w:val="24"/>
        </w:rPr>
        <w:t xml:space="preserve"> transformed in the fires of the Civil War” (p. 227).</w:t>
      </w:r>
      <w:r w:rsidR="00D96DBA">
        <w:rPr>
          <w:rFonts w:eastAsia="Times New Roman" w:cs="Times New Roman"/>
          <w:color w:val="222222"/>
          <w:szCs w:val="24"/>
        </w:rPr>
        <w:t xml:space="preserve">  </w:t>
      </w:r>
      <w:r w:rsidR="005248C7">
        <w:rPr>
          <w:rFonts w:eastAsia="Times New Roman" w:cs="Times New Roman"/>
          <w:color w:val="222222"/>
          <w:szCs w:val="24"/>
        </w:rPr>
        <w:t xml:space="preserve">Although </w:t>
      </w:r>
      <w:r w:rsidR="00DC2DF4">
        <w:rPr>
          <w:rFonts w:eastAsia="Times New Roman" w:cs="Times New Roman"/>
          <w:color w:val="222222"/>
          <w:szCs w:val="24"/>
        </w:rPr>
        <w:t xml:space="preserve">these </w:t>
      </w:r>
      <w:r w:rsidR="0066415D">
        <w:rPr>
          <w:rFonts w:eastAsia="Times New Roman" w:cs="Times New Roman"/>
          <w:color w:val="222222"/>
          <w:szCs w:val="24"/>
        </w:rPr>
        <w:t xml:space="preserve">supply side </w:t>
      </w:r>
      <w:r w:rsidR="001E3033">
        <w:rPr>
          <w:rFonts w:eastAsia="Times New Roman" w:cs="Times New Roman"/>
          <w:color w:val="222222"/>
          <w:szCs w:val="24"/>
        </w:rPr>
        <w:t xml:space="preserve">claims </w:t>
      </w:r>
      <w:r w:rsidR="00A4719A">
        <w:rPr>
          <w:rFonts w:eastAsia="Times New Roman" w:cs="Times New Roman"/>
          <w:color w:val="222222"/>
          <w:szCs w:val="24"/>
        </w:rPr>
        <w:t>have been vigorously disputed</w:t>
      </w:r>
      <w:r w:rsidR="001E3033">
        <w:rPr>
          <w:rFonts w:eastAsia="Times New Roman" w:cs="Times New Roman"/>
          <w:color w:val="222222"/>
          <w:szCs w:val="24"/>
        </w:rPr>
        <w:t xml:space="preserve"> </w:t>
      </w:r>
      <w:r w:rsidR="005248C7">
        <w:rPr>
          <w:rFonts w:eastAsia="Times New Roman" w:cs="Times New Roman"/>
          <w:color w:val="222222"/>
          <w:szCs w:val="24"/>
        </w:rPr>
        <w:t>by new economic historians</w:t>
      </w:r>
      <w:r w:rsidR="003D55F3">
        <w:rPr>
          <w:rFonts w:eastAsia="Times New Roman" w:cs="Times New Roman"/>
          <w:color w:val="222222"/>
          <w:szCs w:val="24"/>
        </w:rPr>
        <w:t xml:space="preserve"> (e.g., Goldin and Lewis, 1975</w:t>
      </w:r>
      <w:r w:rsidR="00DC2DF4">
        <w:rPr>
          <w:rFonts w:eastAsia="Times New Roman" w:cs="Times New Roman"/>
          <w:color w:val="222222"/>
          <w:szCs w:val="24"/>
        </w:rPr>
        <w:t>;</w:t>
      </w:r>
      <w:r w:rsidR="00D81AD2">
        <w:rPr>
          <w:rFonts w:eastAsia="Times New Roman" w:cs="Times New Roman"/>
          <w:color w:val="222222"/>
          <w:szCs w:val="24"/>
        </w:rPr>
        <w:t xml:space="preserve"> Lindert and Williamson, 2016</w:t>
      </w:r>
      <w:r w:rsidR="003D55F3">
        <w:rPr>
          <w:rFonts w:eastAsia="Times New Roman" w:cs="Times New Roman"/>
          <w:color w:val="222222"/>
          <w:szCs w:val="24"/>
        </w:rPr>
        <w:t>)</w:t>
      </w:r>
      <w:r w:rsidR="005248C7">
        <w:rPr>
          <w:rFonts w:eastAsia="Times New Roman" w:cs="Times New Roman"/>
          <w:color w:val="222222"/>
          <w:szCs w:val="24"/>
        </w:rPr>
        <w:t xml:space="preserve">, </w:t>
      </w:r>
      <w:r w:rsidR="00DC2DF4">
        <w:rPr>
          <w:rFonts w:eastAsia="Times New Roman" w:cs="Times New Roman"/>
          <w:color w:val="222222"/>
          <w:szCs w:val="24"/>
        </w:rPr>
        <w:t>Hacker’s</w:t>
      </w:r>
      <w:r w:rsidR="00395029">
        <w:rPr>
          <w:rFonts w:eastAsia="Times New Roman" w:cs="Times New Roman"/>
          <w:color w:val="222222"/>
          <w:szCs w:val="24"/>
        </w:rPr>
        <w:t xml:space="preserve"> sentiments</w:t>
      </w:r>
      <w:r w:rsidR="005248C7">
        <w:rPr>
          <w:rFonts w:eastAsia="Times New Roman" w:cs="Times New Roman"/>
          <w:color w:val="222222"/>
          <w:szCs w:val="24"/>
        </w:rPr>
        <w:t xml:space="preserve"> about the </w:t>
      </w:r>
      <w:r w:rsidR="003D55F3">
        <w:rPr>
          <w:rFonts w:eastAsia="Times New Roman" w:cs="Times New Roman"/>
          <w:color w:val="222222"/>
          <w:szCs w:val="24"/>
        </w:rPr>
        <w:t xml:space="preserve">longer run </w:t>
      </w:r>
      <w:r w:rsidR="0066415D">
        <w:rPr>
          <w:rFonts w:eastAsia="Times New Roman" w:cs="Times New Roman"/>
          <w:color w:val="222222"/>
          <w:szCs w:val="24"/>
        </w:rPr>
        <w:t xml:space="preserve">positive </w:t>
      </w:r>
      <w:r w:rsidR="005248C7">
        <w:rPr>
          <w:rFonts w:eastAsia="Times New Roman" w:cs="Times New Roman"/>
          <w:color w:val="222222"/>
          <w:szCs w:val="24"/>
        </w:rPr>
        <w:t xml:space="preserve">effects of war continue to </w:t>
      </w:r>
      <w:r w:rsidR="00FB0B72">
        <w:rPr>
          <w:rFonts w:eastAsia="Times New Roman" w:cs="Times New Roman"/>
          <w:color w:val="222222"/>
          <w:szCs w:val="24"/>
        </w:rPr>
        <w:t>resonate</w:t>
      </w:r>
      <w:r w:rsidR="00311F28">
        <w:rPr>
          <w:rFonts w:eastAsia="Times New Roman" w:cs="Times New Roman"/>
          <w:color w:val="222222"/>
          <w:szCs w:val="24"/>
        </w:rPr>
        <w:t>, particularl</w:t>
      </w:r>
      <w:r w:rsidR="005F305E">
        <w:rPr>
          <w:rFonts w:eastAsia="Times New Roman" w:cs="Times New Roman"/>
          <w:color w:val="222222"/>
          <w:szCs w:val="24"/>
        </w:rPr>
        <w:t xml:space="preserve">y as they apply to the </w:t>
      </w:r>
      <w:r w:rsidR="00DC2DF4">
        <w:rPr>
          <w:rFonts w:eastAsia="Times New Roman" w:cs="Times New Roman"/>
          <w:color w:val="222222"/>
          <w:szCs w:val="24"/>
        </w:rPr>
        <w:t xml:space="preserve">conflict the United States was </w:t>
      </w:r>
      <w:r w:rsidR="007F20A4">
        <w:rPr>
          <w:rFonts w:eastAsia="Times New Roman" w:cs="Times New Roman"/>
          <w:color w:val="222222"/>
          <w:szCs w:val="24"/>
        </w:rPr>
        <w:t xml:space="preserve">poised </w:t>
      </w:r>
      <w:r w:rsidR="00DC2DF4">
        <w:rPr>
          <w:rFonts w:eastAsia="Times New Roman" w:cs="Times New Roman"/>
          <w:color w:val="222222"/>
          <w:szCs w:val="24"/>
        </w:rPr>
        <w:t>to enter as he published.</w:t>
      </w:r>
      <w:r w:rsidR="00EE66DC">
        <w:rPr>
          <w:rFonts w:eastAsia="Times New Roman" w:cs="Times New Roman"/>
          <w:color w:val="222222"/>
          <w:szCs w:val="24"/>
        </w:rPr>
        <w:t xml:space="preserve"> </w:t>
      </w:r>
      <w:r w:rsidR="00145773">
        <w:rPr>
          <w:rFonts w:eastAsia="Times New Roman" w:cs="Times New Roman"/>
          <w:color w:val="222222"/>
          <w:szCs w:val="24"/>
        </w:rPr>
        <w:t xml:space="preserve"> </w:t>
      </w:r>
    </w:p>
    <w:p w14:paraId="24DBC714" w14:textId="44C884FF" w:rsidR="008F45C4" w:rsidRDefault="006C5439" w:rsidP="008F45C4">
      <w:pPr>
        <w:shd w:val="clear" w:color="auto" w:fill="FFFFFF"/>
        <w:spacing w:after="0" w:line="480" w:lineRule="auto"/>
        <w:ind w:firstLine="576"/>
        <w:rPr>
          <w:rFonts w:eastAsia="Times New Roman" w:cs="Times New Roman"/>
          <w:color w:val="222222"/>
          <w:szCs w:val="24"/>
        </w:rPr>
      </w:pPr>
      <w:r>
        <w:rPr>
          <w:rFonts w:eastAsia="Times New Roman" w:cs="Times New Roman"/>
          <w:color w:val="222222"/>
          <w:szCs w:val="24"/>
        </w:rPr>
        <w:t xml:space="preserve">William </w:t>
      </w:r>
      <w:r w:rsidR="00BA4922">
        <w:rPr>
          <w:rFonts w:eastAsia="Times New Roman" w:cs="Times New Roman"/>
          <w:color w:val="222222"/>
          <w:szCs w:val="24"/>
        </w:rPr>
        <w:t>Baumol</w:t>
      </w:r>
      <w:r w:rsidR="008F45C4">
        <w:rPr>
          <w:rFonts w:eastAsia="Times New Roman" w:cs="Times New Roman"/>
          <w:color w:val="222222"/>
          <w:szCs w:val="24"/>
        </w:rPr>
        <w:t xml:space="preserve"> (1986)</w:t>
      </w:r>
      <w:r w:rsidR="00C3151D">
        <w:rPr>
          <w:rFonts w:eastAsia="Times New Roman" w:cs="Times New Roman"/>
          <w:color w:val="222222"/>
          <w:szCs w:val="24"/>
        </w:rPr>
        <w:t>,</w:t>
      </w:r>
      <w:r w:rsidR="005248C7">
        <w:rPr>
          <w:rFonts w:eastAsia="Times New Roman" w:cs="Times New Roman"/>
          <w:color w:val="222222"/>
          <w:szCs w:val="24"/>
        </w:rPr>
        <w:t xml:space="preserve"> </w:t>
      </w:r>
      <w:r w:rsidR="001E3033">
        <w:rPr>
          <w:rFonts w:eastAsia="Times New Roman" w:cs="Times New Roman"/>
          <w:color w:val="222222"/>
          <w:szCs w:val="24"/>
        </w:rPr>
        <w:t xml:space="preserve">summarizing his interpretation of aggregate productivity data, </w:t>
      </w:r>
      <w:r w:rsidR="00BA4922">
        <w:rPr>
          <w:rFonts w:eastAsia="Times New Roman" w:cs="Times New Roman"/>
          <w:color w:val="222222"/>
          <w:szCs w:val="24"/>
        </w:rPr>
        <w:t xml:space="preserve">took </w:t>
      </w:r>
      <w:r w:rsidR="005F305E">
        <w:rPr>
          <w:rFonts w:eastAsia="Times New Roman" w:cs="Times New Roman"/>
          <w:color w:val="222222"/>
          <w:szCs w:val="24"/>
        </w:rPr>
        <w:t>World War II’s</w:t>
      </w:r>
      <w:r w:rsidR="003D55F3">
        <w:rPr>
          <w:rFonts w:eastAsia="Times New Roman" w:cs="Times New Roman"/>
          <w:color w:val="222222"/>
          <w:szCs w:val="24"/>
        </w:rPr>
        <w:t xml:space="preserve"> contribution </w:t>
      </w:r>
      <w:r w:rsidR="00056A46">
        <w:rPr>
          <w:rFonts w:eastAsia="Times New Roman" w:cs="Times New Roman"/>
          <w:color w:val="222222"/>
          <w:szCs w:val="24"/>
        </w:rPr>
        <w:t xml:space="preserve">to </w:t>
      </w:r>
      <w:r w:rsidR="003D55F3">
        <w:rPr>
          <w:rFonts w:eastAsia="Times New Roman" w:cs="Times New Roman"/>
          <w:color w:val="222222"/>
          <w:szCs w:val="24"/>
        </w:rPr>
        <w:t xml:space="preserve">higher </w:t>
      </w:r>
      <w:r w:rsidR="00056A46">
        <w:rPr>
          <w:rFonts w:eastAsia="Times New Roman" w:cs="Times New Roman"/>
          <w:color w:val="222222"/>
          <w:szCs w:val="24"/>
        </w:rPr>
        <w:t xml:space="preserve">productivity growth </w:t>
      </w:r>
      <w:r w:rsidR="000E2C4C">
        <w:rPr>
          <w:rFonts w:eastAsia="Times New Roman" w:cs="Times New Roman"/>
          <w:color w:val="222222"/>
          <w:szCs w:val="24"/>
        </w:rPr>
        <w:t>during and after the war</w:t>
      </w:r>
      <w:r w:rsidR="00EE66DC">
        <w:rPr>
          <w:rFonts w:eastAsia="Times New Roman" w:cs="Times New Roman"/>
          <w:color w:val="222222"/>
          <w:szCs w:val="24"/>
        </w:rPr>
        <w:t xml:space="preserve"> </w:t>
      </w:r>
      <w:r w:rsidR="00056A46">
        <w:rPr>
          <w:rFonts w:eastAsia="Times New Roman" w:cs="Times New Roman"/>
          <w:color w:val="222222"/>
          <w:szCs w:val="24"/>
        </w:rPr>
        <w:t>as establ</w:t>
      </w:r>
      <w:r w:rsidR="00F94B19">
        <w:rPr>
          <w:rFonts w:eastAsia="Times New Roman" w:cs="Times New Roman"/>
          <w:color w:val="222222"/>
          <w:szCs w:val="24"/>
        </w:rPr>
        <w:t>ished fact</w:t>
      </w:r>
      <w:r w:rsidR="00056A46">
        <w:rPr>
          <w:rFonts w:eastAsia="Times New Roman" w:cs="Times New Roman"/>
          <w:color w:val="222222"/>
          <w:szCs w:val="24"/>
        </w:rPr>
        <w:t xml:space="preserve">: </w:t>
      </w:r>
      <w:r w:rsidR="00056A46">
        <w:t>“It is noteworthy that the great leap above historical US productivity growth in the war and early postwar years were just about as great as the previous shortfalls during the Great Depression” (</w:t>
      </w:r>
      <w:r w:rsidR="007F3F22">
        <w:t>1986</w:t>
      </w:r>
      <w:r w:rsidR="00056A46">
        <w:t xml:space="preserve">, pp. 1081-82).  </w:t>
      </w:r>
      <w:r w:rsidR="009736EF">
        <w:rPr>
          <w:rFonts w:eastAsia="Times New Roman" w:cs="Times New Roman"/>
          <w:color w:val="222222"/>
          <w:szCs w:val="24"/>
        </w:rPr>
        <w:t xml:space="preserve">Vernon </w:t>
      </w:r>
      <w:r w:rsidR="00FC06FB">
        <w:rPr>
          <w:rFonts w:eastAsia="Times New Roman" w:cs="Times New Roman"/>
          <w:color w:val="222222"/>
          <w:szCs w:val="24"/>
        </w:rPr>
        <w:t xml:space="preserve">Ruttan </w:t>
      </w:r>
      <w:r w:rsidR="00863AD1">
        <w:rPr>
          <w:rFonts w:eastAsia="Times New Roman" w:cs="Times New Roman"/>
          <w:color w:val="222222"/>
          <w:szCs w:val="24"/>
        </w:rPr>
        <w:t>posed</w:t>
      </w:r>
      <w:r w:rsidR="007E4FF3">
        <w:rPr>
          <w:rFonts w:eastAsia="Times New Roman" w:cs="Times New Roman"/>
          <w:color w:val="222222"/>
          <w:szCs w:val="24"/>
        </w:rPr>
        <w:t xml:space="preserve"> </w:t>
      </w:r>
      <w:r w:rsidR="00F90544">
        <w:rPr>
          <w:rFonts w:eastAsia="Times New Roman" w:cs="Times New Roman"/>
          <w:color w:val="222222"/>
          <w:szCs w:val="24"/>
        </w:rPr>
        <w:t>a provocative question</w:t>
      </w:r>
      <w:r w:rsidR="007E4FF3">
        <w:rPr>
          <w:rFonts w:eastAsia="Times New Roman" w:cs="Times New Roman"/>
          <w:color w:val="222222"/>
          <w:szCs w:val="24"/>
        </w:rPr>
        <w:t xml:space="preserve"> in the title </w:t>
      </w:r>
      <w:r w:rsidR="007E4FF3">
        <w:rPr>
          <w:rFonts w:eastAsia="Times New Roman" w:cs="Times New Roman"/>
          <w:color w:val="222222"/>
          <w:szCs w:val="24"/>
        </w:rPr>
        <w:lastRenderedPageBreak/>
        <w:t xml:space="preserve">of his </w:t>
      </w:r>
      <w:r w:rsidR="00D233AE">
        <w:rPr>
          <w:rFonts w:eastAsia="Times New Roman" w:cs="Times New Roman"/>
          <w:color w:val="222222"/>
          <w:szCs w:val="24"/>
        </w:rPr>
        <w:t>2006</w:t>
      </w:r>
      <w:r w:rsidR="007E4FF3">
        <w:rPr>
          <w:rFonts w:eastAsia="Times New Roman" w:cs="Times New Roman"/>
          <w:color w:val="222222"/>
          <w:szCs w:val="24"/>
        </w:rPr>
        <w:t xml:space="preserve"> book, “Is War Necessary for Economic Growth?” </w:t>
      </w:r>
      <w:r w:rsidR="00863AD1">
        <w:rPr>
          <w:rFonts w:eastAsia="Times New Roman" w:cs="Times New Roman"/>
          <w:color w:val="222222"/>
          <w:szCs w:val="24"/>
        </w:rPr>
        <w:t xml:space="preserve">He answered </w:t>
      </w:r>
      <w:r w:rsidR="00A0261D">
        <w:rPr>
          <w:rFonts w:eastAsia="Times New Roman" w:cs="Times New Roman"/>
          <w:color w:val="222222"/>
          <w:szCs w:val="24"/>
        </w:rPr>
        <w:t>the</w:t>
      </w:r>
      <w:r w:rsidR="00F94B19">
        <w:rPr>
          <w:rFonts w:eastAsia="Times New Roman" w:cs="Times New Roman"/>
          <w:color w:val="222222"/>
          <w:szCs w:val="24"/>
        </w:rPr>
        <w:t xml:space="preserve"> question </w:t>
      </w:r>
      <w:r w:rsidR="0008493C">
        <w:rPr>
          <w:rFonts w:eastAsia="Times New Roman" w:cs="Times New Roman"/>
          <w:color w:val="222222"/>
          <w:szCs w:val="24"/>
        </w:rPr>
        <w:t xml:space="preserve">affirmatively: </w:t>
      </w:r>
      <w:r w:rsidR="002A6E40">
        <w:rPr>
          <w:rFonts w:eastAsia="Times New Roman" w:cs="Times New Roman"/>
          <w:color w:val="222222"/>
          <w:szCs w:val="24"/>
        </w:rPr>
        <w:t>“</w:t>
      </w:r>
      <w:r w:rsidR="0008493C">
        <w:rPr>
          <w:rFonts w:eastAsia="Times New Roman" w:cs="Times New Roman"/>
          <w:color w:val="222222"/>
          <w:szCs w:val="24"/>
        </w:rPr>
        <w:t>It is difficult to overemphasize the importance of the historical role that military procurement has played in the process of technology development…” (2006, p. 3).</w:t>
      </w:r>
      <w:r w:rsidR="0008493C">
        <w:rPr>
          <w:rStyle w:val="FootnoteReference"/>
          <w:rFonts w:eastAsia="Times New Roman" w:cs="Times New Roman"/>
          <w:color w:val="222222"/>
          <w:szCs w:val="24"/>
        </w:rPr>
        <w:footnoteReference w:id="2"/>
      </w:r>
      <w:r w:rsidR="0008493C">
        <w:rPr>
          <w:rFonts w:eastAsia="Times New Roman" w:cs="Times New Roman"/>
          <w:color w:val="222222"/>
          <w:szCs w:val="24"/>
        </w:rPr>
        <w:t xml:space="preserve"> W</w:t>
      </w:r>
      <w:r w:rsidR="00FC06FB">
        <w:rPr>
          <w:rFonts w:eastAsia="Times New Roman" w:cs="Times New Roman"/>
          <w:color w:val="222222"/>
          <w:szCs w:val="24"/>
        </w:rPr>
        <w:t>ithout war</w:t>
      </w:r>
      <w:r w:rsidR="0008493C">
        <w:rPr>
          <w:rFonts w:eastAsia="Times New Roman" w:cs="Times New Roman"/>
          <w:color w:val="222222"/>
          <w:szCs w:val="24"/>
        </w:rPr>
        <w:t xml:space="preserve">, he suggested </w:t>
      </w:r>
      <w:r w:rsidR="009736EF">
        <w:rPr>
          <w:rFonts w:eastAsia="Times New Roman" w:cs="Times New Roman"/>
          <w:color w:val="222222"/>
          <w:szCs w:val="24"/>
        </w:rPr>
        <w:t xml:space="preserve">the </w:t>
      </w:r>
      <w:r w:rsidR="00FC06FB">
        <w:rPr>
          <w:rFonts w:eastAsia="Times New Roman" w:cs="Times New Roman"/>
          <w:color w:val="222222"/>
          <w:szCs w:val="24"/>
        </w:rPr>
        <w:t xml:space="preserve">R and D </w:t>
      </w:r>
      <w:r w:rsidR="00110218">
        <w:rPr>
          <w:rFonts w:eastAsia="Times New Roman" w:cs="Times New Roman"/>
          <w:color w:val="222222"/>
          <w:szCs w:val="24"/>
        </w:rPr>
        <w:t xml:space="preserve">spending </w:t>
      </w:r>
      <w:r w:rsidR="009736EF">
        <w:rPr>
          <w:rFonts w:eastAsia="Times New Roman" w:cs="Times New Roman"/>
          <w:color w:val="222222"/>
          <w:szCs w:val="24"/>
        </w:rPr>
        <w:t>necessary to develop new general</w:t>
      </w:r>
      <w:r w:rsidR="007F20A4">
        <w:rPr>
          <w:rFonts w:eastAsia="Times New Roman" w:cs="Times New Roman"/>
          <w:color w:val="222222"/>
          <w:szCs w:val="24"/>
        </w:rPr>
        <w:t>-</w:t>
      </w:r>
      <w:r w:rsidR="002A6E40">
        <w:rPr>
          <w:rFonts w:eastAsia="Times New Roman" w:cs="Times New Roman"/>
          <w:color w:val="222222"/>
          <w:szCs w:val="24"/>
        </w:rPr>
        <w:t>p</w:t>
      </w:r>
      <w:r w:rsidR="009736EF">
        <w:rPr>
          <w:rFonts w:eastAsia="Times New Roman" w:cs="Times New Roman"/>
          <w:color w:val="222222"/>
          <w:szCs w:val="24"/>
        </w:rPr>
        <w:t xml:space="preserve">urpose technologies </w:t>
      </w:r>
      <w:r w:rsidR="00407BFB">
        <w:rPr>
          <w:rFonts w:eastAsia="Times New Roman" w:cs="Times New Roman"/>
          <w:color w:val="222222"/>
          <w:szCs w:val="24"/>
        </w:rPr>
        <w:t>w</w:t>
      </w:r>
      <w:r w:rsidR="0008493C">
        <w:rPr>
          <w:rFonts w:eastAsia="Times New Roman" w:cs="Times New Roman"/>
          <w:color w:val="222222"/>
          <w:szCs w:val="24"/>
        </w:rPr>
        <w:t>ould</w:t>
      </w:r>
      <w:r w:rsidR="00407BFB">
        <w:rPr>
          <w:rFonts w:eastAsia="Times New Roman" w:cs="Times New Roman"/>
          <w:color w:val="222222"/>
          <w:szCs w:val="24"/>
        </w:rPr>
        <w:t xml:space="preserve"> </w:t>
      </w:r>
      <w:r w:rsidR="0005143B">
        <w:rPr>
          <w:rFonts w:eastAsia="Times New Roman" w:cs="Times New Roman"/>
          <w:color w:val="222222"/>
          <w:szCs w:val="24"/>
        </w:rPr>
        <w:t xml:space="preserve">simply </w:t>
      </w:r>
      <w:r w:rsidR="00D233AE">
        <w:rPr>
          <w:rFonts w:eastAsia="Times New Roman" w:cs="Times New Roman"/>
          <w:color w:val="222222"/>
          <w:szCs w:val="24"/>
        </w:rPr>
        <w:t>not be</w:t>
      </w:r>
      <w:r w:rsidR="00FC06FB">
        <w:rPr>
          <w:rFonts w:eastAsia="Times New Roman" w:cs="Times New Roman"/>
          <w:color w:val="222222"/>
          <w:szCs w:val="24"/>
        </w:rPr>
        <w:t xml:space="preserve"> forthcoming</w:t>
      </w:r>
      <w:r w:rsidR="00292B02">
        <w:rPr>
          <w:rFonts w:eastAsia="Times New Roman" w:cs="Times New Roman"/>
          <w:color w:val="222222"/>
          <w:szCs w:val="24"/>
        </w:rPr>
        <w:t>.</w:t>
      </w:r>
      <w:r w:rsidR="00A715E6">
        <w:rPr>
          <w:rFonts w:eastAsia="Times New Roman" w:cs="Times New Roman"/>
          <w:color w:val="222222"/>
          <w:szCs w:val="24"/>
        </w:rPr>
        <w:t xml:space="preserve">  </w:t>
      </w:r>
      <w:r w:rsidR="00407BFB">
        <w:rPr>
          <w:rFonts w:eastAsia="Times New Roman" w:cs="Times New Roman"/>
          <w:color w:val="222222"/>
          <w:szCs w:val="24"/>
        </w:rPr>
        <w:t>The</w:t>
      </w:r>
      <w:r w:rsidR="00CD4F9C">
        <w:rPr>
          <w:rFonts w:eastAsia="Times New Roman" w:cs="Times New Roman"/>
          <w:color w:val="222222"/>
          <w:szCs w:val="24"/>
        </w:rPr>
        <w:t xml:space="preserve"> </w:t>
      </w:r>
      <w:r w:rsidR="006114F5">
        <w:rPr>
          <w:rFonts w:eastAsia="Times New Roman" w:cs="Times New Roman"/>
          <w:color w:val="222222"/>
          <w:szCs w:val="24"/>
        </w:rPr>
        <w:t>views</w:t>
      </w:r>
      <w:r w:rsidR="00F20FAC">
        <w:rPr>
          <w:rFonts w:eastAsia="Times New Roman" w:cs="Times New Roman"/>
          <w:color w:val="222222"/>
          <w:szCs w:val="24"/>
        </w:rPr>
        <w:t xml:space="preserve"> </w:t>
      </w:r>
      <w:r w:rsidR="00407BFB">
        <w:rPr>
          <w:rFonts w:eastAsia="Times New Roman" w:cs="Times New Roman"/>
          <w:color w:val="222222"/>
          <w:szCs w:val="24"/>
        </w:rPr>
        <w:t xml:space="preserve">expressed by these authors </w:t>
      </w:r>
      <w:r w:rsidR="001E3033">
        <w:rPr>
          <w:rFonts w:eastAsia="Times New Roman" w:cs="Times New Roman"/>
          <w:color w:val="222222"/>
          <w:szCs w:val="24"/>
        </w:rPr>
        <w:t>r</w:t>
      </w:r>
      <w:r w:rsidR="00A871ED">
        <w:rPr>
          <w:rFonts w:eastAsia="Times New Roman" w:cs="Times New Roman"/>
          <w:color w:val="222222"/>
          <w:szCs w:val="24"/>
        </w:rPr>
        <w:t xml:space="preserve">eflect </w:t>
      </w:r>
      <w:r w:rsidR="00407BFB">
        <w:rPr>
          <w:rFonts w:eastAsia="Times New Roman" w:cs="Times New Roman"/>
          <w:color w:val="222222"/>
          <w:szCs w:val="24"/>
        </w:rPr>
        <w:t>a</w:t>
      </w:r>
      <w:r w:rsidR="00A871ED">
        <w:rPr>
          <w:rFonts w:eastAsia="Times New Roman" w:cs="Times New Roman"/>
          <w:color w:val="222222"/>
          <w:szCs w:val="24"/>
        </w:rPr>
        <w:t xml:space="preserve"> shared </w:t>
      </w:r>
      <w:r w:rsidR="00F363E0">
        <w:rPr>
          <w:rFonts w:eastAsia="Times New Roman" w:cs="Times New Roman"/>
          <w:color w:val="222222"/>
          <w:szCs w:val="24"/>
        </w:rPr>
        <w:t>optimism</w:t>
      </w:r>
      <w:r w:rsidR="00EF315D">
        <w:rPr>
          <w:rFonts w:eastAsia="Times New Roman" w:cs="Times New Roman"/>
          <w:color w:val="222222"/>
          <w:szCs w:val="24"/>
        </w:rPr>
        <w:t xml:space="preserve"> about the long run economic benefits of war and military spending</w:t>
      </w:r>
      <w:r w:rsidR="00E120C5">
        <w:rPr>
          <w:rFonts w:eastAsia="Times New Roman" w:cs="Times New Roman"/>
          <w:color w:val="222222"/>
          <w:szCs w:val="24"/>
        </w:rPr>
        <w:t>.</w:t>
      </w:r>
    </w:p>
    <w:p w14:paraId="44B8324B" w14:textId="3BDD443C" w:rsidR="001E3033" w:rsidRPr="000F79DD" w:rsidRDefault="0066415D" w:rsidP="0066415D">
      <w:pPr>
        <w:shd w:val="clear" w:color="auto" w:fill="FFFFFF"/>
        <w:spacing w:after="0" w:line="480" w:lineRule="auto"/>
        <w:rPr>
          <w:rFonts w:eastAsia="Times New Roman" w:cs="Times New Roman"/>
          <w:color w:val="222222"/>
          <w:szCs w:val="24"/>
        </w:rPr>
      </w:pPr>
      <w:r>
        <w:rPr>
          <w:rFonts w:eastAsia="Times New Roman" w:cs="Times New Roman"/>
          <w:color w:val="222222"/>
          <w:szCs w:val="24"/>
        </w:rPr>
        <w:t xml:space="preserve">         </w:t>
      </w:r>
      <w:r w:rsidR="001E3033" w:rsidRPr="001E3033">
        <w:rPr>
          <w:rFonts w:eastAsia="Times New Roman" w:cs="Times New Roman"/>
          <w:color w:val="222222"/>
          <w:szCs w:val="24"/>
        </w:rPr>
        <w:t xml:space="preserve">Robert Gordon is the most recent </w:t>
      </w:r>
      <w:r>
        <w:rPr>
          <w:rFonts w:eastAsia="Times New Roman" w:cs="Times New Roman"/>
          <w:color w:val="222222"/>
          <w:szCs w:val="24"/>
        </w:rPr>
        <w:t>instantiation of this enthusiasm</w:t>
      </w:r>
      <w:r w:rsidR="001E3033">
        <w:rPr>
          <w:rFonts w:eastAsia="Times New Roman" w:cs="Times New Roman"/>
          <w:color w:val="222222"/>
          <w:szCs w:val="24"/>
        </w:rPr>
        <w:t>.  In his 2016 book, he</w:t>
      </w:r>
      <w:r w:rsidR="001E3033" w:rsidRPr="001E3033">
        <w:rPr>
          <w:rFonts w:eastAsia="Times New Roman" w:cs="Times New Roman"/>
          <w:color w:val="222222"/>
          <w:szCs w:val="24"/>
        </w:rPr>
        <w:t xml:space="preserve"> provides a</w:t>
      </w:r>
      <w:r w:rsidR="00A4719A">
        <w:rPr>
          <w:rFonts w:eastAsia="Times New Roman" w:cs="Times New Roman"/>
          <w:color w:val="222222"/>
          <w:szCs w:val="24"/>
        </w:rPr>
        <w:t>n especially</w:t>
      </w:r>
      <w:r w:rsidR="001E3033" w:rsidRPr="001E3033">
        <w:rPr>
          <w:rFonts w:eastAsia="Times New Roman" w:cs="Times New Roman"/>
          <w:color w:val="222222"/>
          <w:szCs w:val="24"/>
        </w:rPr>
        <w:t xml:space="preserve"> clear statement of the</w:t>
      </w:r>
      <w:r w:rsidR="00C3151D">
        <w:rPr>
          <w:rFonts w:eastAsia="Times New Roman" w:cs="Times New Roman"/>
          <w:color w:val="222222"/>
          <w:szCs w:val="24"/>
        </w:rPr>
        <w:t xml:space="preserve"> argument</w:t>
      </w:r>
      <w:r w:rsidR="001E3033" w:rsidRPr="001E3033">
        <w:rPr>
          <w:rFonts w:eastAsia="Times New Roman" w:cs="Times New Roman"/>
          <w:color w:val="222222"/>
          <w:szCs w:val="24"/>
        </w:rPr>
        <w:t xml:space="preserve"> insofar as it applies to the Second World War in the US, and uses macroeconomic data on total productivity growth in support of his narrative</w:t>
      </w:r>
      <w:r w:rsidR="00C3151D">
        <w:rPr>
          <w:rFonts w:eastAsia="Times New Roman" w:cs="Times New Roman"/>
          <w:color w:val="222222"/>
          <w:szCs w:val="24"/>
        </w:rPr>
        <w:t>.</w:t>
      </w:r>
      <w:r>
        <w:rPr>
          <w:rFonts w:eastAsia="Times New Roman" w:cs="Times New Roman"/>
          <w:color w:val="222222"/>
          <w:szCs w:val="24"/>
        </w:rPr>
        <w:t xml:space="preserve"> </w:t>
      </w:r>
      <w:r w:rsidR="001E3033">
        <w:rPr>
          <w:rFonts w:eastAsia="Times New Roman" w:cs="Times New Roman"/>
          <w:color w:val="222222"/>
          <w:szCs w:val="24"/>
        </w:rPr>
        <w:t xml:space="preserve">Gordon’s </w:t>
      </w:r>
      <w:r w:rsidR="001E3033" w:rsidRPr="000F79DD">
        <w:rPr>
          <w:rFonts w:eastAsia="Times New Roman" w:cs="Times New Roman"/>
          <w:color w:val="222222"/>
          <w:szCs w:val="24"/>
          <w:u w:val="single"/>
        </w:rPr>
        <w:t>The Rise and Fall of American Growth</w:t>
      </w:r>
      <w:r w:rsidR="001E3033" w:rsidRPr="000F79DD">
        <w:rPr>
          <w:rFonts w:eastAsia="Times New Roman" w:cs="Times New Roman"/>
          <w:color w:val="222222"/>
          <w:szCs w:val="24"/>
        </w:rPr>
        <w:t xml:space="preserve"> </w:t>
      </w:r>
      <w:r w:rsidR="001E3033">
        <w:rPr>
          <w:rFonts w:eastAsia="Times New Roman" w:cs="Times New Roman"/>
          <w:color w:val="222222"/>
          <w:szCs w:val="24"/>
        </w:rPr>
        <w:t>brought</w:t>
      </w:r>
      <w:r w:rsidR="001E3033" w:rsidRPr="000F79DD">
        <w:rPr>
          <w:rFonts w:eastAsia="Times New Roman" w:cs="Times New Roman"/>
          <w:color w:val="222222"/>
          <w:szCs w:val="24"/>
        </w:rPr>
        <w:t xml:space="preserve"> to a popular audience as well as many economists an </w:t>
      </w:r>
      <w:r w:rsidR="001E3033">
        <w:rPr>
          <w:rFonts w:eastAsia="Times New Roman" w:cs="Times New Roman"/>
          <w:color w:val="222222"/>
          <w:szCs w:val="24"/>
        </w:rPr>
        <w:t>interpretation</w:t>
      </w:r>
      <w:r w:rsidR="001E3033" w:rsidRPr="000F79DD">
        <w:rPr>
          <w:rFonts w:eastAsia="Times New Roman" w:cs="Times New Roman"/>
          <w:color w:val="222222"/>
          <w:szCs w:val="24"/>
        </w:rPr>
        <w:t xml:space="preserve"> of the broad contours of US economic growth since 1870.  Gordon consider</w:t>
      </w:r>
      <w:r w:rsidR="001E3033">
        <w:rPr>
          <w:rFonts w:eastAsia="Times New Roman" w:cs="Times New Roman"/>
          <w:color w:val="222222"/>
          <w:szCs w:val="24"/>
        </w:rPr>
        <w:t>ed</w:t>
      </w:r>
      <w:r w:rsidR="001E3033" w:rsidRPr="000F79DD">
        <w:rPr>
          <w:rFonts w:eastAsia="Times New Roman" w:cs="Times New Roman"/>
          <w:color w:val="222222"/>
          <w:szCs w:val="24"/>
        </w:rPr>
        <w:t xml:space="preserve"> the evolution of productivity, consumption, and more generally the </w:t>
      </w:r>
      <w:r w:rsidR="001E3033">
        <w:rPr>
          <w:rFonts w:eastAsia="Times New Roman" w:cs="Times New Roman"/>
          <w:color w:val="222222"/>
          <w:szCs w:val="24"/>
        </w:rPr>
        <w:t xml:space="preserve">U.S. </w:t>
      </w:r>
      <w:r w:rsidR="001E3033" w:rsidRPr="000F79DD">
        <w:rPr>
          <w:rFonts w:eastAsia="Times New Roman" w:cs="Times New Roman"/>
          <w:color w:val="222222"/>
          <w:szCs w:val="24"/>
        </w:rPr>
        <w:t xml:space="preserve">standard of living </w:t>
      </w:r>
      <w:r w:rsidR="001E3033">
        <w:rPr>
          <w:rFonts w:eastAsia="Times New Roman" w:cs="Times New Roman"/>
          <w:color w:val="222222"/>
          <w:szCs w:val="24"/>
        </w:rPr>
        <w:t>fr</w:t>
      </w:r>
      <w:r w:rsidR="001E3033" w:rsidRPr="000F79DD">
        <w:rPr>
          <w:rFonts w:eastAsia="Times New Roman" w:cs="Times New Roman"/>
          <w:color w:val="222222"/>
          <w:szCs w:val="24"/>
        </w:rPr>
        <w:t xml:space="preserve">om the end of the Civil War to the present day. Although </w:t>
      </w:r>
      <w:r w:rsidR="001E3033">
        <w:rPr>
          <w:rFonts w:eastAsia="Times New Roman" w:cs="Times New Roman"/>
          <w:color w:val="222222"/>
          <w:szCs w:val="24"/>
        </w:rPr>
        <w:t>the</w:t>
      </w:r>
      <w:r w:rsidR="001E3033" w:rsidRPr="000F79DD">
        <w:rPr>
          <w:rFonts w:eastAsia="Times New Roman" w:cs="Times New Roman"/>
          <w:color w:val="222222"/>
          <w:szCs w:val="24"/>
        </w:rPr>
        <w:t xml:space="preserve"> work </w:t>
      </w:r>
      <w:r w:rsidR="001E3033">
        <w:rPr>
          <w:rFonts w:eastAsia="Times New Roman" w:cs="Times New Roman"/>
          <w:color w:val="222222"/>
          <w:szCs w:val="24"/>
        </w:rPr>
        <w:t>is</w:t>
      </w:r>
      <w:r w:rsidR="001E3033" w:rsidRPr="000F79DD">
        <w:rPr>
          <w:rFonts w:eastAsia="Times New Roman" w:cs="Times New Roman"/>
          <w:color w:val="222222"/>
          <w:szCs w:val="24"/>
        </w:rPr>
        <w:t xml:space="preserve"> determinedly</w:t>
      </w:r>
      <w:r w:rsidR="001E3033">
        <w:rPr>
          <w:rFonts w:eastAsia="Times New Roman" w:cs="Times New Roman"/>
          <w:color w:val="222222"/>
          <w:szCs w:val="24"/>
        </w:rPr>
        <w:t xml:space="preserve"> historical –</w:t>
      </w:r>
      <w:r w:rsidR="001E3033" w:rsidRPr="000F79DD">
        <w:rPr>
          <w:rFonts w:eastAsia="Times New Roman" w:cs="Times New Roman"/>
          <w:color w:val="222222"/>
          <w:szCs w:val="24"/>
        </w:rPr>
        <w:t xml:space="preserve"> </w:t>
      </w:r>
      <w:r w:rsidR="001E3033">
        <w:rPr>
          <w:rFonts w:eastAsia="Times New Roman" w:cs="Times New Roman"/>
          <w:color w:val="222222"/>
          <w:szCs w:val="24"/>
        </w:rPr>
        <w:t xml:space="preserve">sixteen of eighteen </w:t>
      </w:r>
      <w:r w:rsidR="001E3033" w:rsidRPr="000F79DD">
        <w:rPr>
          <w:rFonts w:eastAsia="Times New Roman" w:cs="Times New Roman"/>
          <w:color w:val="222222"/>
          <w:szCs w:val="24"/>
        </w:rPr>
        <w:t>chapters focus pr</w:t>
      </w:r>
      <w:r w:rsidR="001E3033">
        <w:rPr>
          <w:rFonts w:eastAsia="Times New Roman" w:cs="Times New Roman"/>
          <w:color w:val="222222"/>
          <w:szCs w:val="24"/>
        </w:rPr>
        <w:t>incipally on the past -- it was the</w:t>
      </w:r>
      <w:r w:rsidR="001E3033" w:rsidRPr="000F79DD">
        <w:rPr>
          <w:rFonts w:eastAsia="Times New Roman" w:cs="Times New Roman"/>
          <w:color w:val="222222"/>
          <w:szCs w:val="24"/>
        </w:rPr>
        <w:t xml:space="preserve"> pessimistic forecast for the future developed in </w:t>
      </w:r>
      <w:r w:rsidR="001E3033">
        <w:rPr>
          <w:rFonts w:eastAsia="Times New Roman" w:cs="Times New Roman"/>
          <w:color w:val="222222"/>
          <w:szCs w:val="24"/>
        </w:rPr>
        <w:t>previous working papers and summarized in chapters 17 and 18 that</w:t>
      </w:r>
      <w:r w:rsidR="001E3033" w:rsidRPr="000F79DD">
        <w:rPr>
          <w:rFonts w:eastAsia="Times New Roman" w:cs="Times New Roman"/>
          <w:color w:val="222222"/>
          <w:szCs w:val="24"/>
        </w:rPr>
        <w:t xml:space="preserve"> generated the lion’s share of critical discussion and commentary.  The debate featured dueling TED talks from Gordon on the one hand and Eric Brynjolfsson and Andrew McAfee</w:t>
      </w:r>
      <w:r w:rsidR="001E3033">
        <w:rPr>
          <w:rFonts w:eastAsia="Times New Roman" w:cs="Times New Roman"/>
          <w:color w:val="222222"/>
          <w:szCs w:val="24"/>
        </w:rPr>
        <w:t xml:space="preserve"> </w:t>
      </w:r>
      <w:r w:rsidR="001E3033" w:rsidRPr="000F79DD">
        <w:rPr>
          <w:rFonts w:eastAsia="Times New Roman" w:cs="Times New Roman"/>
          <w:color w:val="222222"/>
          <w:szCs w:val="24"/>
        </w:rPr>
        <w:t>on the other</w:t>
      </w:r>
      <w:r w:rsidR="001E3033">
        <w:rPr>
          <w:rFonts w:eastAsia="Times New Roman" w:cs="Times New Roman"/>
          <w:color w:val="222222"/>
          <w:szCs w:val="24"/>
        </w:rPr>
        <w:t xml:space="preserve"> (both from 2013)</w:t>
      </w:r>
      <w:r w:rsidR="001E3033" w:rsidRPr="000F79DD">
        <w:rPr>
          <w:rFonts w:eastAsia="Times New Roman" w:cs="Times New Roman"/>
          <w:color w:val="222222"/>
          <w:szCs w:val="24"/>
        </w:rPr>
        <w:t>, as well as optimist rebuttals to Gordon from his colleague Joel Mokyr</w:t>
      </w:r>
      <w:r w:rsidR="001E3033">
        <w:rPr>
          <w:rFonts w:eastAsia="Times New Roman" w:cs="Times New Roman"/>
          <w:color w:val="222222"/>
          <w:szCs w:val="24"/>
        </w:rPr>
        <w:t xml:space="preserve"> (2016)</w:t>
      </w:r>
      <w:r w:rsidR="001E3033" w:rsidRPr="000F79DD">
        <w:rPr>
          <w:rFonts w:eastAsia="Times New Roman" w:cs="Times New Roman"/>
          <w:color w:val="222222"/>
          <w:szCs w:val="24"/>
        </w:rPr>
        <w:t>, Deirdre McCloskey</w:t>
      </w:r>
      <w:r w:rsidR="001E3033">
        <w:rPr>
          <w:rFonts w:eastAsia="Times New Roman" w:cs="Times New Roman"/>
          <w:color w:val="222222"/>
          <w:szCs w:val="24"/>
        </w:rPr>
        <w:t xml:space="preserve"> (2016)</w:t>
      </w:r>
      <w:r w:rsidR="001E3033" w:rsidRPr="000F79DD">
        <w:rPr>
          <w:rFonts w:eastAsia="Times New Roman" w:cs="Times New Roman"/>
          <w:color w:val="222222"/>
          <w:szCs w:val="24"/>
        </w:rPr>
        <w:t>, and others.</w:t>
      </w:r>
      <w:r w:rsidR="001E3033">
        <w:rPr>
          <w:rFonts w:eastAsia="Times New Roman" w:cs="Times New Roman"/>
          <w:color w:val="222222"/>
          <w:szCs w:val="24"/>
        </w:rPr>
        <w:t xml:space="preserve"> </w:t>
      </w:r>
    </w:p>
    <w:p w14:paraId="696E4AF9" w14:textId="473C10B2" w:rsidR="001E3033" w:rsidRDefault="001E3033" w:rsidP="001E3033">
      <w:pPr>
        <w:shd w:val="clear" w:color="auto" w:fill="FFFFFF"/>
        <w:spacing w:after="0" w:line="480" w:lineRule="auto"/>
        <w:ind w:firstLine="576"/>
        <w:rPr>
          <w:rFonts w:eastAsia="Times New Roman" w:cs="Times New Roman"/>
          <w:color w:val="222222"/>
          <w:szCs w:val="24"/>
        </w:rPr>
      </w:pPr>
      <w:r>
        <w:rPr>
          <w:rFonts w:eastAsia="Times New Roman" w:cs="Times New Roman"/>
          <w:color w:val="222222"/>
          <w:szCs w:val="24"/>
        </w:rPr>
        <w:t xml:space="preserve">The historical sections – the bulk of the book – </w:t>
      </w:r>
      <w:r w:rsidRPr="000F79DD">
        <w:rPr>
          <w:rFonts w:eastAsia="Times New Roman" w:cs="Times New Roman"/>
          <w:color w:val="222222"/>
          <w:szCs w:val="24"/>
        </w:rPr>
        <w:t>received</w:t>
      </w:r>
      <w:r>
        <w:rPr>
          <w:rFonts w:eastAsia="Times New Roman" w:cs="Times New Roman"/>
          <w:color w:val="222222"/>
          <w:szCs w:val="24"/>
        </w:rPr>
        <w:t xml:space="preserve"> somewhat</w:t>
      </w:r>
      <w:r w:rsidRPr="000F79DD">
        <w:rPr>
          <w:rFonts w:eastAsia="Times New Roman" w:cs="Times New Roman"/>
          <w:color w:val="222222"/>
          <w:szCs w:val="24"/>
        </w:rPr>
        <w:t xml:space="preserve"> less critical scrutiny</w:t>
      </w:r>
      <w:r>
        <w:rPr>
          <w:rFonts w:eastAsia="Times New Roman" w:cs="Times New Roman"/>
          <w:color w:val="222222"/>
          <w:szCs w:val="24"/>
        </w:rPr>
        <w:t>. One</w:t>
      </w:r>
      <w:r w:rsidRPr="000F79DD">
        <w:rPr>
          <w:rFonts w:eastAsia="Times New Roman" w:cs="Times New Roman"/>
          <w:color w:val="222222"/>
          <w:szCs w:val="24"/>
        </w:rPr>
        <w:t xml:space="preserve"> aspect of </w:t>
      </w:r>
      <w:r>
        <w:rPr>
          <w:rFonts w:eastAsia="Times New Roman" w:cs="Times New Roman"/>
          <w:color w:val="222222"/>
          <w:szCs w:val="24"/>
        </w:rPr>
        <w:t>the</w:t>
      </w:r>
      <w:r w:rsidRPr="000F79DD">
        <w:rPr>
          <w:rFonts w:eastAsia="Times New Roman" w:cs="Times New Roman"/>
          <w:color w:val="222222"/>
          <w:szCs w:val="24"/>
        </w:rPr>
        <w:t xml:space="preserve"> narrative</w:t>
      </w:r>
      <w:r>
        <w:rPr>
          <w:rFonts w:eastAsia="Times New Roman" w:cs="Times New Roman"/>
          <w:color w:val="222222"/>
          <w:szCs w:val="24"/>
        </w:rPr>
        <w:t xml:space="preserve">, Gordon’s exuberantly optimistic interpretation of the economic </w:t>
      </w:r>
      <w:r>
        <w:rPr>
          <w:rFonts w:eastAsia="Times New Roman" w:cs="Times New Roman"/>
          <w:color w:val="222222"/>
          <w:szCs w:val="24"/>
        </w:rPr>
        <w:lastRenderedPageBreak/>
        <w:t>impact of the Second World War, particularly its effect on US aggregate supply, is a focus of this paper.</w:t>
      </w:r>
      <w:r w:rsidR="00A4719A">
        <w:rPr>
          <w:rFonts w:eastAsia="Times New Roman" w:cs="Times New Roman"/>
          <w:color w:val="222222"/>
          <w:szCs w:val="24"/>
        </w:rPr>
        <w:t xml:space="preserve">  Evaluating </w:t>
      </w:r>
      <w:r>
        <w:rPr>
          <w:rFonts w:eastAsia="Times New Roman" w:cs="Times New Roman"/>
          <w:color w:val="222222"/>
          <w:szCs w:val="24"/>
        </w:rPr>
        <w:t xml:space="preserve">this </w:t>
      </w:r>
      <w:r w:rsidR="004C2868">
        <w:rPr>
          <w:rFonts w:eastAsia="Times New Roman" w:cs="Times New Roman"/>
          <w:color w:val="222222"/>
          <w:szCs w:val="24"/>
        </w:rPr>
        <w:t>interpretation</w:t>
      </w:r>
      <w:r>
        <w:rPr>
          <w:rFonts w:eastAsia="Times New Roman" w:cs="Times New Roman"/>
          <w:color w:val="222222"/>
          <w:szCs w:val="24"/>
        </w:rPr>
        <w:t xml:space="preserve"> is </w:t>
      </w:r>
      <w:r w:rsidR="00DC2DF4">
        <w:rPr>
          <w:rFonts w:eastAsia="Times New Roman" w:cs="Times New Roman"/>
          <w:color w:val="222222"/>
          <w:szCs w:val="24"/>
        </w:rPr>
        <w:t>important</w:t>
      </w:r>
      <w:r>
        <w:rPr>
          <w:rFonts w:eastAsia="Times New Roman" w:cs="Times New Roman"/>
          <w:color w:val="222222"/>
          <w:szCs w:val="24"/>
        </w:rPr>
        <w:t xml:space="preserve"> not only for our understanding of mid-twentieth century U</w:t>
      </w:r>
      <w:r w:rsidR="00896A65">
        <w:rPr>
          <w:rFonts w:eastAsia="Times New Roman" w:cs="Times New Roman"/>
          <w:color w:val="222222"/>
          <w:szCs w:val="24"/>
        </w:rPr>
        <w:t>.</w:t>
      </w:r>
      <w:r>
        <w:rPr>
          <w:rFonts w:eastAsia="Times New Roman" w:cs="Times New Roman"/>
          <w:color w:val="222222"/>
          <w:szCs w:val="24"/>
        </w:rPr>
        <w:t>S. economic history, but also because of its relevance to broader</w:t>
      </w:r>
      <w:r w:rsidRPr="007E4FF3">
        <w:rPr>
          <w:rFonts w:eastAsia="Times New Roman" w:cs="Times New Roman"/>
          <w:color w:val="222222"/>
          <w:szCs w:val="24"/>
        </w:rPr>
        <w:t xml:space="preserve"> </w:t>
      </w:r>
      <w:r>
        <w:rPr>
          <w:rFonts w:eastAsia="Times New Roman" w:cs="Times New Roman"/>
          <w:color w:val="222222"/>
          <w:szCs w:val="24"/>
        </w:rPr>
        <w:t>debates about the impact of</w:t>
      </w:r>
      <w:r w:rsidRPr="007E4FF3">
        <w:rPr>
          <w:rFonts w:eastAsia="Times New Roman" w:cs="Times New Roman"/>
          <w:color w:val="222222"/>
          <w:szCs w:val="24"/>
        </w:rPr>
        <w:t xml:space="preserve"> war and military spending on technological and economic progress</w:t>
      </w:r>
      <w:r>
        <w:rPr>
          <w:rFonts w:eastAsia="Times New Roman" w:cs="Times New Roman"/>
          <w:color w:val="222222"/>
          <w:szCs w:val="24"/>
        </w:rPr>
        <w:t xml:space="preserve">. </w:t>
      </w:r>
    </w:p>
    <w:bookmarkEnd w:id="0"/>
    <w:p w14:paraId="25EADA91" w14:textId="26F4658D" w:rsidR="0003258E" w:rsidRPr="000F79DD" w:rsidRDefault="00A60C36" w:rsidP="00C50326">
      <w:pPr>
        <w:shd w:val="clear" w:color="auto" w:fill="FFFFFF"/>
        <w:spacing w:after="0" w:line="480" w:lineRule="auto"/>
        <w:rPr>
          <w:rFonts w:eastAsia="Times New Roman" w:cs="Times New Roman"/>
          <w:color w:val="222222"/>
          <w:szCs w:val="24"/>
        </w:rPr>
      </w:pPr>
      <w:r>
        <w:rPr>
          <w:rFonts w:eastAsia="Times New Roman" w:cs="Times New Roman"/>
          <w:b/>
          <w:color w:val="222222"/>
          <w:szCs w:val="24"/>
        </w:rPr>
        <w:t xml:space="preserve">Long Run </w:t>
      </w:r>
      <w:r w:rsidR="0003258E">
        <w:rPr>
          <w:rFonts w:eastAsia="Times New Roman" w:cs="Times New Roman"/>
          <w:b/>
          <w:color w:val="222222"/>
          <w:szCs w:val="24"/>
        </w:rPr>
        <w:t>Productivity Trends in the US Economy</w:t>
      </w:r>
    </w:p>
    <w:p w14:paraId="28D1102A" w14:textId="1084F090" w:rsidR="003966C1" w:rsidRDefault="00887AF7" w:rsidP="003966C1">
      <w:pPr>
        <w:shd w:val="clear" w:color="auto" w:fill="FFFFFF"/>
        <w:spacing w:after="0" w:line="480" w:lineRule="auto"/>
        <w:ind w:firstLine="576"/>
        <w:rPr>
          <w:rFonts w:eastAsia="Times New Roman" w:cs="Times New Roman"/>
          <w:color w:val="222222"/>
          <w:szCs w:val="24"/>
        </w:rPr>
      </w:pPr>
      <w:r>
        <w:rPr>
          <w:rFonts w:eastAsia="Times New Roman" w:cs="Times New Roman"/>
          <w:color w:val="222222"/>
          <w:szCs w:val="24"/>
        </w:rPr>
        <w:t>S</w:t>
      </w:r>
      <w:r w:rsidR="00C3151D">
        <w:rPr>
          <w:rFonts w:eastAsia="Times New Roman" w:cs="Times New Roman"/>
          <w:color w:val="222222"/>
          <w:szCs w:val="24"/>
        </w:rPr>
        <w:t xml:space="preserve">tudents of productivity growth in the United States agree that the </w:t>
      </w:r>
      <w:r w:rsidR="004C2868">
        <w:rPr>
          <w:rFonts w:eastAsia="Times New Roman" w:cs="Times New Roman"/>
          <w:color w:val="222222"/>
          <w:szCs w:val="24"/>
        </w:rPr>
        <w:t xml:space="preserve">second and third quarters of the twentieth </w:t>
      </w:r>
      <w:r w:rsidR="007F20A4">
        <w:rPr>
          <w:rFonts w:eastAsia="Times New Roman" w:cs="Times New Roman"/>
          <w:color w:val="222222"/>
          <w:szCs w:val="24"/>
        </w:rPr>
        <w:t xml:space="preserve">century </w:t>
      </w:r>
      <w:r w:rsidR="00C3151D">
        <w:rPr>
          <w:rFonts w:eastAsia="Times New Roman" w:cs="Times New Roman"/>
          <w:color w:val="222222"/>
          <w:szCs w:val="24"/>
        </w:rPr>
        <w:t>experienced particularly rapid TFP growth</w:t>
      </w:r>
      <w:r w:rsidR="004C2868">
        <w:rPr>
          <w:rFonts w:eastAsia="Times New Roman" w:cs="Times New Roman"/>
          <w:color w:val="222222"/>
          <w:szCs w:val="24"/>
        </w:rPr>
        <w:t xml:space="preserve">, although </w:t>
      </w:r>
      <w:r w:rsidR="00C3151D">
        <w:rPr>
          <w:rFonts w:eastAsia="Times New Roman" w:cs="Times New Roman"/>
          <w:color w:val="222222"/>
          <w:szCs w:val="24"/>
        </w:rPr>
        <w:t xml:space="preserve">there remain important differences </w:t>
      </w:r>
      <w:r w:rsidR="00DC2DF4">
        <w:rPr>
          <w:rFonts w:eastAsia="Times New Roman" w:cs="Times New Roman"/>
          <w:color w:val="222222"/>
          <w:szCs w:val="24"/>
        </w:rPr>
        <w:t>about</w:t>
      </w:r>
      <w:r w:rsidR="00896A65">
        <w:rPr>
          <w:rFonts w:eastAsia="Times New Roman" w:cs="Times New Roman"/>
          <w:color w:val="222222"/>
          <w:szCs w:val="24"/>
        </w:rPr>
        <w:t xml:space="preserve"> </w:t>
      </w:r>
      <w:r w:rsidR="00C3151D">
        <w:rPr>
          <w:rFonts w:eastAsia="Times New Roman" w:cs="Times New Roman"/>
          <w:color w:val="222222"/>
          <w:szCs w:val="24"/>
        </w:rPr>
        <w:t xml:space="preserve">when within those decades the most rapid advance occurred. </w:t>
      </w:r>
      <w:r w:rsidR="003966C1" w:rsidRPr="000F79DD">
        <w:rPr>
          <w:rFonts w:eastAsia="Times New Roman" w:cs="Times New Roman"/>
          <w:color w:val="222222"/>
          <w:szCs w:val="24"/>
        </w:rPr>
        <w:t xml:space="preserve">Gordon originally settled on </w:t>
      </w:r>
      <w:r w:rsidR="003966C1" w:rsidRPr="00BC5A74">
        <w:rPr>
          <w:rFonts w:eastAsia="Times New Roman" w:cs="Times New Roman"/>
          <w:bCs/>
          <w:color w:val="222222"/>
          <w:szCs w:val="24"/>
        </w:rPr>
        <w:t>One Big Wave</w:t>
      </w:r>
      <w:r w:rsidR="003966C1" w:rsidRPr="000F79DD">
        <w:rPr>
          <w:rFonts w:eastAsia="Times New Roman" w:cs="Times New Roman"/>
          <w:color w:val="222222"/>
          <w:szCs w:val="24"/>
        </w:rPr>
        <w:t xml:space="preserve"> as his way of calling attention t</w:t>
      </w:r>
      <w:r w:rsidR="003966C1">
        <w:rPr>
          <w:rFonts w:eastAsia="Times New Roman" w:cs="Times New Roman"/>
          <w:color w:val="222222"/>
          <w:szCs w:val="24"/>
        </w:rPr>
        <w:t>o the strong TFP growth that</w:t>
      </w:r>
      <w:r w:rsidR="003966C1" w:rsidRPr="000F79DD">
        <w:rPr>
          <w:rFonts w:eastAsia="Times New Roman" w:cs="Times New Roman"/>
          <w:color w:val="222222"/>
          <w:szCs w:val="24"/>
        </w:rPr>
        <w:t xml:space="preserve"> characterized the </w:t>
      </w:r>
      <w:r w:rsidR="004C2868">
        <w:rPr>
          <w:rFonts w:eastAsia="Times New Roman" w:cs="Times New Roman"/>
          <w:color w:val="222222"/>
          <w:szCs w:val="24"/>
        </w:rPr>
        <w:t>half century between roughly 1920 and 1970</w:t>
      </w:r>
      <w:r w:rsidR="003966C1" w:rsidRPr="000F79DD">
        <w:rPr>
          <w:rFonts w:eastAsia="Times New Roman" w:cs="Times New Roman"/>
          <w:color w:val="222222"/>
          <w:szCs w:val="24"/>
        </w:rPr>
        <w:t>.</w:t>
      </w:r>
      <w:r w:rsidR="003966C1">
        <w:rPr>
          <w:rFonts w:eastAsia="Times New Roman" w:cs="Times New Roman"/>
          <w:color w:val="222222"/>
          <w:szCs w:val="24"/>
        </w:rPr>
        <w:t xml:space="preserve"> As a metaphor about levels, this never quite </w:t>
      </w:r>
      <w:r w:rsidR="007A01E1">
        <w:rPr>
          <w:rFonts w:eastAsia="Times New Roman" w:cs="Times New Roman"/>
          <w:color w:val="222222"/>
          <w:szCs w:val="24"/>
        </w:rPr>
        <w:t>fit</w:t>
      </w:r>
      <w:r w:rsidR="003966C1">
        <w:rPr>
          <w:rFonts w:eastAsia="Times New Roman" w:cs="Times New Roman"/>
          <w:color w:val="222222"/>
          <w:szCs w:val="24"/>
        </w:rPr>
        <w:t>, s</w:t>
      </w:r>
      <w:r w:rsidR="003966C1" w:rsidRPr="000F79DD">
        <w:rPr>
          <w:rFonts w:eastAsia="Times New Roman" w:cs="Times New Roman"/>
          <w:color w:val="222222"/>
          <w:szCs w:val="24"/>
        </w:rPr>
        <w:t>ince when a wave is past it leaves the water at its original level, whereas this wave left TFP levels and our standa</w:t>
      </w:r>
      <w:r w:rsidR="003966C1">
        <w:rPr>
          <w:rFonts w:eastAsia="Times New Roman" w:cs="Times New Roman"/>
          <w:color w:val="222222"/>
          <w:szCs w:val="24"/>
        </w:rPr>
        <w:t>rd of</w:t>
      </w:r>
      <w:r w:rsidR="0008493C">
        <w:rPr>
          <w:rFonts w:eastAsia="Times New Roman" w:cs="Times New Roman"/>
          <w:color w:val="222222"/>
          <w:szCs w:val="24"/>
        </w:rPr>
        <w:t xml:space="preserve"> living permanently higher.  The metaphor </w:t>
      </w:r>
      <w:r w:rsidR="003966C1">
        <w:rPr>
          <w:rFonts w:eastAsia="Times New Roman" w:cs="Times New Roman"/>
          <w:color w:val="222222"/>
          <w:szCs w:val="24"/>
        </w:rPr>
        <w:t>work</w:t>
      </w:r>
      <w:r w:rsidR="004557A1">
        <w:rPr>
          <w:rFonts w:eastAsia="Times New Roman" w:cs="Times New Roman"/>
          <w:color w:val="222222"/>
          <w:szCs w:val="24"/>
        </w:rPr>
        <w:t>ed</w:t>
      </w:r>
      <w:r w:rsidR="003966C1">
        <w:rPr>
          <w:rFonts w:eastAsia="Times New Roman" w:cs="Times New Roman"/>
          <w:color w:val="222222"/>
          <w:szCs w:val="24"/>
        </w:rPr>
        <w:t xml:space="preserve"> somewhat better when applied to </w:t>
      </w:r>
      <w:r w:rsidR="003966C1" w:rsidRPr="000F79DD">
        <w:rPr>
          <w:rFonts w:eastAsia="Times New Roman" w:cs="Times New Roman"/>
          <w:color w:val="222222"/>
          <w:szCs w:val="24"/>
        </w:rPr>
        <w:t xml:space="preserve">rates of </w:t>
      </w:r>
      <w:r w:rsidR="003966C1">
        <w:rPr>
          <w:rFonts w:eastAsia="Times New Roman" w:cs="Times New Roman"/>
          <w:color w:val="222222"/>
          <w:szCs w:val="24"/>
        </w:rPr>
        <w:t>growth rather than levels</w:t>
      </w:r>
      <w:r w:rsidR="00E16FC7">
        <w:rPr>
          <w:rFonts w:eastAsia="Times New Roman" w:cs="Times New Roman"/>
          <w:color w:val="222222"/>
          <w:szCs w:val="24"/>
        </w:rPr>
        <w:t>, although levels are what c</w:t>
      </w:r>
      <w:r w:rsidR="00110218">
        <w:rPr>
          <w:rFonts w:eastAsia="Times New Roman" w:cs="Times New Roman"/>
          <w:color w:val="222222"/>
          <w:szCs w:val="24"/>
        </w:rPr>
        <w:t>o</w:t>
      </w:r>
      <w:r w:rsidR="00E16FC7">
        <w:rPr>
          <w:rFonts w:eastAsia="Times New Roman" w:cs="Times New Roman"/>
          <w:color w:val="222222"/>
          <w:szCs w:val="24"/>
        </w:rPr>
        <w:t>me</w:t>
      </w:r>
      <w:r w:rsidR="003966C1">
        <w:rPr>
          <w:rFonts w:eastAsia="Times New Roman" w:cs="Times New Roman"/>
          <w:color w:val="222222"/>
          <w:szCs w:val="24"/>
        </w:rPr>
        <w:t xml:space="preserve"> most readily to mind.</w:t>
      </w:r>
      <w:r w:rsidR="003966C1" w:rsidRPr="000F79DD">
        <w:rPr>
          <w:rFonts w:eastAsia="Times New Roman" w:cs="Times New Roman"/>
          <w:color w:val="222222"/>
          <w:szCs w:val="24"/>
        </w:rPr>
        <w:t xml:space="preserve"> In any c</w:t>
      </w:r>
      <w:r w:rsidR="003966C1">
        <w:rPr>
          <w:rFonts w:eastAsia="Times New Roman" w:cs="Times New Roman"/>
          <w:color w:val="222222"/>
          <w:szCs w:val="24"/>
        </w:rPr>
        <w:t xml:space="preserve">ase, </w:t>
      </w:r>
      <w:r w:rsidR="00BB5A1B">
        <w:rPr>
          <w:rFonts w:eastAsia="Times New Roman" w:cs="Times New Roman"/>
          <w:color w:val="222222"/>
          <w:szCs w:val="24"/>
        </w:rPr>
        <w:t xml:space="preserve">in </w:t>
      </w:r>
      <w:r w:rsidR="00AF7AEE">
        <w:rPr>
          <w:rFonts w:eastAsia="Times New Roman" w:cs="Times New Roman"/>
          <w:color w:val="222222"/>
          <w:szCs w:val="24"/>
          <w:u w:val="single"/>
        </w:rPr>
        <w:t xml:space="preserve">The Rise and Fall of American </w:t>
      </w:r>
      <w:r w:rsidR="00AF7AEE" w:rsidRPr="00C50326">
        <w:rPr>
          <w:rFonts w:eastAsia="Times New Roman" w:cs="Times New Roman"/>
          <w:color w:val="222222"/>
          <w:szCs w:val="24"/>
          <w:u w:val="single"/>
        </w:rPr>
        <w:t>Growth</w:t>
      </w:r>
      <w:r w:rsidR="00AF7AEE">
        <w:rPr>
          <w:rFonts w:eastAsia="Times New Roman" w:cs="Times New Roman"/>
          <w:color w:val="222222"/>
          <w:szCs w:val="24"/>
        </w:rPr>
        <w:t xml:space="preserve"> </w:t>
      </w:r>
      <w:r w:rsidR="00407BFB">
        <w:rPr>
          <w:rFonts w:eastAsia="Times New Roman" w:cs="Times New Roman"/>
          <w:color w:val="222222"/>
          <w:szCs w:val="24"/>
        </w:rPr>
        <w:t xml:space="preserve">Gordon </w:t>
      </w:r>
      <w:r w:rsidR="004557A1">
        <w:rPr>
          <w:rFonts w:eastAsia="Times New Roman" w:cs="Times New Roman"/>
          <w:color w:val="222222"/>
          <w:szCs w:val="24"/>
        </w:rPr>
        <w:t>abandon</w:t>
      </w:r>
      <w:r>
        <w:rPr>
          <w:rFonts w:eastAsia="Times New Roman" w:cs="Times New Roman"/>
          <w:color w:val="222222"/>
          <w:szCs w:val="24"/>
        </w:rPr>
        <w:t>ed</w:t>
      </w:r>
      <w:r w:rsidR="004557A1">
        <w:rPr>
          <w:rFonts w:eastAsia="Times New Roman" w:cs="Times New Roman"/>
          <w:color w:val="222222"/>
          <w:szCs w:val="24"/>
        </w:rPr>
        <w:t xml:space="preserve"> </w:t>
      </w:r>
      <w:r w:rsidR="003966C1">
        <w:rPr>
          <w:rFonts w:eastAsia="Times New Roman" w:cs="Times New Roman"/>
          <w:color w:val="222222"/>
          <w:szCs w:val="24"/>
        </w:rPr>
        <w:t>th</w:t>
      </w:r>
      <w:r w:rsidR="00DC2DF4">
        <w:rPr>
          <w:rFonts w:eastAsia="Times New Roman" w:cs="Times New Roman"/>
          <w:color w:val="222222"/>
          <w:szCs w:val="24"/>
        </w:rPr>
        <w:t>is</w:t>
      </w:r>
      <w:r w:rsidR="003966C1" w:rsidRPr="000F79DD">
        <w:rPr>
          <w:rFonts w:eastAsia="Times New Roman" w:cs="Times New Roman"/>
          <w:color w:val="222222"/>
          <w:szCs w:val="24"/>
        </w:rPr>
        <w:t xml:space="preserve"> </w:t>
      </w:r>
      <w:r w:rsidR="003966C1">
        <w:rPr>
          <w:rFonts w:eastAsia="Times New Roman" w:cs="Times New Roman"/>
          <w:color w:val="222222"/>
          <w:szCs w:val="24"/>
        </w:rPr>
        <w:t>catchphrase and adopt</w:t>
      </w:r>
      <w:r>
        <w:rPr>
          <w:rFonts w:eastAsia="Times New Roman" w:cs="Times New Roman"/>
          <w:color w:val="222222"/>
          <w:szCs w:val="24"/>
        </w:rPr>
        <w:t>ed</w:t>
      </w:r>
      <w:r w:rsidR="003966C1">
        <w:rPr>
          <w:rFonts w:eastAsia="Times New Roman" w:cs="Times New Roman"/>
          <w:color w:val="222222"/>
          <w:szCs w:val="24"/>
        </w:rPr>
        <w:t xml:space="preserve"> instead that of a Great Leap Forward.  The idea of applying this language to TFP growth in the 1930s originated with Field (2011)</w:t>
      </w:r>
      <w:r w:rsidR="003966C1" w:rsidRPr="000F79DD">
        <w:rPr>
          <w:rFonts w:eastAsia="Times New Roman" w:cs="Times New Roman"/>
          <w:color w:val="222222"/>
          <w:szCs w:val="24"/>
        </w:rPr>
        <w:t>.</w:t>
      </w:r>
    </w:p>
    <w:p w14:paraId="1B4AEAD8" w14:textId="70B16DC4" w:rsidR="003966C1" w:rsidRPr="000F79DD" w:rsidRDefault="003966C1" w:rsidP="003966C1">
      <w:pPr>
        <w:shd w:val="clear" w:color="auto" w:fill="FFFFFF"/>
        <w:spacing w:after="0" w:line="480" w:lineRule="auto"/>
        <w:ind w:firstLine="576"/>
        <w:rPr>
          <w:rFonts w:eastAsia="Times New Roman" w:cs="Times New Roman"/>
          <w:color w:val="222222"/>
          <w:szCs w:val="24"/>
        </w:rPr>
      </w:pPr>
      <w:r>
        <w:rPr>
          <w:noProof/>
        </w:rPr>
        <mc:AlternateContent>
          <mc:Choice Requires="wpi">
            <w:drawing>
              <wp:anchor distT="0" distB="0" distL="114300" distR="114300" simplePos="0" relativeHeight="251658240" behindDoc="0" locked="0" layoutInCell="1" allowOverlap="1" wp14:anchorId="5159FDD2" wp14:editId="046B3D88">
                <wp:simplePos x="0" y="0"/>
                <wp:positionH relativeFrom="column">
                  <wp:posOffset>-946300</wp:posOffset>
                </wp:positionH>
                <wp:positionV relativeFrom="paragraph">
                  <wp:posOffset>4853770</wp:posOffset>
                </wp:positionV>
                <wp:extent cx="19200" cy="12960"/>
                <wp:effectExtent l="38100" t="38100" r="57150" b="44450"/>
                <wp:wrapNone/>
                <wp:docPr id="1" name="Ink 1"/>
                <wp:cNvGraphicFramePr/>
                <a:graphic xmlns:a="http://schemas.openxmlformats.org/drawingml/2006/main">
                  <a:graphicData uri="http://schemas.microsoft.com/office/word/2010/wordprocessingInk">
                    <w14:contentPart bwMode="auto" r:id="rId9">
                      <w14:nvContentPartPr>
                        <w14:cNvContentPartPr/>
                      </w14:nvContentPartPr>
                      <w14:xfrm>
                        <a:off x="0" y="0"/>
                        <a:ext cx="19200" cy="12960"/>
                      </w14:xfrm>
                    </w14:contentPart>
                  </a:graphicData>
                </a:graphic>
              </wp:anchor>
            </w:drawing>
          </mc:Choice>
          <mc:Fallback>
            <w:pict>
              <v:shapetype w14:anchorId="0283C6C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 o:spid="_x0000_s1026" type="#_x0000_t75" style="position:absolute;margin-left:-74.85pt;margin-top:381.85pt;width:2.15pt;height:1.65pt;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">
                <v:imagedata r:id="rId10" o:title=""/>
              </v:shape>
            </w:pict>
          </mc:Fallback>
        </mc:AlternateContent>
      </w:r>
      <w:r>
        <w:t>Gordon cite</w:t>
      </w:r>
      <w:r w:rsidR="00AF7AEE">
        <w:t>d</w:t>
      </w:r>
      <w:r>
        <w:t xml:space="preserve"> Baumol </w:t>
      </w:r>
      <w:r w:rsidR="004A4118">
        <w:t xml:space="preserve">(the quote referenced above) </w:t>
      </w:r>
      <w:r>
        <w:t>as evidence that the idea of a ‘great leap’ was current in the literature a quarter century before Field published (</w:t>
      </w:r>
      <w:r w:rsidR="00407BFB">
        <w:t xml:space="preserve">Gordon, 2016, </w:t>
      </w:r>
      <w:r>
        <w:t xml:space="preserve">pp. 706-07).  </w:t>
      </w:r>
      <w:r w:rsidR="003905F1">
        <w:t xml:space="preserve">But </w:t>
      </w:r>
      <w:r>
        <w:t>Baumol</w:t>
      </w:r>
      <w:r w:rsidR="00C51921">
        <w:t xml:space="preserve">, as we have seen, </w:t>
      </w:r>
      <w:r>
        <w:t xml:space="preserve">used the words to apply to </w:t>
      </w:r>
      <w:r w:rsidR="00F95FD3">
        <w:t xml:space="preserve">a period </w:t>
      </w:r>
      <w:r>
        <w:t xml:space="preserve">after 1941, accepting the then conventional wisdom that productivity advance was </w:t>
      </w:r>
      <w:r w:rsidR="002E7B0B">
        <w:t>below trend between 1929 and 1941</w:t>
      </w:r>
      <w:r w:rsidR="00C51921">
        <w:t>.  His</w:t>
      </w:r>
      <w:r>
        <w:t xml:space="preserve"> view</w:t>
      </w:r>
      <w:r w:rsidR="003D55F3">
        <w:t xml:space="preserve">, roughly the </w:t>
      </w:r>
      <w:r w:rsidR="002D1F56">
        <w:t>opposite</w:t>
      </w:r>
      <w:r w:rsidR="00ED1BD9">
        <w:t xml:space="preserve"> of what Field argued, </w:t>
      </w:r>
      <w:r>
        <w:t>epitomized what had for decades been the conventional view</w:t>
      </w:r>
      <w:r w:rsidR="00073D34">
        <w:t xml:space="preserve"> of the Depression and the war</w:t>
      </w:r>
      <w:r w:rsidR="00ED1BD9">
        <w:t>.</w:t>
      </w:r>
      <w:r w:rsidR="00073D34">
        <w:t xml:space="preserve">  </w:t>
      </w:r>
      <w:r>
        <w:t>Whereas Gordon accept</w:t>
      </w:r>
      <w:r w:rsidR="00AF7AEE">
        <w:t>ed</w:t>
      </w:r>
      <w:r>
        <w:t xml:space="preserve"> Field’s revisionism regarding (at least moderate) productivity advance between 1929 and 1941, he </w:t>
      </w:r>
      <w:r>
        <w:lastRenderedPageBreak/>
        <w:t>persist</w:t>
      </w:r>
      <w:r w:rsidR="00AF7AEE">
        <w:t>ed</w:t>
      </w:r>
      <w:r>
        <w:t xml:space="preserve"> in retaining (but repackaging as new) the “economic miracle” interpretation of the supply side effects of the war, arguing that TFP growth across the war years greatly exceeded that during the Depression. </w:t>
      </w:r>
    </w:p>
    <w:p w14:paraId="7AD0793B" w14:textId="38F6AE91" w:rsidR="004557A1" w:rsidRDefault="00407BFB" w:rsidP="003966C1">
      <w:pPr>
        <w:shd w:val="clear" w:color="auto" w:fill="FFFFFF"/>
        <w:spacing w:line="480" w:lineRule="auto"/>
        <w:ind w:firstLine="576"/>
        <w:rPr>
          <w:rFonts w:eastAsia="Times New Roman" w:cs="Times New Roman"/>
          <w:color w:val="222222"/>
          <w:szCs w:val="24"/>
        </w:rPr>
      </w:pPr>
      <w:bookmarkStart w:id="1" w:name="_Hlk500927488"/>
      <w:r>
        <w:rPr>
          <w:rFonts w:eastAsia="Times New Roman" w:cs="Times New Roman"/>
          <w:color w:val="222222"/>
          <w:szCs w:val="24"/>
        </w:rPr>
        <w:t>He</w:t>
      </w:r>
      <w:r w:rsidR="00937B2E">
        <w:rPr>
          <w:rFonts w:eastAsia="Times New Roman" w:cs="Times New Roman"/>
          <w:color w:val="222222"/>
          <w:szCs w:val="24"/>
        </w:rPr>
        <w:t xml:space="preserve"> announced </w:t>
      </w:r>
      <w:r w:rsidR="00BB5A1B">
        <w:rPr>
          <w:rFonts w:eastAsia="Times New Roman" w:cs="Times New Roman"/>
          <w:color w:val="222222"/>
          <w:szCs w:val="24"/>
        </w:rPr>
        <w:t>this view</w:t>
      </w:r>
      <w:r w:rsidR="003966C1" w:rsidRPr="000F79DD">
        <w:rPr>
          <w:rFonts w:eastAsia="Times New Roman" w:cs="Times New Roman"/>
          <w:color w:val="222222"/>
          <w:szCs w:val="24"/>
        </w:rPr>
        <w:t xml:space="preserve"> </w:t>
      </w:r>
      <w:r w:rsidR="003966C1">
        <w:rPr>
          <w:rFonts w:eastAsia="Times New Roman" w:cs="Times New Roman"/>
          <w:color w:val="222222"/>
          <w:szCs w:val="24"/>
        </w:rPr>
        <w:t>at the start of his chapter 16</w:t>
      </w:r>
      <w:r w:rsidR="003966C1" w:rsidRPr="000F79DD">
        <w:rPr>
          <w:rFonts w:eastAsia="Times New Roman" w:cs="Times New Roman"/>
          <w:color w:val="222222"/>
          <w:szCs w:val="24"/>
        </w:rPr>
        <w:t>: “The most novel aspect of this chapter is its assertion that World War II itself was perhaps the most important contributor to the Great Leap”</w:t>
      </w:r>
      <w:r w:rsidR="003966C1">
        <w:rPr>
          <w:rFonts w:eastAsia="Times New Roman" w:cs="Times New Roman"/>
          <w:color w:val="222222"/>
          <w:szCs w:val="24"/>
        </w:rPr>
        <w:t>.</w:t>
      </w:r>
      <w:r w:rsidR="003966C1" w:rsidRPr="000F79DD">
        <w:rPr>
          <w:rFonts w:eastAsia="Times New Roman" w:cs="Times New Roman"/>
          <w:color w:val="222222"/>
          <w:szCs w:val="24"/>
        </w:rPr>
        <w:t xml:space="preserve"> </w:t>
      </w:r>
      <w:r w:rsidR="003966C1">
        <w:rPr>
          <w:rFonts w:eastAsia="Times New Roman" w:cs="Times New Roman"/>
          <w:color w:val="222222"/>
          <w:szCs w:val="24"/>
        </w:rPr>
        <w:t>That statement included the qualifier</w:t>
      </w:r>
      <w:r w:rsidR="003966C1" w:rsidRPr="000F79DD">
        <w:rPr>
          <w:rFonts w:eastAsia="Times New Roman" w:cs="Times New Roman"/>
          <w:color w:val="222222"/>
          <w:szCs w:val="24"/>
        </w:rPr>
        <w:t xml:space="preserve"> ‘perhaps’, </w:t>
      </w:r>
      <w:r w:rsidR="003966C1">
        <w:rPr>
          <w:rFonts w:eastAsia="Times New Roman" w:cs="Times New Roman"/>
          <w:color w:val="222222"/>
          <w:szCs w:val="24"/>
        </w:rPr>
        <w:t>but as Gordon warm</w:t>
      </w:r>
      <w:r w:rsidR="00AF7AEE">
        <w:rPr>
          <w:rFonts w:eastAsia="Times New Roman" w:cs="Times New Roman"/>
          <w:color w:val="222222"/>
          <w:szCs w:val="24"/>
        </w:rPr>
        <w:t>ed</w:t>
      </w:r>
      <w:r w:rsidR="003966C1">
        <w:rPr>
          <w:rFonts w:eastAsia="Times New Roman" w:cs="Times New Roman"/>
          <w:color w:val="222222"/>
          <w:szCs w:val="24"/>
        </w:rPr>
        <w:t xml:space="preserve"> to his argument, he</w:t>
      </w:r>
      <w:r w:rsidR="003966C1" w:rsidRPr="000F79DD">
        <w:rPr>
          <w:rFonts w:eastAsia="Times New Roman" w:cs="Times New Roman"/>
          <w:color w:val="222222"/>
          <w:szCs w:val="24"/>
        </w:rPr>
        <w:t xml:space="preserve"> </w:t>
      </w:r>
      <w:r w:rsidR="003966C1">
        <w:rPr>
          <w:rFonts w:eastAsia="Times New Roman" w:cs="Times New Roman"/>
          <w:color w:val="222222"/>
          <w:szCs w:val="24"/>
        </w:rPr>
        <w:t>abandon</w:t>
      </w:r>
      <w:r w:rsidR="00AF7AEE">
        <w:rPr>
          <w:rFonts w:eastAsia="Times New Roman" w:cs="Times New Roman"/>
          <w:color w:val="222222"/>
          <w:szCs w:val="24"/>
        </w:rPr>
        <w:t>ed</w:t>
      </w:r>
      <w:r w:rsidR="003966C1">
        <w:rPr>
          <w:rFonts w:eastAsia="Times New Roman" w:cs="Times New Roman"/>
          <w:color w:val="222222"/>
          <w:szCs w:val="24"/>
        </w:rPr>
        <w:t xml:space="preserve"> hedging: </w:t>
      </w:r>
      <w:r w:rsidR="003966C1" w:rsidRPr="000F79DD">
        <w:rPr>
          <w:rFonts w:eastAsia="Times New Roman" w:cs="Times New Roman"/>
          <w:color w:val="222222"/>
          <w:szCs w:val="24"/>
        </w:rPr>
        <w:t>“In fact this chapter will argue that the ca</w:t>
      </w:r>
      <w:r w:rsidR="00191317">
        <w:rPr>
          <w:rFonts w:eastAsia="Times New Roman" w:cs="Times New Roman"/>
          <w:color w:val="222222"/>
          <w:szCs w:val="24"/>
        </w:rPr>
        <w:t>se is “overwhelming</w:t>
      </w:r>
      <w:r w:rsidR="003966C1" w:rsidRPr="000F79DD">
        <w:rPr>
          <w:rFonts w:eastAsia="Times New Roman" w:cs="Times New Roman"/>
          <w:color w:val="222222"/>
          <w:szCs w:val="24"/>
        </w:rPr>
        <w:t xml:space="preserve"> for the “economic miracle” interpretation of World War II along </w:t>
      </w:r>
      <w:r w:rsidR="003966C1" w:rsidRPr="003D1678">
        <w:rPr>
          <w:rFonts w:eastAsia="Times New Roman" w:cs="Times New Roman"/>
          <w:i/>
          <w:color w:val="222222"/>
          <w:szCs w:val="24"/>
        </w:rPr>
        <w:t>every conceivable dimension</w:t>
      </w:r>
      <w:r w:rsidR="003966C1" w:rsidRPr="000F79DD">
        <w:rPr>
          <w:rFonts w:eastAsia="Times New Roman" w:cs="Times New Roman"/>
          <w:color w:val="222222"/>
          <w:szCs w:val="24"/>
        </w:rPr>
        <w:t xml:space="preserve">…” </w:t>
      </w:r>
      <w:r w:rsidR="003966C1">
        <w:rPr>
          <w:rFonts w:eastAsia="Times New Roman" w:cs="Times New Roman"/>
          <w:color w:val="222222"/>
          <w:szCs w:val="24"/>
        </w:rPr>
        <w:t>(p. 537</w:t>
      </w:r>
      <w:r w:rsidR="003D1678">
        <w:rPr>
          <w:rFonts w:eastAsia="Times New Roman" w:cs="Times New Roman"/>
          <w:color w:val="222222"/>
          <w:szCs w:val="24"/>
        </w:rPr>
        <w:t>, my italics</w:t>
      </w:r>
      <w:r w:rsidR="003966C1">
        <w:rPr>
          <w:rFonts w:eastAsia="Times New Roman" w:cs="Times New Roman"/>
          <w:color w:val="222222"/>
          <w:szCs w:val="24"/>
        </w:rPr>
        <w:t xml:space="preserve">). </w:t>
      </w:r>
      <w:r>
        <w:rPr>
          <w:rFonts w:eastAsia="Times New Roman" w:cs="Times New Roman"/>
          <w:color w:val="222222"/>
          <w:szCs w:val="24"/>
        </w:rPr>
        <w:t xml:space="preserve"> Gordon’s </w:t>
      </w:r>
      <w:r w:rsidR="00C34143">
        <w:rPr>
          <w:rFonts w:eastAsia="Times New Roman" w:cs="Times New Roman"/>
          <w:color w:val="222222"/>
          <w:szCs w:val="24"/>
        </w:rPr>
        <w:t>passionate</w:t>
      </w:r>
      <w:r w:rsidR="00774A3A">
        <w:rPr>
          <w:rFonts w:eastAsia="Times New Roman" w:cs="Times New Roman"/>
          <w:color w:val="222222"/>
          <w:szCs w:val="24"/>
        </w:rPr>
        <w:t xml:space="preserve"> endorsement</w:t>
      </w:r>
      <w:r w:rsidR="00CA1F00">
        <w:rPr>
          <w:rFonts w:eastAsia="Times New Roman" w:cs="Times New Roman"/>
          <w:color w:val="222222"/>
          <w:szCs w:val="24"/>
        </w:rPr>
        <w:t xml:space="preserve"> of the </w:t>
      </w:r>
      <w:r>
        <w:rPr>
          <w:rFonts w:eastAsia="Times New Roman" w:cs="Times New Roman"/>
          <w:color w:val="222222"/>
          <w:szCs w:val="24"/>
        </w:rPr>
        <w:t>transformative effects of the Second World War match</w:t>
      </w:r>
      <w:r w:rsidR="00CA1F00">
        <w:rPr>
          <w:rFonts w:eastAsia="Times New Roman" w:cs="Times New Roman"/>
          <w:color w:val="222222"/>
          <w:szCs w:val="24"/>
        </w:rPr>
        <w:t>ed</w:t>
      </w:r>
      <w:r>
        <w:rPr>
          <w:rFonts w:eastAsia="Times New Roman" w:cs="Times New Roman"/>
          <w:color w:val="222222"/>
          <w:szCs w:val="24"/>
        </w:rPr>
        <w:t xml:space="preserve"> the enthusiasm </w:t>
      </w:r>
      <w:r w:rsidR="00030784">
        <w:rPr>
          <w:rFonts w:eastAsia="Times New Roman" w:cs="Times New Roman"/>
          <w:color w:val="222222"/>
          <w:szCs w:val="24"/>
        </w:rPr>
        <w:t>with which</w:t>
      </w:r>
      <w:r>
        <w:rPr>
          <w:rFonts w:eastAsia="Times New Roman" w:cs="Times New Roman"/>
          <w:color w:val="222222"/>
          <w:szCs w:val="24"/>
        </w:rPr>
        <w:t xml:space="preserve"> Hacker</w:t>
      </w:r>
      <w:r w:rsidR="00CA1F00">
        <w:rPr>
          <w:rFonts w:eastAsia="Times New Roman" w:cs="Times New Roman"/>
          <w:color w:val="222222"/>
          <w:szCs w:val="24"/>
        </w:rPr>
        <w:t>, three quarters of a century earlier,</w:t>
      </w:r>
      <w:r>
        <w:rPr>
          <w:rFonts w:eastAsia="Times New Roman" w:cs="Times New Roman"/>
          <w:color w:val="222222"/>
          <w:szCs w:val="24"/>
        </w:rPr>
        <w:t xml:space="preserve"> </w:t>
      </w:r>
      <w:r w:rsidR="00CA1F00">
        <w:rPr>
          <w:rFonts w:eastAsia="Times New Roman" w:cs="Times New Roman"/>
          <w:color w:val="222222"/>
          <w:szCs w:val="24"/>
        </w:rPr>
        <w:t xml:space="preserve">had </w:t>
      </w:r>
      <w:r w:rsidR="00030784">
        <w:rPr>
          <w:rFonts w:eastAsia="Times New Roman" w:cs="Times New Roman"/>
          <w:color w:val="222222"/>
          <w:szCs w:val="24"/>
        </w:rPr>
        <w:t>embraced</w:t>
      </w:r>
      <w:r>
        <w:rPr>
          <w:rFonts w:eastAsia="Times New Roman" w:cs="Times New Roman"/>
          <w:color w:val="222222"/>
          <w:szCs w:val="24"/>
        </w:rPr>
        <w:t xml:space="preserve"> the </w:t>
      </w:r>
      <w:r w:rsidR="00CA1F00">
        <w:rPr>
          <w:rFonts w:eastAsia="Times New Roman" w:cs="Times New Roman"/>
          <w:color w:val="222222"/>
          <w:szCs w:val="24"/>
        </w:rPr>
        <w:t xml:space="preserve">U.S. </w:t>
      </w:r>
      <w:r>
        <w:rPr>
          <w:rFonts w:eastAsia="Times New Roman" w:cs="Times New Roman"/>
          <w:color w:val="222222"/>
          <w:szCs w:val="24"/>
        </w:rPr>
        <w:t>Civil War.</w:t>
      </w:r>
    </w:p>
    <w:p w14:paraId="0E0DF632" w14:textId="144CD857" w:rsidR="003871DF" w:rsidRDefault="003966C1" w:rsidP="003966C1">
      <w:pPr>
        <w:shd w:val="clear" w:color="auto" w:fill="FFFFFF"/>
        <w:spacing w:line="480" w:lineRule="auto"/>
        <w:ind w:firstLine="576"/>
        <w:rPr>
          <w:rFonts w:eastAsia="Times New Roman" w:cs="Times New Roman"/>
          <w:color w:val="222222"/>
          <w:szCs w:val="24"/>
        </w:rPr>
      </w:pPr>
      <w:r>
        <w:rPr>
          <w:rFonts w:eastAsia="Times New Roman" w:cs="Times New Roman"/>
          <w:color w:val="222222"/>
          <w:szCs w:val="24"/>
        </w:rPr>
        <w:t>Gordon’s claims</w:t>
      </w:r>
      <w:r w:rsidR="008A64F7">
        <w:rPr>
          <w:rFonts w:eastAsia="Times New Roman" w:cs="Times New Roman"/>
          <w:color w:val="222222"/>
          <w:szCs w:val="24"/>
        </w:rPr>
        <w:t>, it should be evident,</w:t>
      </w:r>
      <w:r>
        <w:rPr>
          <w:rFonts w:eastAsia="Times New Roman" w:cs="Times New Roman"/>
          <w:color w:val="222222"/>
          <w:szCs w:val="24"/>
        </w:rPr>
        <w:t xml:space="preserve"> </w:t>
      </w:r>
      <w:r w:rsidR="00937B2E">
        <w:rPr>
          <w:rFonts w:eastAsia="Times New Roman" w:cs="Times New Roman"/>
          <w:color w:val="222222"/>
          <w:szCs w:val="24"/>
        </w:rPr>
        <w:t xml:space="preserve">are </w:t>
      </w:r>
      <w:r w:rsidRPr="000F79DD">
        <w:rPr>
          <w:rFonts w:eastAsia="Times New Roman" w:cs="Times New Roman"/>
          <w:color w:val="222222"/>
          <w:szCs w:val="24"/>
        </w:rPr>
        <w:t>not novel</w:t>
      </w:r>
      <w:r w:rsidR="00AE2E94">
        <w:rPr>
          <w:rFonts w:eastAsia="Times New Roman" w:cs="Times New Roman"/>
          <w:color w:val="222222"/>
          <w:szCs w:val="24"/>
        </w:rPr>
        <w:t>.</w:t>
      </w:r>
      <w:r>
        <w:rPr>
          <w:rFonts w:eastAsia="Times New Roman" w:cs="Times New Roman"/>
          <w:color w:val="222222"/>
          <w:szCs w:val="24"/>
        </w:rPr>
        <w:t xml:space="preserve"> </w:t>
      </w:r>
      <w:r w:rsidR="00BF2CBA">
        <w:rPr>
          <w:rFonts w:eastAsia="Times New Roman" w:cs="Times New Roman"/>
          <w:color w:val="222222"/>
          <w:szCs w:val="24"/>
        </w:rPr>
        <w:t xml:space="preserve">There is </w:t>
      </w:r>
      <w:r w:rsidR="0008493C">
        <w:rPr>
          <w:rFonts w:eastAsia="Times New Roman" w:cs="Times New Roman"/>
          <w:color w:val="222222"/>
          <w:szCs w:val="24"/>
        </w:rPr>
        <w:t>little dispute</w:t>
      </w:r>
      <w:r w:rsidR="00D82DE5">
        <w:rPr>
          <w:rFonts w:eastAsia="Times New Roman" w:cs="Times New Roman"/>
          <w:color w:val="222222"/>
          <w:szCs w:val="24"/>
        </w:rPr>
        <w:t xml:space="preserve"> that </w:t>
      </w:r>
      <w:r w:rsidRPr="000F79DD">
        <w:rPr>
          <w:rFonts w:eastAsia="Times New Roman" w:cs="Times New Roman"/>
          <w:color w:val="222222"/>
          <w:szCs w:val="24"/>
        </w:rPr>
        <w:t>World War II confirm</w:t>
      </w:r>
      <w:r w:rsidR="00AF7AEE">
        <w:rPr>
          <w:rFonts w:eastAsia="Times New Roman" w:cs="Times New Roman"/>
          <w:color w:val="222222"/>
          <w:szCs w:val="24"/>
        </w:rPr>
        <w:t>ed</w:t>
      </w:r>
      <w:r w:rsidRPr="000F79DD">
        <w:rPr>
          <w:rFonts w:eastAsia="Times New Roman" w:cs="Times New Roman"/>
          <w:color w:val="222222"/>
          <w:szCs w:val="24"/>
        </w:rPr>
        <w:t xml:space="preserve"> the fundamental Keynesian prediction that massive fiscal stimulus combined with expansionary monetary pol</w:t>
      </w:r>
      <w:r w:rsidR="0008493C">
        <w:rPr>
          <w:rFonts w:eastAsia="Times New Roman" w:cs="Times New Roman"/>
          <w:color w:val="222222"/>
          <w:szCs w:val="24"/>
        </w:rPr>
        <w:t>icy could</w:t>
      </w:r>
      <w:r w:rsidRPr="000F79DD">
        <w:rPr>
          <w:rFonts w:eastAsia="Times New Roman" w:cs="Times New Roman"/>
          <w:color w:val="222222"/>
          <w:szCs w:val="24"/>
        </w:rPr>
        <w:t xml:space="preserve"> bring a depressed economy to full employment within a very short time.  </w:t>
      </w:r>
      <w:r w:rsidR="00B760E0">
        <w:rPr>
          <w:rFonts w:eastAsia="Times New Roman" w:cs="Times New Roman"/>
          <w:color w:val="222222"/>
          <w:szCs w:val="24"/>
        </w:rPr>
        <w:t xml:space="preserve">It has also been commonly argued, </w:t>
      </w:r>
      <w:r w:rsidR="003E56F5">
        <w:rPr>
          <w:rFonts w:eastAsia="Times New Roman" w:cs="Times New Roman"/>
          <w:color w:val="222222"/>
          <w:szCs w:val="24"/>
        </w:rPr>
        <w:t>as had</w:t>
      </w:r>
      <w:r w:rsidR="00DE0888">
        <w:rPr>
          <w:rFonts w:eastAsia="Times New Roman" w:cs="Times New Roman"/>
          <w:color w:val="222222"/>
          <w:szCs w:val="24"/>
        </w:rPr>
        <w:t xml:space="preserve"> </w:t>
      </w:r>
      <w:r w:rsidR="00B760E0">
        <w:rPr>
          <w:rFonts w:eastAsia="Times New Roman" w:cs="Times New Roman"/>
          <w:color w:val="222222"/>
          <w:szCs w:val="24"/>
        </w:rPr>
        <w:t>Baumol, that the war was associated with a</w:t>
      </w:r>
      <w:r w:rsidR="00C74F0D">
        <w:rPr>
          <w:rFonts w:eastAsia="Times New Roman" w:cs="Times New Roman"/>
          <w:color w:val="222222"/>
          <w:szCs w:val="24"/>
        </w:rPr>
        <w:t xml:space="preserve"> permanent boost on the supply side</w:t>
      </w:r>
      <w:r w:rsidR="003B3D2B">
        <w:rPr>
          <w:rFonts w:eastAsia="Times New Roman" w:cs="Times New Roman"/>
          <w:color w:val="222222"/>
          <w:szCs w:val="24"/>
        </w:rPr>
        <w:t>, particularly due to its effect on the growth of total factor productivity (TFP).</w:t>
      </w:r>
      <w:r w:rsidR="00C74F0D">
        <w:rPr>
          <w:rFonts w:eastAsia="Times New Roman" w:cs="Times New Roman"/>
          <w:color w:val="222222"/>
          <w:szCs w:val="24"/>
        </w:rPr>
        <w:t xml:space="preserve">   </w:t>
      </w:r>
      <w:r w:rsidR="004C2868">
        <w:rPr>
          <w:rFonts w:eastAsia="Times New Roman" w:cs="Times New Roman"/>
          <w:color w:val="222222"/>
          <w:szCs w:val="24"/>
        </w:rPr>
        <w:t>Th</w:t>
      </w:r>
      <w:r w:rsidR="007F20A4">
        <w:rPr>
          <w:rFonts w:eastAsia="Times New Roman" w:cs="Times New Roman"/>
          <w:color w:val="222222"/>
          <w:szCs w:val="24"/>
        </w:rPr>
        <w:t>is</w:t>
      </w:r>
      <w:r w:rsidR="004C2868">
        <w:rPr>
          <w:rFonts w:eastAsia="Times New Roman" w:cs="Times New Roman"/>
          <w:color w:val="222222"/>
          <w:szCs w:val="24"/>
        </w:rPr>
        <w:t xml:space="preserve"> has been the conventional wisdom</w:t>
      </w:r>
      <w:r w:rsidR="00C74F0D">
        <w:rPr>
          <w:rFonts w:eastAsia="Times New Roman" w:cs="Times New Roman"/>
          <w:color w:val="222222"/>
          <w:szCs w:val="24"/>
        </w:rPr>
        <w:t>.</w:t>
      </w:r>
    </w:p>
    <w:p w14:paraId="026CC5C1" w14:textId="5C373A7B" w:rsidR="003966C1" w:rsidRPr="000F79DD" w:rsidRDefault="00953AF3" w:rsidP="003966C1">
      <w:pPr>
        <w:shd w:val="clear" w:color="auto" w:fill="FFFFFF"/>
        <w:spacing w:line="480" w:lineRule="auto"/>
        <w:ind w:firstLine="576"/>
        <w:rPr>
          <w:rFonts w:eastAsia="Times New Roman" w:cs="Times New Roman"/>
          <w:color w:val="222222"/>
          <w:szCs w:val="24"/>
        </w:rPr>
      </w:pPr>
      <w:r>
        <w:rPr>
          <w:rFonts w:eastAsia="Times New Roman" w:cs="Times New Roman"/>
          <w:color w:val="222222"/>
          <w:szCs w:val="24"/>
        </w:rPr>
        <w:t xml:space="preserve">There are a number of reasons </w:t>
      </w:r>
      <w:r w:rsidR="007F20A4">
        <w:rPr>
          <w:rFonts w:eastAsia="Times New Roman" w:cs="Times New Roman"/>
          <w:color w:val="222222"/>
          <w:szCs w:val="24"/>
        </w:rPr>
        <w:t>to believe it is wrong</w:t>
      </w:r>
      <w:r>
        <w:rPr>
          <w:rFonts w:eastAsia="Times New Roman" w:cs="Times New Roman"/>
          <w:color w:val="222222"/>
          <w:szCs w:val="24"/>
        </w:rPr>
        <w:t xml:space="preserve">.  </w:t>
      </w:r>
      <w:r w:rsidR="007F20A4">
        <w:rPr>
          <w:rFonts w:eastAsia="Times New Roman" w:cs="Times New Roman"/>
          <w:color w:val="222222"/>
          <w:szCs w:val="24"/>
        </w:rPr>
        <w:t>B</w:t>
      </w:r>
      <w:r w:rsidR="00C34143">
        <w:rPr>
          <w:rFonts w:eastAsia="Times New Roman" w:cs="Times New Roman"/>
          <w:color w:val="222222"/>
          <w:szCs w:val="24"/>
        </w:rPr>
        <w:t xml:space="preserve">etween 1941 and 1948, </w:t>
      </w:r>
      <w:r w:rsidR="003B3D2B">
        <w:rPr>
          <w:rFonts w:eastAsia="Times New Roman" w:cs="Times New Roman"/>
          <w:color w:val="222222"/>
          <w:szCs w:val="24"/>
        </w:rPr>
        <w:t>TFP</w:t>
      </w:r>
      <w:r w:rsidR="00C35A49">
        <w:rPr>
          <w:rFonts w:eastAsia="Times New Roman" w:cs="Times New Roman"/>
          <w:color w:val="222222"/>
          <w:szCs w:val="24"/>
        </w:rPr>
        <w:t xml:space="preserve"> wi</w:t>
      </w:r>
      <w:r w:rsidR="00C34143">
        <w:rPr>
          <w:rFonts w:eastAsia="Times New Roman" w:cs="Times New Roman"/>
          <w:color w:val="222222"/>
          <w:szCs w:val="24"/>
        </w:rPr>
        <w:t>thin manufacturing</w:t>
      </w:r>
      <w:r w:rsidR="00C2351A">
        <w:rPr>
          <w:rFonts w:eastAsia="Times New Roman" w:cs="Times New Roman"/>
          <w:color w:val="222222"/>
          <w:szCs w:val="24"/>
        </w:rPr>
        <w:t xml:space="preserve"> </w:t>
      </w:r>
      <w:r w:rsidR="00C35F53">
        <w:rPr>
          <w:rFonts w:eastAsia="Times New Roman" w:cs="Times New Roman"/>
          <w:color w:val="222222"/>
          <w:szCs w:val="24"/>
        </w:rPr>
        <w:t>declined</w:t>
      </w:r>
      <w:r>
        <w:rPr>
          <w:rFonts w:eastAsia="Times New Roman" w:cs="Times New Roman"/>
          <w:color w:val="222222"/>
          <w:szCs w:val="24"/>
        </w:rPr>
        <w:t xml:space="preserve"> </w:t>
      </w:r>
      <w:r w:rsidR="00C2351A">
        <w:rPr>
          <w:rFonts w:eastAsia="Times New Roman" w:cs="Times New Roman"/>
          <w:color w:val="222222"/>
          <w:szCs w:val="24"/>
        </w:rPr>
        <w:t>(</w:t>
      </w:r>
      <w:r w:rsidR="00980830">
        <w:rPr>
          <w:rFonts w:eastAsia="Times New Roman" w:cs="Times New Roman"/>
          <w:color w:val="222222"/>
          <w:szCs w:val="24"/>
        </w:rPr>
        <w:t xml:space="preserve">please see </w:t>
      </w:r>
      <w:r w:rsidR="007F20A4">
        <w:rPr>
          <w:rFonts w:eastAsia="Times New Roman" w:cs="Times New Roman"/>
          <w:color w:val="222222"/>
          <w:szCs w:val="24"/>
        </w:rPr>
        <w:t>table 1</w:t>
      </w:r>
      <w:r w:rsidR="00C2351A">
        <w:rPr>
          <w:rFonts w:eastAsia="Times New Roman" w:cs="Times New Roman"/>
          <w:color w:val="222222"/>
          <w:szCs w:val="24"/>
        </w:rPr>
        <w:t>)</w:t>
      </w:r>
      <w:r w:rsidR="00C34143">
        <w:rPr>
          <w:rFonts w:eastAsia="Times New Roman" w:cs="Times New Roman"/>
          <w:color w:val="222222"/>
          <w:szCs w:val="24"/>
        </w:rPr>
        <w:t>.</w:t>
      </w:r>
      <w:r w:rsidR="00C35A49">
        <w:rPr>
          <w:rFonts w:eastAsia="Times New Roman" w:cs="Times New Roman"/>
          <w:color w:val="222222"/>
          <w:szCs w:val="24"/>
        </w:rPr>
        <w:t xml:space="preserve"> </w:t>
      </w:r>
      <w:r w:rsidR="003871DF">
        <w:rPr>
          <w:rFonts w:eastAsia="Times New Roman" w:cs="Times New Roman"/>
          <w:color w:val="222222"/>
          <w:szCs w:val="24"/>
        </w:rPr>
        <w:t xml:space="preserve"> </w:t>
      </w:r>
      <w:r w:rsidR="007F20A4">
        <w:rPr>
          <w:rFonts w:eastAsia="Times New Roman" w:cs="Times New Roman"/>
          <w:color w:val="222222"/>
          <w:szCs w:val="24"/>
        </w:rPr>
        <w:t>From a simple arithmetic perspective, the rapid rise in manufacturing capital between 1941 and 1948, along with growth in hours, eliminated space for a positive residual</w:t>
      </w:r>
      <w:r w:rsidR="004138D6">
        <w:rPr>
          <w:rFonts w:eastAsia="Times New Roman" w:cs="Times New Roman"/>
          <w:color w:val="222222"/>
          <w:szCs w:val="24"/>
        </w:rPr>
        <w:t>,</w:t>
      </w:r>
      <w:r w:rsidR="004138D6" w:rsidRPr="004138D6">
        <w:rPr>
          <w:rFonts w:eastAsia="Times New Roman" w:cs="Times New Roman"/>
          <w:color w:val="222222"/>
          <w:szCs w:val="24"/>
        </w:rPr>
        <w:t xml:space="preserve"> </w:t>
      </w:r>
      <w:r w:rsidR="004138D6">
        <w:rPr>
          <w:rFonts w:eastAsia="Times New Roman" w:cs="Times New Roman"/>
          <w:color w:val="222222"/>
          <w:szCs w:val="24"/>
        </w:rPr>
        <w:t>given the growth rate of real value added</w:t>
      </w:r>
      <w:r w:rsidR="00033670">
        <w:rPr>
          <w:rFonts w:eastAsia="Times New Roman" w:cs="Times New Roman"/>
          <w:color w:val="222222"/>
          <w:szCs w:val="24"/>
        </w:rPr>
        <w:t>.</w:t>
      </w:r>
      <w:r w:rsidR="00FE0144">
        <w:rPr>
          <w:rFonts w:eastAsia="Times New Roman" w:cs="Times New Roman"/>
          <w:color w:val="222222"/>
          <w:szCs w:val="24"/>
        </w:rPr>
        <w:t xml:space="preserve">   The</w:t>
      </w:r>
      <w:r w:rsidR="00FE0144" w:rsidRPr="000F79DD">
        <w:rPr>
          <w:rFonts w:eastAsia="Times New Roman" w:cs="Times New Roman"/>
          <w:color w:val="222222"/>
          <w:szCs w:val="24"/>
        </w:rPr>
        <w:t xml:space="preserve"> government funded expansion of war related plant and equipment to which Gordon </w:t>
      </w:r>
      <w:r w:rsidR="00FE0144">
        <w:rPr>
          <w:rFonts w:eastAsia="Times New Roman" w:cs="Times New Roman"/>
          <w:color w:val="222222"/>
          <w:szCs w:val="24"/>
        </w:rPr>
        <w:t xml:space="preserve">has </w:t>
      </w:r>
      <w:r w:rsidR="00FE0144" w:rsidRPr="000F79DD">
        <w:rPr>
          <w:rFonts w:eastAsia="Times New Roman" w:cs="Times New Roman"/>
          <w:color w:val="222222"/>
          <w:szCs w:val="24"/>
        </w:rPr>
        <w:t>devoted much attention</w:t>
      </w:r>
      <w:r w:rsidR="00FE0144">
        <w:rPr>
          <w:rFonts w:eastAsia="Times New Roman" w:cs="Times New Roman"/>
          <w:color w:val="222222"/>
          <w:szCs w:val="24"/>
        </w:rPr>
        <w:t xml:space="preserve"> over </w:t>
      </w:r>
      <w:r w:rsidR="00FE0144">
        <w:rPr>
          <w:rFonts w:eastAsia="Times New Roman" w:cs="Times New Roman"/>
          <w:color w:val="222222"/>
          <w:szCs w:val="24"/>
        </w:rPr>
        <w:lastRenderedPageBreak/>
        <w:t>his career (Gordon, 1969)</w:t>
      </w:r>
      <w:r w:rsidR="00FE0144" w:rsidRPr="000F79DD">
        <w:rPr>
          <w:rFonts w:eastAsia="Times New Roman" w:cs="Times New Roman"/>
          <w:color w:val="222222"/>
          <w:szCs w:val="24"/>
        </w:rPr>
        <w:t>,</w:t>
      </w:r>
      <w:r w:rsidR="00FE0144">
        <w:rPr>
          <w:rStyle w:val="FootnoteReference"/>
          <w:rFonts w:eastAsia="Times New Roman" w:cs="Times New Roman"/>
          <w:color w:val="222222"/>
          <w:szCs w:val="24"/>
        </w:rPr>
        <w:footnoteReference w:id="3"/>
      </w:r>
      <w:r w:rsidR="00FE0144" w:rsidRPr="000F79DD">
        <w:rPr>
          <w:rFonts w:eastAsia="Times New Roman" w:cs="Times New Roman"/>
          <w:color w:val="222222"/>
          <w:szCs w:val="24"/>
        </w:rPr>
        <w:t xml:space="preserve"> had much weaker </w:t>
      </w:r>
      <w:r w:rsidR="00033670">
        <w:rPr>
          <w:rFonts w:eastAsia="Times New Roman" w:cs="Times New Roman"/>
          <w:color w:val="222222"/>
          <w:szCs w:val="24"/>
        </w:rPr>
        <w:t xml:space="preserve">spillover effects on TFP </w:t>
      </w:r>
      <w:r w:rsidR="00FE0144" w:rsidRPr="000F79DD">
        <w:rPr>
          <w:rFonts w:eastAsia="Times New Roman" w:cs="Times New Roman"/>
          <w:color w:val="222222"/>
          <w:szCs w:val="24"/>
        </w:rPr>
        <w:t xml:space="preserve">than did the </w:t>
      </w:r>
      <w:r w:rsidR="00FE0144">
        <w:rPr>
          <w:rFonts w:eastAsia="Times New Roman" w:cs="Times New Roman"/>
          <w:color w:val="222222"/>
          <w:szCs w:val="24"/>
        </w:rPr>
        <w:t xml:space="preserve">streets and highways, </w:t>
      </w:r>
      <w:r w:rsidR="00FE0144" w:rsidRPr="000F79DD">
        <w:rPr>
          <w:rFonts w:eastAsia="Times New Roman" w:cs="Times New Roman"/>
          <w:color w:val="222222"/>
          <w:szCs w:val="24"/>
        </w:rPr>
        <w:t>bridge, tunnel, and hydro</w:t>
      </w:r>
      <w:r w:rsidR="00FE0144">
        <w:rPr>
          <w:rFonts w:eastAsia="Times New Roman" w:cs="Times New Roman"/>
          <w:color w:val="222222"/>
          <w:szCs w:val="24"/>
        </w:rPr>
        <w:t>electric dam</w:t>
      </w:r>
      <w:r w:rsidR="00FE0144" w:rsidRPr="000F79DD">
        <w:rPr>
          <w:rFonts w:eastAsia="Times New Roman" w:cs="Times New Roman"/>
          <w:color w:val="222222"/>
          <w:szCs w:val="24"/>
        </w:rPr>
        <w:t xml:space="preserve"> construction of the 1929-41 period</w:t>
      </w:r>
      <w:r w:rsidR="00FE0144">
        <w:rPr>
          <w:rFonts w:eastAsia="Times New Roman" w:cs="Times New Roman"/>
          <w:color w:val="222222"/>
          <w:szCs w:val="24"/>
        </w:rPr>
        <w:t xml:space="preserve"> (Field, 2003, 2011).  </w:t>
      </w:r>
      <w:r w:rsidR="0066415D">
        <w:rPr>
          <w:rFonts w:eastAsia="Times New Roman" w:cs="Times New Roman"/>
          <w:color w:val="222222"/>
          <w:szCs w:val="24"/>
        </w:rPr>
        <w:t xml:space="preserve">The </w:t>
      </w:r>
      <w:r w:rsidR="003966C1">
        <w:rPr>
          <w:rFonts w:eastAsia="Times New Roman" w:cs="Times New Roman"/>
          <w:color w:val="222222"/>
          <w:szCs w:val="24"/>
        </w:rPr>
        <w:t>learning by doing and process innovation resulting from the mass production of military hardware during the war</w:t>
      </w:r>
      <w:r w:rsidR="00392F61">
        <w:rPr>
          <w:rFonts w:eastAsia="Times New Roman" w:cs="Times New Roman"/>
          <w:color w:val="222222"/>
          <w:szCs w:val="24"/>
        </w:rPr>
        <w:t xml:space="preserve"> </w:t>
      </w:r>
      <w:r w:rsidR="0066415D">
        <w:rPr>
          <w:rFonts w:eastAsia="Times New Roman" w:cs="Times New Roman"/>
          <w:color w:val="222222"/>
          <w:szCs w:val="24"/>
        </w:rPr>
        <w:t>were</w:t>
      </w:r>
      <w:r w:rsidR="00B203A4">
        <w:rPr>
          <w:rFonts w:eastAsia="Times New Roman" w:cs="Times New Roman"/>
          <w:color w:val="222222"/>
          <w:szCs w:val="24"/>
        </w:rPr>
        <w:t xml:space="preserve"> </w:t>
      </w:r>
      <w:r w:rsidR="00FE0144">
        <w:rPr>
          <w:rFonts w:eastAsia="Times New Roman" w:cs="Times New Roman"/>
          <w:color w:val="222222"/>
          <w:szCs w:val="24"/>
        </w:rPr>
        <w:t xml:space="preserve">unfortunately </w:t>
      </w:r>
      <w:r w:rsidR="003966C1">
        <w:rPr>
          <w:rFonts w:eastAsia="Times New Roman" w:cs="Times New Roman"/>
          <w:color w:val="222222"/>
          <w:szCs w:val="24"/>
        </w:rPr>
        <w:t xml:space="preserve">largely irrelevant given the product mix and factor prices prevailing after the war. </w:t>
      </w:r>
      <w:r>
        <w:rPr>
          <w:rFonts w:eastAsia="Times New Roman" w:cs="Times New Roman"/>
          <w:color w:val="222222"/>
          <w:szCs w:val="24"/>
        </w:rPr>
        <w:t xml:space="preserve">TFP within the </w:t>
      </w:r>
      <w:r w:rsidR="00033670">
        <w:rPr>
          <w:rFonts w:eastAsia="Times New Roman" w:cs="Times New Roman"/>
          <w:color w:val="222222"/>
          <w:szCs w:val="24"/>
        </w:rPr>
        <w:t xml:space="preserve">manufacturing </w:t>
      </w:r>
      <w:r>
        <w:rPr>
          <w:rFonts w:eastAsia="Times New Roman" w:cs="Times New Roman"/>
          <w:color w:val="222222"/>
          <w:szCs w:val="24"/>
        </w:rPr>
        <w:t xml:space="preserve">sector </w:t>
      </w:r>
      <w:r w:rsidR="00FE0144">
        <w:rPr>
          <w:rFonts w:eastAsia="Times New Roman" w:cs="Times New Roman"/>
          <w:color w:val="222222"/>
          <w:szCs w:val="24"/>
        </w:rPr>
        <w:t>did subsequently rise</w:t>
      </w:r>
      <w:r>
        <w:rPr>
          <w:rFonts w:eastAsia="Times New Roman" w:cs="Times New Roman"/>
          <w:color w:val="222222"/>
          <w:szCs w:val="24"/>
        </w:rPr>
        <w:t xml:space="preserve"> (see table 9), but</w:t>
      </w:r>
      <w:r w:rsidR="00033670" w:rsidRPr="00033670">
        <w:rPr>
          <w:rFonts w:eastAsia="Times New Roman" w:cs="Times New Roman"/>
          <w:color w:val="222222"/>
          <w:szCs w:val="24"/>
        </w:rPr>
        <w:t xml:space="preserve"> </w:t>
      </w:r>
      <w:r w:rsidR="00033670">
        <w:rPr>
          <w:rFonts w:eastAsia="Times New Roman" w:cs="Times New Roman"/>
          <w:color w:val="222222"/>
          <w:szCs w:val="24"/>
        </w:rPr>
        <w:t>in contrast to what had been true in the interwar period (see table 9),</w:t>
      </w:r>
      <w:r>
        <w:rPr>
          <w:rFonts w:eastAsia="Times New Roman" w:cs="Times New Roman"/>
          <w:color w:val="222222"/>
          <w:szCs w:val="24"/>
        </w:rPr>
        <w:t xml:space="preserve"> it</w:t>
      </w:r>
      <w:r w:rsidR="004138D6">
        <w:rPr>
          <w:rFonts w:eastAsia="Times New Roman" w:cs="Times New Roman"/>
          <w:color w:val="222222"/>
          <w:szCs w:val="24"/>
        </w:rPr>
        <w:t>s rate of increase</w:t>
      </w:r>
      <w:r>
        <w:rPr>
          <w:rFonts w:eastAsia="Times New Roman" w:cs="Times New Roman"/>
          <w:color w:val="222222"/>
          <w:szCs w:val="24"/>
        </w:rPr>
        <w:t xml:space="preserve"> </w:t>
      </w:r>
      <w:r w:rsidR="00FE0144">
        <w:rPr>
          <w:rFonts w:eastAsia="Times New Roman" w:cs="Times New Roman"/>
          <w:color w:val="222222"/>
          <w:szCs w:val="24"/>
        </w:rPr>
        <w:t xml:space="preserve">remained persistently below the economy wide average, </w:t>
      </w:r>
      <w:r w:rsidR="00033670">
        <w:rPr>
          <w:rFonts w:eastAsia="Times New Roman" w:cs="Times New Roman"/>
          <w:color w:val="222222"/>
          <w:szCs w:val="24"/>
        </w:rPr>
        <w:t xml:space="preserve"> except briefly </w:t>
      </w:r>
      <w:r w:rsidR="004138D6">
        <w:rPr>
          <w:rFonts w:eastAsia="Times New Roman" w:cs="Times New Roman"/>
          <w:color w:val="222222"/>
          <w:szCs w:val="24"/>
        </w:rPr>
        <w:t>(</w:t>
      </w:r>
      <w:r w:rsidR="00033670">
        <w:rPr>
          <w:rFonts w:eastAsia="Times New Roman" w:cs="Times New Roman"/>
          <w:color w:val="222222"/>
          <w:szCs w:val="24"/>
        </w:rPr>
        <w:t>and barely</w:t>
      </w:r>
      <w:r w:rsidR="004138D6">
        <w:rPr>
          <w:rFonts w:eastAsia="Times New Roman" w:cs="Times New Roman"/>
          <w:color w:val="222222"/>
          <w:szCs w:val="24"/>
        </w:rPr>
        <w:t>)</w:t>
      </w:r>
      <w:r w:rsidR="00033670">
        <w:rPr>
          <w:rFonts w:eastAsia="Times New Roman" w:cs="Times New Roman"/>
          <w:color w:val="222222"/>
          <w:szCs w:val="24"/>
        </w:rPr>
        <w:t xml:space="preserve"> during the 1995-2005 IT boom.</w:t>
      </w:r>
    </w:p>
    <w:p w14:paraId="21EB4186" w14:textId="7AF20216" w:rsidR="003966C1" w:rsidRPr="000F79DD" w:rsidRDefault="003966C1" w:rsidP="003966C1">
      <w:pPr>
        <w:shd w:val="clear" w:color="auto" w:fill="FFFFFF"/>
        <w:spacing w:line="480" w:lineRule="auto"/>
        <w:ind w:firstLine="576"/>
        <w:rPr>
          <w:rFonts w:eastAsia="Times New Roman" w:cs="Times New Roman"/>
          <w:color w:val="222222"/>
          <w:szCs w:val="24"/>
        </w:rPr>
      </w:pPr>
      <w:r w:rsidRPr="000F79DD">
        <w:rPr>
          <w:rFonts w:eastAsia="Times New Roman" w:cs="Times New Roman"/>
          <w:color w:val="222222"/>
          <w:szCs w:val="24"/>
        </w:rPr>
        <w:t xml:space="preserve">Gordon </w:t>
      </w:r>
      <w:r w:rsidR="00FE0144">
        <w:rPr>
          <w:rFonts w:eastAsia="Times New Roman" w:cs="Times New Roman"/>
          <w:color w:val="222222"/>
          <w:szCs w:val="24"/>
        </w:rPr>
        <w:t>argued</w:t>
      </w:r>
      <w:r w:rsidR="003B3D2B">
        <w:rPr>
          <w:rFonts w:eastAsia="Times New Roman" w:cs="Times New Roman"/>
          <w:color w:val="222222"/>
          <w:szCs w:val="24"/>
        </w:rPr>
        <w:t>, consistent with Baumol’s view,</w:t>
      </w:r>
      <w:r w:rsidRPr="000F79DD">
        <w:rPr>
          <w:rFonts w:eastAsia="Times New Roman" w:cs="Times New Roman"/>
          <w:color w:val="222222"/>
          <w:szCs w:val="24"/>
        </w:rPr>
        <w:t xml:space="preserve"> that the ‘economic miracle’ of the second World War propelled total factor productivity to a permanently higher level, and was largely responsible for setting the stage for the golden age </w:t>
      </w:r>
      <w:r>
        <w:rPr>
          <w:rFonts w:eastAsia="Times New Roman" w:cs="Times New Roman"/>
          <w:color w:val="222222"/>
          <w:szCs w:val="24"/>
        </w:rPr>
        <w:t xml:space="preserve">(1948-73). </w:t>
      </w:r>
      <w:r w:rsidR="00AF7AEE">
        <w:rPr>
          <w:rFonts w:eastAsia="Times New Roman" w:cs="Times New Roman"/>
          <w:color w:val="222222"/>
          <w:szCs w:val="24"/>
        </w:rPr>
        <w:t>This was his explanation</w:t>
      </w:r>
      <w:r>
        <w:rPr>
          <w:rFonts w:eastAsia="Times New Roman" w:cs="Times New Roman"/>
          <w:color w:val="222222"/>
          <w:szCs w:val="24"/>
        </w:rPr>
        <w:t xml:space="preserve">: </w:t>
      </w:r>
      <w:r w:rsidRPr="000F79DD">
        <w:rPr>
          <w:rFonts w:eastAsia="Times New Roman" w:cs="Times New Roman"/>
          <w:color w:val="222222"/>
          <w:szCs w:val="24"/>
        </w:rPr>
        <w:t xml:space="preserve">“The most obvious reasons why productivity remained high after the war was that </w:t>
      </w:r>
      <w:r w:rsidRPr="000F79DD">
        <w:rPr>
          <w:rFonts w:eastAsia="Times New Roman" w:cs="Times New Roman"/>
          <w:i/>
          <w:iCs/>
          <w:color w:val="222222"/>
          <w:szCs w:val="24"/>
        </w:rPr>
        <w:t xml:space="preserve">technological progress does not </w:t>
      </w:r>
      <w:r w:rsidRPr="000F79DD">
        <w:rPr>
          <w:rFonts w:eastAsia="Times New Roman" w:cs="Times New Roman"/>
          <w:i/>
          <w:color w:val="222222"/>
          <w:szCs w:val="24"/>
        </w:rPr>
        <w:t>regress.</w:t>
      </w:r>
      <w:r w:rsidRPr="000F79DD">
        <w:rPr>
          <w:rFonts w:eastAsia="Times New Roman" w:cs="Times New Roman"/>
          <w:color w:val="222222"/>
          <w:szCs w:val="24"/>
        </w:rPr>
        <w:t xml:space="preserve">  People do not forget.  Once progress is made… it is permanent”</w:t>
      </w:r>
      <w:r w:rsidR="00881715">
        <w:rPr>
          <w:rFonts w:eastAsia="Times New Roman" w:cs="Times New Roman"/>
          <w:color w:val="222222"/>
          <w:szCs w:val="24"/>
        </w:rPr>
        <w:t>.</w:t>
      </w:r>
      <w:r>
        <w:rPr>
          <w:rFonts w:eastAsia="Times New Roman" w:cs="Times New Roman"/>
          <w:color w:val="222222"/>
          <w:szCs w:val="24"/>
        </w:rPr>
        <w:t xml:space="preserve"> </w:t>
      </w:r>
      <w:r w:rsidRPr="000F79DD">
        <w:rPr>
          <w:rFonts w:eastAsia="Times New Roman" w:cs="Times New Roman"/>
          <w:color w:val="222222"/>
          <w:szCs w:val="24"/>
        </w:rPr>
        <w:t>After the war, “As they struggled to fill orders that seemed almost infinite, they adopted all that they had learned about efficient production in the high</w:t>
      </w:r>
      <w:r w:rsidR="003B3D2B">
        <w:rPr>
          <w:rFonts w:eastAsia="Times New Roman" w:cs="Times New Roman"/>
          <w:color w:val="222222"/>
          <w:szCs w:val="24"/>
        </w:rPr>
        <w:t>-</w:t>
      </w:r>
      <w:r w:rsidRPr="000F79DD">
        <w:rPr>
          <w:rFonts w:eastAsia="Times New Roman" w:cs="Times New Roman"/>
          <w:color w:val="222222"/>
          <w:szCs w:val="24"/>
        </w:rPr>
        <w:t>pressure economy of World War II” (p. 550).</w:t>
      </w:r>
      <w:r w:rsidR="000B4019">
        <w:rPr>
          <w:rFonts w:eastAsia="Times New Roman" w:cs="Times New Roman"/>
          <w:color w:val="222222"/>
          <w:szCs w:val="24"/>
        </w:rPr>
        <w:t xml:space="preserve">  </w:t>
      </w:r>
    </w:p>
    <w:p w14:paraId="03BE225C" w14:textId="77777777" w:rsidR="00504294" w:rsidRDefault="003966C1" w:rsidP="003966C1">
      <w:pPr>
        <w:shd w:val="clear" w:color="auto" w:fill="FFFFFF"/>
        <w:spacing w:line="480" w:lineRule="auto"/>
        <w:ind w:firstLine="576"/>
        <w:rPr>
          <w:rFonts w:eastAsia="Times New Roman" w:cs="Times New Roman"/>
          <w:color w:val="222222"/>
          <w:szCs w:val="24"/>
        </w:rPr>
      </w:pPr>
      <w:r>
        <w:rPr>
          <w:rFonts w:eastAsia="Times New Roman" w:cs="Times New Roman"/>
          <w:color w:val="222222"/>
          <w:szCs w:val="24"/>
        </w:rPr>
        <w:t>Gor</w:t>
      </w:r>
      <w:r w:rsidRPr="000F79DD">
        <w:rPr>
          <w:rFonts w:eastAsia="Times New Roman" w:cs="Times New Roman"/>
          <w:color w:val="222222"/>
          <w:szCs w:val="24"/>
        </w:rPr>
        <w:t>don repeat</w:t>
      </w:r>
      <w:r w:rsidR="00AF7AEE">
        <w:rPr>
          <w:rFonts w:eastAsia="Times New Roman" w:cs="Times New Roman"/>
          <w:color w:val="222222"/>
          <w:szCs w:val="24"/>
        </w:rPr>
        <w:t>ed</w:t>
      </w:r>
      <w:r w:rsidRPr="000F79DD">
        <w:rPr>
          <w:rFonts w:eastAsia="Times New Roman" w:cs="Times New Roman"/>
          <w:color w:val="222222"/>
          <w:szCs w:val="24"/>
        </w:rPr>
        <w:t xml:space="preserve"> the oft cited examples of learning by doing building </w:t>
      </w:r>
      <w:r w:rsidR="00B70FAC">
        <w:rPr>
          <w:rFonts w:eastAsia="Times New Roman" w:cs="Times New Roman"/>
          <w:color w:val="222222"/>
          <w:szCs w:val="24"/>
        </w:rPr>
        <w:t>airframes and Liberty ships</w:t>
      </w:r>
      <w:r w:rsidRPr="000F79DD">
        <w:rPr>
          <w:rFonts w:eastAsia="Times New Roman" w:cs="Times New Roman"/>
          <w:color w:val="222222"/>
          <w:szCs w:val="24"/>
        </w:rPr>
        <w:t xml:space="preserve">, </w:t>
      </w:r>
      <w:r>
        <w:rPr>
          <w:rFonts w:eastAsia="Times New Roman" w:cs="Times New Roman"/>
          <w:color w:val="222222"/>
          <w:szCs w:val="24"/>
        </w:rPr>
        <w:t>and</w:t>
      </w:r>
      <w:r w:rsidRPr="000F79DD">
        <w:rPr>
          <w:rFonts w:eastAsia="Times New Roman" w:cs="Times New Roman"/>
          <w:color w:val="222222"/>
          <w:szCs w:val="24"/>
        </w:rPr>
        <w:t xml:space="preserve"> then argue</w:t>
      </w:r>
      <w:r w:rsidR="00AF7AEE">
        <w:rPr>
          <w:rFonts w:eastAsia="Times New Roman" w:cs="Times New Roman"/>
          <w:color w:val="222222"/>
          <w:szCs w:val="24"/>
        </w:rPr>
        <w:t>d</w:t>
      </w:r>
      <w:r w:rsidRPr="000F79DD">
        <w:rPr>
          <w:rFonts w:eastAsia="Times New Roman" w:cs="Times New Roman"/>
          <w:color w:val="222222"/>
          <w:szCs w:val="24"/>
        </w:rPr>
        <w:t xml:space="preserve"> that “the shipyard example can be generalized to the entire manufacturing sector” (p. 549), and that “Every part of the postwar manufacturing sector had been deeply involved in making military equipment or its components, and the lessons learned from the war translated into permanent efficiency gains after the war” (p. 550).  </w:t>
      </w:r>
      <w:r>
        <w:rPr>
          <w:rFonts w:eastAsia="Times New Roman" w:cs="Times New Roman"/>
          <w:color w:val="222222"/>
          <w:szCs w:val="24"/>
        </w:rPr>
        <w:t xml:space="preserve"> </w:t>
      </w:r>
    </w:p>
    <w:p w14:paraId="631E4DD6" w14:textId="37677945" w:rsidR="00E360DC" w:rsidRDefault="004138D6" w:rsidP="003966C1">
      <w:pPr>
        <w:shd w:val="clear" w:color="auto" w:fill="FFFFFF"/>
        <w:spacing w:line="480" w:lineRule="auto"/>
        <w:ind w:firstLine="576"/>
        <w:rPr>
          <w:rFonts w:eastAsia="Times New Roman" w:cs="Times New Roman"/>
          <w:color w:val="222222"/>
          <w:szCs w:val="24"/>
        </w:rPr>
      </w:pPr>
      <w:r>
        <w:rPr>
          <w:rFonts w:eastAsia="Times New Roman" w:cs="Times New Roman"/>
          <w:color w:val="222222"/>
          <w:szCs w:val="24"/>
        </w:rPr>
        <w:lastRenderedPageBreak/>
        <w:t>Th</w:t>
      </w:r>
      <w:r w:rsidR="00033670">
        <w:rPr>
          <w:rFonts w:eastAsia="Times New Roman" w:cs="Times New Roman"/>
          <w:color w:val="222222"/>
          <w:szCs w:val="24"/>
        </w:rPr>
        <w:t>e effects of wartime</w:t>
      </w:r>
      <w:r w:rsidR="00033670" w:rsidRPr="000F79DD">
        <w:rPr>
          <w:rFonts w:eastAsia="Times New Roman" w:cs="Times New Roman"/>
          <w:color w:val="222222"/>
          <w:szCs w:val="24"/>
        </w:rPr>
        <w:t xml:space="preserve"> production experience </w:t>
      </w:r>
      <w:r w:rsidR="00033670">
        <w:rPr>
          <w:rFonts w:eastAsia="Times New Roman" w:cs="Times New Roman"/>
          <w:color w:val="222222"/>
          <w:szCs w:val="24"/>
        </w:rPr>
        <w:t>on levels and rates of TFP growth after the war are questionable.</w:t>
      </w:r>
      <w:r w:rsidR="003966C1">
        <w:rPr>
          <w:rFonts w:eastAsia="Times New Roman" w:cs="Times New Roman"/>
          <w:color w:val="222222"/>
          <w:szCs w:val="24"/>
        </w:rPr>
        <w:t xml:space="preserve">  These effects should have been most apparent within manufacturing</w:t>
      </w:r>
      <w:r w:rsidR="003871DF">
        <w:rPr>
          <w:rFonts w:eastAsia="Times New Roman" w:cs="Times New Roman"/>
          <w:color w:val="222222"/>
          <w:szCs w:val="24"/>
        </w:rPr>
        <w:t xml:space="preserve"> and, as we have seen, they were not.</w:t>
      </w:r>
      <w:r w:rsidR="00881715">
        <w:rPr>
          <w:rFonts w:eastAsia="Times New Roman" w:cs="Times New Roman"/>
          <w:color w:val="222222"/>
          <w:szCs w:val="24"/>
        </w:rPr>
        <w:t xml:space="preserve"> </w:t>
      </w:r>
      <w:r w:rsidR="00D27F6E">
        <w:rPr>
          <w:rFonts w:eastAsia="Times New Roman" w:cs="Times New Roman"/>
          <w:color w:val="222222"/>
          <w:szCs w:val="24"/>
        </w:rPr>
        <w:t xml:space="preserve">The relevant comparison </w:t>
      </w:r>
      <w:r w:rsidR="00977E35">
        <w:rPr>
          <w:rFonts w:eastAsia="Times New Roman" w:cs="Times New Roman"/>
          <w:color w:val="222222"/>
          <w:szCs w:val="24"/>
        </w:rPr>
        <w:t>years are 1941</w:t>
      </w:r>
      <w:r w:rsidR="00D27F6E">
        <w:rPr>
          <w:rFonts w:eastAsia="Times New Roman" w:cs="Times New Roman"/>
          <w:color w:val="222222"/>
          <w:szCs w:val="24"/>
        </w:rPr>
        <w:t xml:space="preserve"> and 1948</w:t>
      </w:r>
      <w:r w:rsidR="00182A4A">
        <w:rPr>
          <w:rFonts w:eastAsia="Times New Roman" w:cs="Times New Roman"/>
          <w:color w:val="222222"/>
          <w:szCs w:val="24"/>
        </w:rPr>
        <w:t>.  The former</w:t>
      </w:r>
      <w:r w:rsidR="00B84A56">
        <w:rPr>
          <w:rFonts w:eastAsia="Times New Roman" w:cs="Times New Roman"/>
          <w:color w:val="222222"/>
          <w:szCs w:val="24"/>
        </w:rPr>
        <w:t xml:space="preserve"> is the last year before full scale war mobilization.  Although Lend-Lease and some rearmament had begun, less than 5 percent of </w:t>
      </w:r>
      <w:r w:rsidR="00EA29D1">
        <w:rPr>
          <w:rFonts w:eastAsia="Times New Roman" w:cs="Times New Roman"/>
          <w:color w:val="222222"/>
          <w:szCs w:val="24"/>
        </w:rPr>
        <w:t>cumulative</w:t>
      </w:r>
      <w:r w:rsidR="00B84A56">
        <w:rPr>
          <w:rFonts w:eastAsia="Times New Roman" w:cs="Times New Roman"/>
          <w:color w:val="222222"/>
          <w:szCs w:val="24"/>
        </w:rPr>
        <w:t xml:space="preserve"> </w:t>
      </w:r>
      <w:r w:rsidR="00823C69">
        <w:rPr>
          <w:rFonts w:eastAsia="Times New Roman" w:cs="Times New Roman"/>
          <w:color w:val="222222"/>
          <w:szCs w:val="24"/>
        </w:rPr>
        <w:t xml:space="preserve">real </w:t>
      </w:r>
      <w:r w:rsidR="00B84A56">
        <w:rPr>
          <w:rFonts w:eastAsia="Times New Roman" w:cs="Times New Roman"/>
          <w:color w:val="222222"/>
          <w:szCs w:val="24"/>
        </w:rPr>
        <w:t>military spending between 1940 and 1945 inclusive had taken place</w:t>
      </w:r>
      <w:r w:rsidR="00D27F6E">
        <w:rPr>
          <w:rFonts w:eastAsia="Times New Roman" w:cs="Times New Roman"/>
          <w:color w:val="222222"/>
          <w:szCs w:val="24"/>
        </w:rPr>
        <w:t xml:space="preserve"> </w:t>
      </w:r>
      <w:r w:rsidR="00FE5E3E">
        <w:rPr>
          <w:rFonts w:eastAsia="Times New Roman" w:cs="Times New Roman"/>
          <w:color w:val="222222"/>
          <w:szCs w:val="24"/>
        </w:rPr>
        <w:t xml:space="preserve">at the time of </w:t>
      </w:r>
      <w:r w:rsidR="006F0222">
        <w:rPr>
          <w:rFonts w:eastAsia="Times New Roman" w:cs="Times New Roman"/>
          <w:color w:val="222222"/>
          <w:szCs w:val="24"/>
        </w:rPr>
        <w:t>Pearl Harbor</w:t>
      </w:r>
      <w:r w:rsidR="00E360DC">
        <w:rPr>
          <w:rFonts w:eastAsia="Times New Roman" w:cs="Times New Roman"/>
          <w:color w:val="222222"/>
          <w:szCs w:val="24"/>
        </w:rPr>
        <w:t xml:space="preserve"> (Field, 20</w:t>
      </w:r>
      <w:r w:rsidR="00823C69">
        <w:rPr>
          <w:rFonts w:eastAsia="Times New Roman" w:cs="Times New Roman"/>
          <w:color w:val="222222"/>
          <w:szCs w:val="24"/>
        </w:rPr>
        <w:t>11</w:t>
      </w:r>
      <w:r w:rsidR="00E360DC">
        <w:rPr>
          <w:rFonts w:eastAsia="Times New Roman" w:cs="Times New Roman"/>
          <w:color w:val="222222"/>
          <w:szCs w:val="24"/>
        </w:rPr>
        <w:t>,</w:t>
      </w:r>
      <w:r w:rsidR="00823C69">
        <w:rPr>
          <w:rFonts w:eastAsia="Times New Roman" w:cs="Times New Roman"/>
          <w:color w:val="222222"/>
          <w:szCs w:val="24"/>
        </w:rPr>
        <w:t xml:space="preserve"> p. 85)</w:t>
      </w:r>
      <w:r w:rsidR="001103B5">
        <w:rPr>
          <w:rFonts w:eastAsia="Times New Roman" w:cs="Times New Roman"/>
          <w:color w:val="222222"/>
          <w:szCs w:val="24"/>
        </w:rPr>
        <w:t>.</w:t>
      </w:r>
      <w:r w:rsidR="00B84A56">
        <w:rPr>
          <w:rFonts w:eastAsia="Times New Roman" w:cs="Times New Roman"/>
          <w:color w:val="222222"/>
          <w:szCs w:val="24"/>
        </w:rPr>
        <w:t xml:space="preserve">  By 1948 </w:t>
      </w:r>
      <w:r w:rsidR="001103B5">
        <w:rPr>
          <w:rFonts w:eastAsia="Times New Roman" w:cs="Times New Roman"/>
          <w:color w:val="222222"/>
          <w:szCs w:val="24"/>
        </w:rPr>
        <w:t xml:space="preserve">demobilization was </w:t>
      </w:r>
      <w:r w:rsidR="006F0222">
        <w:rPr>
          <w:rFonts w:eastAsia="Times New Roman" w:cs="Times New Roman"/>
          <w:color w:val="222222"/>
          <w:szCs w:val="24"/>
        </w:rPr>
        <w:t>largely</w:t>
      </w:r>
      <w:r w:rsidR="001103B5">
        <w:rPr>
          <w:rFonts w:eastAsia="Times New Roman" w:cs="Times New Roman"/>
          <w:color w:val="222222"/>
          <w:szCs w:val="24"/>
        </w:rPr>
        <w:t xml:space="preserve"> complete and the economy, now on a civilian footing, </w:t>
      </w:r>
      <w:r w:rsidR="00B84A56">
        <w:rPr>
          <w:rFonts w:eastAsia="Times New Roman" w:cs="Times New Roman"/>
          <w:color w:val="222222"/>
          <w:szCs w:val="24"/>
        </w:rPr>
        <w:t xml:space="preserve">was close to potential, as </w:t>
      </w:r>
      <w:r w:rsidR="001103B5">
        <w:rPr>
          <w:rFonts w:eastAsia="Times New Roman" w:cs="Times New Roman"/>
          <w:color w:val="222222"/>
          <w:szCs w:val="24"/>
        </w:rPr>
        <w:t>evidenced</w:t>
      </w:r>
      <w:r w:rsidR="00B84A56">
        <w:rPr>
          <w:rFonts w:eastAsia="Times New Roman" w:cs="Times New Roman"/>
          <w:color w:val="222222"/>
          <w:szCs w:val="24"/>
        </w:rPr>
        <w:t xml:space="preserve"> </w:t>
      </w:r>
      <w:r w:rsidR="00F95FD3">
        <w:rPr>
          <w:rFonts w:eastAsia="Times New Roman" w:cs="Times New Roman"/>
          <w:color w:val="222222"/>
          <w:szCs w:val="24"/>
        </w:rPr>
        <w:t>by</w:t>
      </w:r>
      <w:r w:rsidR="00B84A56">
        <w:rPr>
          <w:rFonts w:eastAsia="Times New Roman" w:cs="Times New Roman"/>
          <w:color w:val="222222"/>
          <w:szCs w:val="24"/>
        </w:rPr>
        <w:t xml:space="preserve"> the low </w:t>
      </w:r>
      <w:r w:rsidR="00F95FD3">
        <w:rPr>
          <w:rFonts w:eastAsia="Times New Roman" w:cs="Times New Roman"/>
          <w:color w:val="222222"/>
          <w:szCs w:val="24"/>
        </w:rPr>
        <w:t xml:space="preserve">3.8 percent </w:t>
      </w:r>
      <w:r w:rsidR="00B84A56">
        <w:rPr>
          <w:rFonts w:eastAsia="Times New Roman" w:cs="Times New Roman"/>
          <w:color w:val="222222"/>
          <w:szCs w:val="24"/>
        </w:rPr>
        <w:t>unemployment rate</w:t>
      </w:r>
      <w:r w:rsidR="00D27F6E">
        <w:rPr>
          <w:rFonts w:eastAsia="Times New Roman" w:cs="Times New Roman"/>
          <w:color w:val="222222"/>
          <w:szCs w:val="24"/>
        </w:rPr>
        <w:t>.</w:t>
      </w:r>
      <w:r w:rsidR="003966C1">
        <w:rPr>
          <w:rFonts w:eastAsia="Times New Roman" w:cs="Times New Roman"/>
          <w:color w:val="222222"/>
          <w:szCs w:val="24"/>
        </w:rPr>
        <w:t xml:space="preserve"> </w:t>
      </w:r>
    </w:p>
    <w:p w14:paraId="67097098" w14:textId="7DDFB437" w:rsidR="00883CB1" w:rsidRDefault="003966C1" w:rsidP="003966C1">
      <w:pPr>
        <w:shd w:val="clear" w:color="auto" w:fill="FFFFFF"/>
        <w:spacing w:line="480" w:lineRule="auto"/>
        <w:ind w:firstLine="576"/>
        <w:rPr>
          <w:rFonts w:eastAsia="Times New Roman" w:cs="Times New Roman"/>
          <w:color w:val="222222"/>
          <w:szCs w:val="24"/>
        </w:rPr>
      </w:pPr>
      <w:r>
        <w:rPr>
          <w:rFonts w:eastAsia="Times New Roman" w:cs="Times New Roman"/>
          <w:color w:val="222222"/>
          <w:szCs w:val="24"/>
        </w:rPr>
        <w:t>Productivity advance in the private nonfarm economy</w:t>
      </w:r>
      <w:r w:rsidR="00D27F6E">
        <w:rPr>
          <w:rFonts w:eastAsia="Times New Roman" w:cs="Times New Roman"/>
          <w:color w:val="222222"/>
          <w:szCs w:val="24"/>
        </w:rPr>
        <w:t xml:space="preserve"> </w:t>
      </w:r>
      <w:r w:rsidR="00B84A56">
        <w:rPr>
          <w:rFonts w:eastAsia="Times New Roman" w:cs="Times New Roman"/>
          <w:color w:val="222222"/>
          <w:szCs w:val="24"/>
        </w:rPr>
        <w:t>between 1941 and 1948</w:t>
      </w:r>
      <w:r>
        <w:rPr>
          <w:rFonts w:eastAsia="Times New Roman" w:cs="Times New Roman"/>
          <w:color w:val="222222"/>
          <w:szCs w:val="24"/>
        </w:rPr>
        <w:t xml:space="preserve"> </w:t>
      </w:r>
      <w:r w:rsidR="001103B5">
        <w:rPr>
          <w:rFonts w:eastAsia="Times New Roman" w:cs="Times New Roman"/>
          <w:color w:val="222222"/>
          <w:szCs w:val="24"/>
        </w:rPr>
        <w:t>was</w:t>
      </w:r>
      <w:r w:rsidR="00B62895">
        <w:rPr>
          <w:rFonts w:eastAsia="Times New Roman" w:cs="Times New Roman"/>
          <w:color w:val="222222"/>
          <w:szCs w:val="24"/>
        </w:rPr>
        <w:t xml:space="preserve">, overall, </w:t>
      </w:r>
      <w:r w:rsidR="001103B5">
        <w:rPr>
          <w:rFonts w:eastAsia="Times New Roman" w:cs="Times New Roman"/>
          <w:color w:val="222222"/>
          <w:szCs w:val="24"/>
        </w:rPr>
        <w:t>positive</w:t>
      </w:r>
      <w:r w:rsidR="00D27F6E">
        <w:rPr>
          <w:rFonts w:eastAsia="Times New Roman" w:cs="Times New Roman"/>
          <w:color w:val="222222"/>
          <w:szCs w:val="24"/>
        </w:rPr>
        <w:t>.</w:t>
      </w:r>
      <w:r w:rsidR="00E112A2">
        <w:rPr>
          <w:rFonts w:eastAsia="Times New Roman" w:cs="Times New Roman"/>
          <w:color w:val="222222"/>
          <w:szCs w:val="24"/>
        </w:rPr>
        <w:t xml:space="preserve">  But the main contributors to TFP growth </w:t>
      </w:r>
      <w:r>
        <w:rPr>
          <w:rFonts w:eastAsia="Times New Roman" w:cs="Times New Roman"/>
          <w:color w:val="222222"/>
          <w:szCs w:val="24"/>
        </w:rPr>
        <w:t>were sectors other than manufacturing, in</w:t>
      </w:r>
      <w:r w:rsidR="00B62895">
        <w:rPr>
          <w:rFonts w:eastAsia="Times New Roman" w:cs="Times New Roman"/>
          <w:color w:val="222222"/>
          <w:szCs w:val="24"/>
        </w:rPr>
        <w:t xml:space="preserve"> </w:t>
      </w:r>
      <w:r>
        <w:rPr>
          <w:rFonts w:eastAsia="Times New Roman" w:cs="Times New Roman"/>
          <w:color w:val="222222"/>
          <w:szCs w:val="24"/>
        </w:rPr>
        <w:t>particular wholesale and retail distribution, railroad transpor</w:t>
      </w:r>
      <w:r w:rsidRPr="000F79DD">
        <w:rPr>
          <w:rFonts w:eastAsia="Times New Roman" w:cs="Times New Roman"/>
          <w:color w:val="222222"/>
          <w:szCs w:val="24"/>
        </w:rPr>
        <w:t>tation</w:t>
      </w:r>
      <w:r>
        <w:rPr>
          <w:rFonts w:eastAsia="Times New Roman" w:cs="Times New Roman"/>
          <w:color w:val="222222"/>
          <w:szCs w:val="24"/>
        </w:rPr>
        <w:t>, and electric and gas utilities</w:t>
      </w:r>
      <w:r w:rsidR="00881715">
        <w:rPr>
          <w:rFonts w:eastAsia="Times New Roman" w:cs="Times New Roman"/>
          <w:color w:val="222222"/>
          <w:szCs w:val="24"/>
        </w:rPr>
        <w:t xml:space="preserve"> (table</w:t>
      </w:r>
      <w:r w:rsidR="00B62895">
        <w:rPr>
          <w:rFonts w:eastAsia="Times New Roman" w:cs="Times New Roman"/>
          <w:color w:val="222222"/>
          <w:szCs w:val="24"/>
        </w:rPr>
        <w:t>s</w:t>
      </w:r>
      <w:r w:rsidR="00881715">
        <w:rPr>
          <w:rFonts w:eastAsia="Times New Roman" w:cs="Times New Roman"/>
          <w:color w:val="222222"/>
          <w:szCs w:val="24"/>
        </w:rPr>
        <w:t xml:space="preserve"> 2</w:t>
      </w:r>
      <w:r w:rsidR="009A5630">
        <w:rPr>
          <w:rFonts w:eastAsia="Times New Roman" w:cs="Times New Roman"/>
          <w:color w:val="222222"/>
          <w:szCs w:val="24"/>
        </w:rPr>
        <w:t>, 3 and 5</w:t>
      </w:r>
      <w:r w:rsidR="00FC2AAC">
        <w:rPr>
          <w:rFonts w:eastAsia="Times New Roman" w:cs="Times New Roman"/>
          <w:color w:val="222222"/>
          <w:szCs w:val="24"/>
        </w:rPr>
        <w:t xml:space="preserve"> below</w:t>
      </w:r>
      <w:r w:rsidR="00C11A4C">
        <w:rPr>
          <w:rFonts w:eastAsia="Times New Roman" w:cs="Times New Roman"/>
          <w:color w:val="222222"/>
          <w:szCs w:val="24"/>
        </w:rPr>
        <w:t>; see Appendix</w:t>
      </w:r>
      <w:r w:rsidR="009A5630">
        <w:rPr>
          <w:rFonts w:eastAsia="Times New Roman" w:cs="Times New Roman"/>
          <w:color w:val="222222"/>
          <w:szCs w:val="24"/>
        </w:rPr>
        <w:t>)</w:t>
      </w:r>
      <w:r>
        <w:rPr>
          <w:rFonts w:eastAsia="Times New Roman" w:cs="Times New Roman"/>
          <w:color w:val="222222"/>
          <w:szCs w:val="24"/>
        </w:rPr>
        <w:t>.</w:t>
      </w:r>
      <w:r w:rsidRPr="000F79DD">
        <w:rPr>
          <w:rFonts w:eastAsia="Times New Roman" w:cs="Times New Roman"/>
          <w:color w:val="222222"/>
          <w:szCs w:val="24"/>
        </w:rPr>
        <w:t xml:space="preserve"> </w:t>
      </w:r>
      <w:r w:rsidR="005E26F2">
        <w:rPr>
          <w:rFonts w:eastAsia="Times New Roman" w:cs="Times New Roman"/>
          <w:color w:val="222222"/>
          <w:szCs w:val="24"/>
        </w:rPr>
        <w:t xml:space="preserve">These were sectors, in contrast to manufacturing, that </w:t>
      </w:r>
      <w:r w:rsidR="003B3D2B">
        <w:rPr>
          <w:rFonts w:eastAsia="Times New Roman" w:cs="Times New Roman"/>
          <w:color w:val="222222"/>
          <w:szCs w:val="24"/>
        </w:rPr>
        <w:t>were capital-starved during the</w:t>
      </w:r>
      <w:r w:rsidR="005E26F2">
        <w:rPr>
          <w:rFonts w:eastAsia="Times New Roman" w:cs="Times New Roman"/>
          <w:color w:val="222222"/>
          <w:szCs w:val="24"/>
        </w:rPr>
        <w:t xml:space="preserve"> war</w:t>
      </w:r>
      <w:r w:rsidR="003B3D2B">
        <w:rPr>
          <w:rFonts w:eastAsia="Times New Roman" w:cs="Times New Roman"/>
          <w:color w:val="222222"/>
          <w:szCs w:val="24"/>
        </w:rPr>
        <w:t>.</w:t>
      </w:r>
      <w:r w:rsidR="002E6550">
        <w:rPr>
          <w:rFonts w:eastAsia="Times New Roman" w:cs="Times New Roman"/>
          <w:color w:val="222222"/>
          <w:szCs w:val="24"/>
        </w:rPr>
        <w:t xml:space="preserve"> </w:t>
      </w:r>
      <w:r w:rsidR="005E26F2">
        <w:rPr>
          <w:rFonts w:eastAsia="Times New Roman" w:cs="Times New Roman"/>
          <w:color w:val="222222"/>
          <w:szCs w:val="24"/>
        </w:rPr>
        <w:t xml:space="preserve"> </w:t>
      </w:r>
      <w:r w:rsidR="00D27F6E">
        <w:rPr>
          <w:rFonts w:eastAsia="Times New Roman" w:cs="Times New Roman"/>
          <w:color w:val="222222"/>
          <w:szCs w:val="24"/>
        </w:rPr>
        <w:t>War</w:t>
      </w:r>
      <w:r>
        <w:rPr>
          <w:rFonts w:eastAsia="Times New Roman" w:cs="Times New Roman"/>
          <w:color w:val="222222"/>
          <w:szCs w:val="24"/>
        </w:rPr>
        <w:t xml:space="preserve"> </w:t>
      </w:r>
      <w:r w:rsidR="00B62895">
        <w:rPr>
          <w:rFonts w:eastAsia="Times New Roman" w:cs="Times New Roman"/>
          <w:color w:val="222222"/>
          <w:szCs w:val="24"/>
        </w:rPr>
        <w:t xml:space="preserve">did </w:t>
      </w:r>
      <w:r>
        <w:rPr>
          <w:rFonts w:eastAsia="Times New Roman" w:cs="Times New Roman"/>
          <w:color w:val="222222"/>
          <w:szCs w:val="24"/>
        </w:rPr>
        <w:t>inspire process innovation</w:t>
      </w:r>
      <w:r w:rsidR="00D27F6E">
        <w:rPr>
          <w:rFonts w:eastAsia="Times New Roman" w:cs="Times New Roman"/>
          <w:color w:val="222222"/>
          <w:szCs w:val="24"/>
        </w:rPr>
        <w:t>s</w:t>
      </w:r>
      <w:r w:rsidR="00B24B75">
        <w:rPr>
          <w:rFonts w:eastAsia="Times New Roman" w:cs="Times New Roman"/>
          <w:color w:val="222222"/>
          <w:szCs w:val="24"/>
        </w:rPr>
        <w:t>.  But</w:t>
      </w:r>
      <w:r w:rsidR="002E7B0B">
        <w:rPr>
          <w:rFonts w:eastAsia="Times New Roman" w:cs="Times New Roman"/>
          <w:color w:val="222222"/>
          <w:szCs w:val="24"/>
        </w:rPr>
        <w:t xml:space="preserve"> </w:t>
      </w:r>
      <w:r w:rsidR="008B5065">
        <w:rPr>
          <w:rFonts w:eastAsia="Times New Roman" w:cs="Times New Roman"/>
          <w:color w:val="222222"/>
          <w:szCs w:val="24"/>
        </w:rPr>
        <w:t>the</w:t>
      </w:r>
      <w:r w:rsidR="00B24B75">
        <w:rPr>
          <w:rFonts w:eastAsia="Times New Roman" w:cs="Times New Roman"/>
          <w:color w:val="222222"/>
          <w:szCs w:val="24"/>
        </w:rPr>
        <w:t>se</w:t>
      </w:r>
      <w:r w:rsidR="009608C6">
        <w:rPr>
          <w:rFonts w:eastAsia="Times New Roman" w:cs="Times New Roman"/>
          <w:color w:val="222222"/>
          <w:szCs w:val="24"/>
        </w:rPr>
        <w:t xml:space="preserve"> </w:t>
      </w:r>
      <w:r w:rsidR="00953AF3">
        <w:rPr>
          <w:rFonts w:eastAsia="Times New Roman" w:cs="Times New Roman"/>
          <w:color w:val="222222"/>
          <w:szCs w:val="24"/>
        </w:rPr>
        <w:t xml:space="preserve">apparently </w:t>
      </w:r>
      <w:r w:rsidR="009608C6">
        <w:rPr>
          <w:rFonts w:eastAsia="Times New Roman" w:cs="Times New Roman"/>
          <w:color w:val="222222"/>
          <w:szCs w:val="24"/>
        </w:rPr>
        <w:t>had more persisting benefits</w:t>
      </w:r>
      <w:r w:rsidR="002E7B0B">
        <w:rPr>
          <w:rFonts w:eastAsia="Times New Roman" w:cs="Times New Roman"/>
          <w:color w:val="222222"/>
          <w:szCs w:val="24"/>
        </w:rPr>
        <w:t xml:space="preserve"> in </w:t>
      </w:r>
      <w:r w:rsidR="00883CB1">
        <w:rPr>
          <w:rFonts w:eastAsia="Times New Roman" w:cs="Times New Roman"/>
          <w:color w:val="222222"/>
          <w:szCs w:val="24"/>
        </w:rPr>
        <w:t xml:space="preserve">sectors disadvantaged by war mobilization, not those favored with government funded plant and equipment, and featured in stories about production miracles.  </w:t>
      </w:r>
    </w:p>
    <w:bookmarkEnd w:id="1"/>
    <w:p w14:paraId="282FC0BA" w14:textId="0538EFFA" w:rsidR="003966C1" w:rsidRPr="000F79DD" w:rsidRDefault="00C7470C" w:rsidP="003966C1">
      <w:pPr>
        <w:shd w:val="clear" w:color="auto" w:fill="FFFFFF"/>
        <w:spacing w:line="480" w:lineRule="auto"/>
        <w:ind w:firstLine="576"/>
        <w:rPr>
          <w:rFonts w:eastAsia="Times New Roman" w:cs="Times New Roman"/>
          <w:color w:val="222222"/>
          <w:szCs w:val="24"/>
        </w:rPr>
      </w:pPr>
      <w:r>
        <w:rPr>
          <w:rFonts w:eastAsia="Times New Roman" w:cs="Times New Roman"/>
          <w:color w:val="222222"/>
          <w:szCs w:val="24"/>
        </w:rPr>
        <w:t>W</w:t>
      </w:r>
      <w:r w:rsidR="00883CB1">
        <w:rPr>
          <w:rFonts w:eastAsia="Times New Roman" w:cs="Times New Roman"/>
          <w:color w:val="222222"/>
          <w:szCs w:val="24"/>
        </w:rPr>
        <w:t>he</w:t>
      </w:r>
      <w:r w:rsidR="007A01E1">
        <w:rPr>
          <w:rFonts w:eastAsia="Times New Roman" w:cs="Times New Roman"/>
          <w:color w:val="222222"/>
          <w:szCs w:val="24"/>
        </w:rPr>
        <w:t>ther</w:t>
      </w:r>
      <w:r w:rsidR="00883CB1">
        <w:rPr>
          <w:rFonts w:eastAsia="Times New Roman" w:cs="Times New Roman"/>
          <w:color w:val="222222"/>
          <w:szCs w:val="24"/>
        </w:rPr>
        <w:t xml:space="preserve"> they occurred</w:t>
      </w:r>
      <w:r w:rsidR="00D87A6D">
        <w:rPr>
          <w:rFonts w:eastAsia="Times New Roman" w:cs="Times New Roman"/>
          <w:color w:val="222222"/>
          <w:szCs w:val="24"/>
        </w:rPr>
        <w:t xml:space="preserve"> in favored or unfavored sectors</w:t>
      </w:r>
      <w:r w:rsidR="00F77886">
        <w:rPr>
          <w:rFonts w:eastAsia="Times New Roman" w:cs="Times New Roman"/>
          <w:color w:val="222222"/>
          <w:szCs w:val="24"/>
        </w:rPr>
        <w:t>,</w:t>
      </w:r>
      <w:r>
        <w:rPr>
          <w:rFonts w:eastAsia="Times New Roman" w:cs="Times New Roman"/>
          <w:color w:val="222222"/>
          <w:szCs w:val="24"/>
        </w:rPr>
        <w:t xml:space="preserve"> </w:t>
      </w:r>
      <w:r w:rsidR="003966C1">
        <w:rPr>
          <w:rFonts w:eastAsia="Times New Roman" w:cs="Times New Roman"/>
          <w:color w:val="222222"/>
          <w:szCs w:val="24"/>
        </w:rPr>
        <w:t>innovation</w:t>
      </w:r>
      <w:r w:rsidR="001103B5">
        <w:rPr>
          <w:rFonts w:eastAsia="Times New Roman" w:cs="Times New Roman"/>
          <w:color w:val="222222"/>
          <w:szCs w:val="24"/>
        </w:rPr>
        <w:t>s were</w:t>
      </w:r>
      <w:r w:rsidR="003966C1">
        <w:rPr>
          <w:rFonts w:eastAsia="Times New Roman" w:cs="Times New Roman"/>
          <w:color w:val="222222"/>
          <w:szCs w:val="24"/>
        </w:rPr>
        <w:t xml:space="preserve"> </w:t>
      </w:r>
      <w:r w:rsidR="00883CB1">
        <w:rPr>
          <w:rFonts w:eastAsia="Times New Roman" w:cs="Times New Roman"/>
          <w:color w:val="222222"/>
          <w:szCs w:val="24"/>
        </w:rPr>
        <w:t xml:space="preserve">often </w:t>
      </w:r>
      <w:r w:rsidR="003966C1">
        <w:rPr>
          <w:rFonts w:eastAsia="Times New Roman" w:cs="Times New Roman"/>
          <w:color w:val="222222"/>
          <w:szCs w:val="24"/>
        </w:rPr>
        <w:t xml:space="preserve">in response to and especially suited to a highly unusual set of input availabilities and implicit factor prices, conditions </w:t>
      </w:r>
      <w:r w:rsidR="00F95FD3">
        <w:rPr>
          <w:rFonts w:eastAsia="Times New Roman" w:cs="Times New Roman"/>
          <w:color w:val="222222"/>
          <w:szCs w:val="24"/>
        </w:rPr>
        <w:t xml:space="preserve">that </w:t>
      </w:r>
      <w:r w:rsidR="003966C1">
        <w:rPr>
          <w:rFonts w:eastAsia="Times New Roman" w:cs="Times New Roman"/>
          <w:color w:val="222222"/>
          <w:szCs w:val="24"/>
        </w:rPr>
        <w:t>would disappear with the end of the war.  Construction firms, for example, faced with shortages of structural steel, developed kiln dried wood forms called, due to their shape, thunderbirds.  These served as effective roof bearing substitutes in many of the one</w:t>
      </w:r>
      <w:r w:rsidR="006F0222">
        <w:rPr>
          <w:rFonts w:eastAsia="Times New Roman" w:cs="Times New Roman"/>
          <w:color w:val="222222"/>
          <w:szCs w:val="24"/>
        </w:rPr>
        <w:t>-</w:t>
      </w:r>
      <w:r w:rsidR="003966C1">
        <w:rPr>
          <w:rFonts w:eastAsia="Times New Roman" w:cs="Times New Roman"/>
          <w:color w:val="222222"/>
          <w:szCs w:val="24"/>
        </w:rPr>
        <w:t xml:space="preserve">story factory buildings hastily erected by the federal government (Walton, 1956, p. 214).  This innovation, </w:t>
      </w:r>
      <w:r w:rsidR="003966C1">
        <w:rPr>
          <w:rFonts w:eastAsia="Times New Roman" w:cs="Times New Roman"/>
          <w:color w:val="222222"/>
          <w:szCs w:val="24"/>
        </w:rPr>
        <w:lastRenderedPageBreak/>
        <w:t xml:space="preserve">however, was </w:t>
      </w:r>
      <w:r w:rsidR="003966C1" w:rsidRPr="000F79DD">
        <w:rPr>
          <w:rFonts w:eastAsia="Times New Roman" w:cs="Times New Roman"/>
          <w:color w:val="222222"/>
          <w:szCs w:val="24"/>
        </w:rPr>
        <w:t xml:space="preserve">a response to </w:t>
      </w:r>
      <w:r w:rsidR="003966C1">
        <w:rPr>
          <w:rFonts w:eastAsia="Times New Roman" w:cs="Times New Roman"/>
          <w:color w:val="222222"/>
          <w:szCs w:val="24"/>
        </w:rPr>
        <w:t xml:space="preserve">a </w:t>
      </w:r>
      <w:r w:rsidR="003966C1" w:rsidRPr="000F79DD">
        <w:rPr>
          <w:rFonts w:eastAsia="Times New Roman" w:cs="Times New Roman"/>
          <w:color w:val="222222"/>
          <w:szCs w:val="24"/>
        </w:rPr>
        <w:t xml:space="preserve">materials </w:t>
      </w:r>
      <w:r w:rsidR="003966C1">
        <w:rPr>
          <w:rFonts w:eastAsia="Times New Roman" w:cs="Times New Roman"/>
          <w:color w:val="222222"/>
          <w:szCs w:val="24"/>
        </w:rPr>
        <w:t>shortage</w:t>
      </w:r>
      <w:r w:rsidR="003966C1" w:rsidRPr="000F79DD">
        <w:rPr>
          <w:rFonts w:eastAsia="Times New Roman" w:cs="Times New Roman"/>
          <w:color w:val="222222"/>
          <w:szCs w:val="24"/>
        </w:rPr>
        <w:t xml:space="preserve"> that would not persist</w:t>
      </w:r>
      <w:r w:rsidR="003966C1">
        <w:rPr>
          <w:rFonts w:eastAsia="Times New Roman" w:cs="Times New Roman"/>
          <w:color w:val="222222"/>
          <w:szCs w:val="24"/>
        </w:rPr>
        <w:t xml:space="preserve">.  It was of little relevance in the postwar period. </w:t>
      </w:r>
      <w:r w:rsidR="003966C1" w:rsidRPr="000F79DD">
        <w:rPr>
          <w:rFonts w:eastAsia="Times New Roman" w:cs="Times New Roman"/>
          <w:color w:val="222222"/>
          <w:szCs w:val="24"/>
        </w:rPr>
        <w:t xml:space="preserve">  </w:t>
      </w:r>
    </w:p>
    <w:p w14:paraId="48AB395A" w14:textId="3FCA902F" w:rsidR="000C082F" w:rsidRDefault="003966C1" w:rsidP="008B5065">
      <w:pPr>
        <w:shd w:val="clear" w:color="auto" w:fill="FFFFFF"/>
        <w:spacing w:line="480" w:lineRule="auto"/>
        <w:ind w:firstLine="576"/>
        <w:rPr>
          <w:rFonts w:eastAsia="Times New Roman" w:cs="Times New Roman"/>
          <w:color w:val="222222"/>
          <w:szCs w:val="24"/>
        </w:rPr>
      </w:pPr>
      <w:r>
        <w:rPr>
          <w:rFonts w:eastAsia="Times New Roman" w:cs="Times New Roman"/>
          <w:color w:val="222222"/>
          <w:szCs w:val="24"/>
        </w:rPr>
        <w:t xml:space="preserve">What of the effects of learning by doing? The argument that World War II production experience had positive persisting effects on aggregate supply almost always begins with the Liberty ships and goes on to cite </w:t>
      </w:r>
      <w:r w:rsidRPr="000F79DD">
        <w:rPr>
          <w:rFonts w:eastAsia="Times New Roman" w:cs="Times New Roman"/>
          <w:color w:val="222222"/>
          <w:szCs w:val="24"/>
        </w:rPr>
        <w:t xml:space="preserve">examples of the </w:t>
      </w:r>
      <w:r>
        <w:rPr>
          <w:rFonts w:eastAsia="Times New Roman" w:cs="Times New Roman"/>
          <w:color w:val="222222"/>
          <w:szCs w:val="24"/>
        </w:rPr>
        <w:t xml:space="preserve">inverse relationship between </w:t>
      </w:r>
      <w:r w:rsidRPr="000F79DD">
        <w:rPr>
          <w:rFonts w:eastAsia="Times New Roman" w:cs="Times New Roman"/>
          <w:color w:val="222222"/>
          <w:szCs w:val="24"/>
        </w:rPr>
        <w:t xml:space="preserve">cumulated output </w:t>
      </w:r>
      <w:r>
        <w:rPr>
          <w:rFonts w:eastAsia="Times New Roman" w:cs="Times New Roman"/>
          <w:color w:val="222222"/>
          <w:szCs w:val="24"/>
        </w:rPr>
        <w:t xml:space="preserve">and unit labor requirements for </w:t>
      </w:r>
      <w:r w:rsidRPr="000F79DD">
        <w:rPr>
          <w:rFonts w:eastAsia="Times New Roman" w:cs="Times New Roman"/>
          <w:color w:val="222222"/>
          <w:szCs w:val="24"/>
        </w:rPr>
        <w:t>B-24s, C-47s, or Oerlikon antiaircraft guns</w:t>
      </w:r>
      <w:r>
        <w:rPr>
          <w:rFonts w:eastAsia="Times New Roman" w:cs="Times New Roman"/>
          <w:color w:val="222222"/>
          <w:szCs w:val="24"/>
        </w:rPr>
        <w:t>.</w:t>
      </w:r>
      <w:r>
        <w:rPr>
          <w:rStyle w:val="FootnoteReference"/>
          <w:rFonts w:eastAsia="Times New Roman" w:cs="Times New Roman"/>
          <w:color w:val="222222"/>
          <w:szCs w:val="24"/>
        </w:rPr>
        <w:footnoteReference w:id="4"/>
      </w:r>
      <w:r>
        <w:rPr>
          <w:rFonts w:eastAsia="Times New Roman" w:cs="Times New Roman"/>
          <w:color w:val="222222"/>
          <w:szCs w:val="24"/>
        </w:rPr>
        <w:t xml:space="preserve">  These gains, </w:t>
      </w:r>
      <w:r w:rsidR="00AA4977">
        <w:rPr>
          <w:rFonts w:eastAsia="Times New Roman" w:cs="Times New Roman"/>
          <w:color w:val="222222"/>
          <w:szCs w:val="24"/>
        </w:rPr>
        <w:t>although</w:t>
      </w:r>
      <w:r w:rsidR="00D87A6D">
        <w:rPr>
          <w:rFonts w:eastAsia="Times New Roman" w:cs="Times New Roman"/>
          <w:color w:val="222222"/>
          <w:szCs w:val="24"/>
        </w:rPr>
        <w:t xml:space="preserve"> they require some qualif</w:t>
      </w:r>
      <w:r w:rsidR="007A01E1">
        <w:rPr>
          <w:rFonts w:eastAsia="Times New Roman" w:cs="Times New Roman"/>
          <w:color w:val="222222"/>
          <w:szCs w:val="24"/>
        </w:rPr>
        <w:t>ication</w:t>
      </w:r>
      <w:r w:rsidR="00CA3343">
        <w:rPr>
          <w:rFonts w:eastAsia="Times New Roman" w:cs="Times New Roman"/>
          <w:color w:val="222222"/>
          <w:szCs w:val="24"/>
        </w:rPr>
        <w:t xml:space="preserve">, were </w:t>
      </w:r>
      <w:r>
        <w:rPr>
          <w:rFonts w:eastAsia="Times New Roman" w:cs="Times New Roman"/>
          <w:color w:val="222222"/>
          <w:szCs w:val="24"/>
        </w:rPr>
        <w:t>real</w:t>
      </w:r>
      <w:r w:rsidR="00CA3343">
        <w:rPr>
          <w:rFonts w:eastAsia="Times New Roman" w:cs="Times New Roman"/>
          <w:color w:val="222222"/>
          <w:szCs w:val="24"/>
        </w:rPr>
        <w:t>.  But they</w:t>
      </w:r>
      <w:r>
        <w:rPr>
          <w:rFonts w:eastAsia="Times New Roman" w:cs="Times New Roman"/>
          <w:color w:val="222222"/>
          <w:szCs w:val="24"/>
        </w:rPr>
        <w:t xml:space="preserve"> </w:t>
      </w:r>
      <w:r w:rsidRPr="000F79DD">
        <w:rPr>
          <w:rFonts w:eastAsia="Times New Roman" w:cs="Times New Roman"/>
          <w:color w:val="222222"/>
          <w:szCs w:val="24"/>
        </w:rPr>
        <w:t xml:space="preserve">did </w:t>
      </w:r>
      <w:r w:rsidR="00802D40">
        <w:rPr>
          <w:rFonts w:eastAsia="Times New Roman" w:cs="Times New Roman"/>
          <w:color w:val="222222"/>
          <w:szCs w:val="24"/>
        </w:rPr>
        <w:t xml:space="preserve">not generalize to the rest of the economy, and </w:t>
      </w:r>
      <w:r>
        <w:rPr>
          <w:rFonts w:eastAsia="Times New Roman" w:cs="Times New Roman"/>
          <w:color w:val="222222"/>
          <w:szCs w:val="24"/>
        </w:rPr>
        <w:t>did</w:t>
      </w:r>
      <w:r w:rsidRPr="000F79DD">
        <w:rPr>
          <w:rFonts w:eastAsia="Times New Roman" w:cs="Times New Roman"/>
          <w:color w:val="222222"/>
          <w:szCs w:val="24"/>
        </w:rPr>
        <w:t xml:space="preserve"> </w:t>
      </w:r>
      <w:r>
        <w:rPr>
          <w:rFonts w:eastAsia="Times New Roman" w:cs="Times New Roman"/>
          <w:color w:val="222222"/>
          <w:szCs w:val="24"/>
        </w:rPr>
        <w:t>little to</w:t>
      </w:r>
      <w:r w:rsidRPr="000F79DD">
        <w:rPr>
          <w:rFonts w:eastAsia="Times New Roman" w:cs="Times New Roman"/>
          <w:color w:val="222222"/>
          <w:szCs w:val="24"/>
        </w:rPr>
        <w:t xml:space="preserve"> boost either civilian or military production capability after it.</w:t>
      </w:r>
      <w:r>
        <w:rPr>
          <w:rFonts w:eastAsia="Times New Roman" w:cs="Times New Roman"/>
          <w:color w:val="222222"/>
          <w:szCs w:val="24"/>
        </w:rPr>
        <w:t xml:space="preserve">  The manufactu</w:t>
      </w:r>
      <w:r w:rsidR="00462C64">
        <w:rPr>
          <w:rFonts w:eastAsia="Times New Roman" w:cs="Times New Roman"/>
          <w:color w:val="222222"/>
          <w:szCs w:val="24"/>
        </w:rPr>
        <w:t>re of most of these products</w:t>
      </w:r>
      <w:r>
        <w:rPr>
          <w:rFonts w:eastAsia="Times New Roman" w:cs="Times New Roman"/>
          <w:color w:val="222222"/>
          <w:szCs w:val="24"/>
        </w:rPr>
        <w:t xml:space="preserve"> ceased by V-J day. In contrast </w:t>
      </w:r>
      <w:r w:rsidRPr="000F79DD">
        <w:rPr>
          <w:rFonts w:eastAsia="Times New Roman" w:cs="Times New Roman"/>
          <w:color w:val="222222"/>
          <w:szCs w:val="24"/>
        </w:rPr>
        <w:t xml:space="preserve">to what was true during the war, postwar military </w:t>
      </w:r>
      <w:r>
        <w:rPr>
          <w:rFonts w:eastAsia="Times New Roman" w:cs="Times New Roman"/>
          <w:color w:val="222222"/>
          <w:szCs w:val="24"/>
        </w:rPr>
        <w:t>hardware</w:t>
      </w:r>
      <w:r w:rsidRPr="000F79DD">
        <w:rPr>
          <w:rFonts w:eastAsia="Times New Roman" w:cs="Times New Roman"/>
          <w:color w:val="222222"/>
          <w:szCs w:val="24"/>
        </w:rPr>
        <w:t xml:space="preserve"> had limited production runs and</w:t>
      </w:r>
      <w:r>
        <w:rPr>
          <w:rFonts w:eastAsia="Times New Roman" w:cs="Times New Roman"/>
          <w:color w:val="222222"/>
          <w:szCs w:val="24"/>
        </w:rPr>
        <w:t xml:space="preserve"> much</w:t>
      </w:r>
      <w:r w:rsidRPr="000F79DD">
        <w:rPr>
          <w:rFonts w:eastAsia="Times New Roman" w:cs="Times New Roman"/>
          <w:color w:val="222222"/>
          <w:szCs w:val="24"/>
        </w:rPr>
        <w:t xml:space="preserve"> high</w:t>
      </w:r>
      <w:r>
        <w:rPr>
          <w:rFonts w:eastAsia="Times New Roman" w:cs="Times New Roman"/>
          <w:color w:val="222222"/>
          <w:szCs w:val="24"/>
        </w:rPr>
        <w:t>er</w:t>
      </w:r>
      <w:r w:rsidRPr="000F79DD">
        <w:rPr>
          <w:rFonts w:eastAsia="Times New Roman" w:cs="Times New Roman"/>
          <w:color w:val="222222"/>
          <w:szCs w:val="24"/>
        </w:rPr>
        <w:t xml:space="preserve"> costs per unit. </w:t>
      </w:r>
      <w:r>
        <w:rPr>
          <w:rFonts w:eastAsia="Times New Roman" w:cs="Times New Roman"/>
          <w:color w:val="222222"/>
          <w:szCs w:val="24"/>
        </w:rPr>
        <w:t xml:space="preserve"> </w:t>
      </w:r>
    </w:p>
    <w:p w14:paraId="0F2EADE4" w14:textId="5A69EFA5" w:rsidR="00EA5699" w:rsidRDefault="003871DF" w:rsidP="008B5065">
      <w:pPr>
        <w:shd w:val="clear" w:color="auto" w:fill="FFFFFF"/>
        <w:spacing w:line="480" w:lineRule="auto"/>
        <w:ind w:firstLine="576"/>
      </w:pPr>
      <w:r>
        <w:rPr>
          <w:rFonts w:eastAsia="Times New Roman" w:cs="Times New Roman"/>
          <w:color w:val="222222"/>
          <w:szCs w:val="24"/>
        </w:rPr>
        <w:t>The</w:t>
      </w:r>
      <w:r w:rsidR="0038584B">
        <w:rPr>
          <w:rFonts w:eastAsia="Times New Roman" w:cs="Times New Roman"/>
          <w:color w:val="222222"/>
          <w:szCs w:val="24"/>
        </w:rPr>
        <w:t xml:space="preserve"> wartime diversion of resources to military production</w:t>
      </w:r>
      <w:r w:rsidR="00847E5C">
        <w:rPr>
          <w:rFonts w:eastAsia="Times New Roman" w:cs="Times New Roman"/>
          <w:color w:val="222222"/>
          <w:szCs w:val="24"/>
        </w:rPr>
        <w:t xml:space="preserve"> </w:t>
      </w:r>
      <w:r w:rsidR="00B16F78">
        <w:rPr>
          <w:rFonts w:eastAsia="Times New Roman" w:cs="Times New Roman"/>
          <w:color w:val="222222"/>
          <w:szCs w:val="24"/>
        </w:rPr>
        <w:t>halted direct learning in the production of consumer durables, to which the economy would return after the war.</w:t>
      </w:r>
      <w:r w:rsidR="0038584B">
        <w:rPr>
          <w:rFonts w:eastAsia="Times New Roman" w:cs="Times New Roman"/>
          <w:color w:val="222222"/>
          <w:szCs w:val="24"/>
        </w:rPr>
        <w:t xml:space="preserve">  </w:t>
      </w:r>
      <w:r w:rsidR="00ED2366">
        <w:rPr>
          <w:rFonts w:eastAsia="Times New Roman" w:cs="Times New Roman"/>
          <w:color w:val="222222"/>
          <w:szCs w:val="24"/>
        </w:rPr>
        <w:t xml:space="preserve">Then, as now, the </w:t>
      </w:r>
      <w:r w:rsidR="0038584B">
        <w:rPr>
          <w:rFonts w:eastAsia="Times New Roman" w:cs="Times New Roman"/>
          <w:color w:val="222222"/>
          <w:szCs w:val="24"/>
        </w:rPr>
        <w:t xml:space="preserve">most important </w:t>
      </w:r>
      <w:r w:rsidR="008B5065">
        <w:rPr>
          <w:rFonts w:eastAsia="Times New Roman" w:cs="Times New Roman"/>
          <w:color w:val="222222"/>
          <w:szCs w:val="24"/>
        </w:rPr>
        <w:t>of these</w:t>
      </w:r>
      <w:r w:rsidR="00ED2366">
        <w:rPr>
          <w:rFonts w:eastAsia="Times New Roman" w:cs="Times New Roman"/>
          <w:color w:val="222222"/>
          <w:szCs w:val="24"/>
        </w:rPr>
        <w:t xml:space="preserve"> were </w:t>
      </w:r>
      <w:r w:rsidR="0038584B">
        <w:rPr>
          <w:rFonts w:eastAsia="Times New Roman" w:cs="Times New Roman"/>
          <w:color w:val="222222"/>
          <w:szCs w:val="24"/>
        </w:rPr>
        <w:t>automobile</w:t>
      </w:r>
      <w:r w:rsidR="00ED2366">
        <w:rPr>
          <w:rFonts w:eastAsia="Times New Roman" w:cs="Times New Roman"/>
          <w:color w:val="222222"/>
          <w:szCs w:val="24"/>
        </w:rPr>
        <w:t>s</w:t>
      </w:r>
      <w:r w:rsidR="0038584B">
        <w:rPr>
          <w:rFonts w:eastAsia="Times New Roman" w:cs="Times New Roman"/>
          <w:color w:val="222222"/>
          <w:szCs w:val="24"/>
        </w:rPr>
        <w:t>.  In 1939, th</w:t>
      </w:r>
      <w:r w:rsidR="00D87A6D">
        <w:rPr>
          <w:rFonts w:eastAsia="Times New Roman" w:cs="Times New Roman"/>
          <w:color w:val="222222"/>
          <w:szCs w:val="24"/>
        </w:rPr>
        <w:t>e car</w:t>
      </w:r>
      <w:r w:rsidR="0038584B">
        <w:rPr>
          <w:rFonts w:eastAsia="Times New Roman" w:cs="Times New Roman"/>
          <w:color w:val="222222"/>
          <w:szCs w:val="24"/>
        </w:rPr>
        <w:t xml:space="preserve"> industry </w:t>
      </w:r>
      <w:r w:rsidR="002905AE">
        <w:rPr>
          <w:rFonts w:eastAsia="Times New Roman" w:cs="Times New Roman"/>
          <w:color w:val="222222"/>
          <w:szCs w:val="24"/>
        </w:rPr>
        <w:t>consumed</w:t>
      </w:r>
      <w:r w:rsidR="0038584B">
        <w:rPr>
          <w:rFonts w:eastAsia="Times New Roman" w:cs="Times New Roman"/>
          <w:color w:val="222222"/>
          <w:szCs w:val="24"/>
        </w:rPr>
        <w:t xml:space="preserve"> </w:t>
      </w:r>
      <w:r w:rsidR="0038584B">
        <w:t xml:space="preserve">18 percent of the steel, 80 percent of the rubber, 34 percent of the lead, and 10-14 percent of </w:t>
      </w:r>
      <w:r w:rsidR="00857C51">
        <w:t xml:space="preserve">the </w:t>
      </w:r>
      <w:r w:rsidR="0038584B">
        <w:t xml:space="preserve">copper, tin, and aluminum in the US economy.  </w:t>
      </w:r>
      <w:r w:rsidR="0038584B">
        <w:rPr>
          <w:rFonts w:eastAsia="Times New Roman" w:cs="Times New Roman"/>
          <w:color w:val="222222"/>
          <w:szCs w:val="24"/>
        </w:rPr>
        <w:t xml:space="preserve"> Output </w:t>
      </w:r>
      <w:r w:rsidR="00857C51">
        <w:rPr>
          <w:rFonts w:eastAsia="Times New Roman" w:cs="Times New Roman"/>
          <w:color w:val="222222"/>
          <w:szCs w:val="24"/>
        </w:rPr>
        <w:t xml:space="preserve">and sales of passenger vehicles </w:t>
      </w:r>
      <w:r w:rsidR="000C082F">
        <w:rPr>
          <w:rFonts w:eastAsia="Times New Roman" w:cs="Times New Roman"/>
          <w:color w:val="222222"/>
          <w:szCs w:val="24"/>
        </w:rPr>
        <w:t>rose</w:t>
      </w:r>
      <w:r w:rsidR="005017D2">
        <w:rPr>
          <w:rFonts w:eastAsia="Times New Roman" w:cs="Times New Roman"/>
          <w:color w:val="222222"/>
          <w:szCs w:val="24"/>
        </w:rPr>
        <w:t xml:space="preserve"> </w:t>
      </w:r>
      <w:r w:rsidR="0038584B">
        <w:rPr>
          <w:rFonts w:eastAsia="Times New Roman" w:cs="Times New Roman"/>
          <w:color w:val="222222"/>
          <w:szCs w:val="24"/>
        </w:rPr>
        <w:t xml:space="preserve">rapidly in 1940 and 1941, as growing defense spending </w:t>
      </w:r>
      <w:r w:rsidR="00056FE2">
        <w:rPr>
          <w:rFonts w:eastAsia="Times New Roman" w:cs="Times New Roman"/>
          <w:color w:val="222222"/>
          <w:szCs w:val="24"/>
        </w:rPr>
        <w:t>along with</w:t>
      </w:r>
      <w:r w:rsidR="0038584B">
        <w:rPr>
          <w:rFonts w:eastAsia="Times New Roman" w:cs="Times New Roman"/>
          <w:color w:val="222222"/>
          <w:szCs w:val="24"/>
        </w:rPr>
        <w:t xml:space="preserve"> foreign order</w:t>
      </w:r>
      <w:r w:rsidR="00F7082D">
        <w:rPr>
          <w:rFonts w:eastAsia="Times New Roman" w:cs="Times New Roman"/>
          <w:color w:val="222222"/>
          <w:szCs w:val="24"/>
        </w:rPr>
        <w:t>s</w:t>
      </w:r>
      <w:r w:rsidR="0038584B">
        <w:rPr>
          <w:rFonts w:eastAsia="Times New Roman" w:cs="Times New Roman"/>
          <w:color w:val="222222"/>
          <w:szCs w:val="24"/>
        </w:rPr>
        <w:t xml:space="preserve"> primed the pump of an economy finally emerging </w:t>
      </w:r>
      <w:r w:rsidR="009A468A">
        <w:rPr>
          <w:rFonts w:eastAsia="Times New Roman" w:cs="Times New Roman"/>
          <w:color w:val="222222"/>
          <w:szCs w:val="24"/>
        </w:rPr>
        <w:t>from a decade of d</w:t>
      </w:r>
      <w:r w:rsidR="0038584B">
        <w:rPr>
          <w:rFonts w:eastAsia="Times New Roman" w:cs="Times New Roman"/>
          <w:color w:val="222222"/>
          <w:szCs w:val="24"/>
        </w:rPr>
        <w:t xml:space="preserve">epression.  </w:t>
      </w:r>
      <w:r w:rsidR="006233A4">
        <w:rPr>
          <w:rFonts w:eastAsia="Times New Roman" w:cs="Times New Roman"/>
          <w:color w:val="222222"/>
          <w:szCs w:val="24"/>
        </w:rPr>
        <w:t>Well in advance of Pearl Harbor</w:t>
      </w:r>
      <w:r w:rsidR="00502138">
        <w:rPr>
          <w:rFonts w:eastAsia="Times New Roman" w:cs="Times New Roman"/>
          <w:color w:val="222222"/>
          <w:szCs w:val="24"/>
        </w:rPr>
        <w:t xml:space="preserve">, </w:t>
      </w:r>
      <w:r w:rsidR="00EA5699">
        <w:rPr>
          <w:rFonts w:eastAsia="Times New Roman" w:cs="Times New Roman"/>
          <w:color w:val="222222"/>
          <w:szCs w:val="24"/>
        </w:rPr>
        <w:t xml:space="preserve">government </w:t>
      </w:r>
      <w:r w:rsidR="007500C0">
        <w:rPr>
          <w:rFonts w:eastAsia="Times New Roman" w:cs="Times New Roman"/>
          <w:color w:val="222222"/>
          <w:szCs w:val="24"/>
        </w:rPr>
        <w:t xml:space="preserve">economists </w:t>
      </w:r>
      <w:r w:rsidR="00F7082D">
        <w:t>understood</w:t>
      </w:r>
      <w:r w:rsidR="00E907BB">
        <w:t xml:space="preserve"> t</w:t>
      </w:r>
      <w:r w:rsidR="0038584B">
        <w:t>hat</w:t>
      </w:r>
      <w:r w:rsidR="0036451B">
        <w:t xml:space="preserve"> </w:t>
      </w:r>
      <w:r w:rsidR="00B16F78">
        <w:t>rising</w:t>
      </w:r>
      <w:r w:rsidR="00323588">
        <w:t xml:space="preserve"> </w:t>
      </w:r>
      <w:r w:rsidR="0036451B">
        <w:t>demands</w:t>
      </w:r>
      <w:r w:rsidR="0038584B">
        <w:t xml:space="preserve"> for consumer durables and military hardware</w:t>
      </w:r>
      <w:r w:rsidR="00502138">
        <w:t xml:space="preserve"> could not both be satisfied without exacerbating</w:t>
      </w:r>
      <w:r w:rsidR="0038584B">
        <w:t xml:space="preserve"> developing shortages in steel, machine tools, and other key </w:t>
      </w:r>
      <w:r w:rsidR="00696EF5">
        <w:t>inputs</w:t>
      </w:r>
      <w:r w:rsidR="00A17046">
        <w:t xml:space="preserve">.  </w:t>
      </w:r>
    </w:p>
    <w:p w14:paraId="32D94BFC" w14:textId="25B23459" w:rsidR="0038584B" w:rsidRDefault="00696EF5" w:rsidP="008B5065">
      <w:pPr>
        <w:shd w:val="clear" w:color="auto" w:fill="FFFFFF"/>
        <w:spacing w:line="480" w:lineRule="auto"/>
        <w:ind w:firstLine="576"/>
      </w:pPr>
      <w:r>
        <w:lastRenderedPageBreak/>
        <w:t>To produce huge quantities of aircraft, tanks, and ships,</w:t>
      </w:r>
      <w:r w:rsidR="0036451B">
        <w:t xml:space="preserve"> the </w:t>
      </w:r>
      <w:r w:rsidR="00847E5C">
        <w:t>United States</w:t>
      </w:r>
      <w:r w:rsidR="0036451B">
        <w:t xml:space="preserve"> </w:t>
      </w:r>
      <w:r w:rsidR="00056FE2">
        <w:t>had</w:t>
      </w:r>
      <w:r w:rsidR="00B16F78">
        <w:t xml:space="preserve"> </w:t>
      </w:r>
      <w:r w:rsidR="00056FE2">
        <w:t>to</w:t>
      </w:r>
      <w:r w:rsidR="00F77886">
        <w:t xml:space="preserve"> retrench</w:t>
      </w:r>
      <w:r w:rsidR="00D87A6D">
        <w:t xml:space="preserve"> on </w:t>
      </w:r>
      <w:r w:rsidR="00502138">
        <w:t xml:space="preserve">the production of </w:t>
      </w:r>
      <w:r w:rsidR="00D87A6D">
        <w:t>metal</w:t>
      </w:r>
      <w:r w:rsidR="002905AE">
        <w:t>-</w:t>
      </w:r>
      <w:r w:rsidR="00D87A6D">
        <w:t>using consumer durables, particularly autom</w:t>
      </w:r>
      <w:r w:rsidR="00373467">
        <w:t>o</w:t>
      </w:r>
      <w:r w:rsidR="00D87A6D">
        <w:t>biles</w:t>
      </w:r>
      <w:r w:rsidR="00502138">
        <w:t xml:space="preserve"> and white goods (refrigerators, washing machines,</w:t>
      </w:r>
      <w:r w:rsidR="00F77886">
        <w:t xml:space="preserve"> and other appliances</w:t>
      </w:r>
      <w:r w:rsidR="00502138">
        <w:t>).</w:t>
      </w:r>
      <w:r w:rsidR="00B16F78">
        <w:t xml:space="preserve"> Prior to Pearl Harbor</w:t>
      </w:r>
      <w:r w:rsidR="00F7082D">
        <w:t xml:space="preserve"> </w:t>
      </w:r>
      <w:r w:rsidR="00B16F78">
        <w:t>i</w:t>
      </w:r>
      <w:r w:rsidR="00080CAB">
        <w:t>ndustry</w:t>
      </w:r>
      <w:r w:rsidR="00323588">
        <w:t xml:space="preserve"> </w:t>
      </w:r>
      <w:r w:rsidR="000C082F">
        <w:t xml:space="preserve">leaders </w:t>
      </w:r>
      <w:r w:rsidR="0038584B">
        <w:t xml:space="preserve">resisted curtailment, arguing </w:t>
      </w:r>
      <w:r w:rsidR="00A17046">
        <w:t xml:space="preserve">(wrongly) </w:t>
      </w:r>
      <w:r w:rsidR="0038584B">
        <w:t>that only a small par</w:t>
      </w:r>
      <w:r w:rsidR="00F261F5">
        <w:t xml:space="preserve">t of its plant and equipment could be converted to military production.  </w:t>
      </w:r>
      <w:r w:rsidR="00E21F7F">
        <w:t>T</w:t>
      </w:r>
      <w:r w:rsidR="00323588">
        <w:t xml:space="preserve">hey were joined by </w:t>
      </w:r>
      <w:r w:rsidR="000C082F">
        <w:t>official</w:t>
      </w:r>
      <w:r w:rsidR="00D87A6D">
        <w:t>s</w:t>
      </w:r>
      <w:r w:rsidR="000C082F">
        <w:t xml:space="preserve"> in the</w:t>
      </w:r>
      <w:r w:rsidR="0038584B">
        <w:t xml:space="preserve"> Office of Production Management, </w:t>
      </w:r>
      <w:r w:rsidR="00502138">
        <w:t>who</w:t>
      </w:r>
      <w:r w:rsidR="000C082F">
        <w:t>,</w:t>
      </w:r>
      <w:r w:rsidR="00323588">
        <w:t xml:space="preserve"> </w:t>
      </w:r>
      <w:r w:rsidR="0038584B">
        <w:t xml:space="preserve">echoing industry fears, </w:t>
      </w:r>
      <w:r w:rsidR="0036451B">
        <w:t>wanted</w:t>
      </w:r>
      <w:r w:rsidR="00B16F78">
        <w:t xml:space="preserve"> gradual</w:t>
      </w:r>
      <w:r w:rsidR="0038584B">
        <w:t xml:space="preserve"> </w:t>
      </w:r>
      <w:r w:rsidR="00320B4C">
        <w:t>curtailment</w:t>
      </w:r>
      <w:r w:rsidR="000C082F">
        <w:t xml:space="preserve">. </w:t>
      </w:r>
      <w:r w:rsidR="00502138">
        <w:t>A</w:t>
      </w:r>
      <w:r w:rsidR="00D87A6D">
        <w:t>fter a decade</w:t>
      </w:r>
      <w:r w:rsidR="00521645">
        <w:t xml:space="preserve"> of Depression,</w:t>
      </w:r>
      <w:r w:rsidR="00502138">
        <w:t xml:space="preserve"> the concern</w:t>
      </w:r>
      <w:r w:rsidR="00521645">
        <w:t xml:space="preserve"> </w:t>
      </w:r>
      <w:r w:rsidR="000C082F">
        <w:t xml:space="preserve">was </w:t>
      </w:r>
      <w:r w:rsidR="00323588">
        <w:t xml:space="preserve">to avoid </w:t>
      </w:r>
      <w:r w:rsidR="00502138">
        <w:t>temporar</w:t>
      </w:r>
      <w:r w:rsidR="00B16F78">
        <w:t>il</w:t>
      </w:r>
      <w:r w:rsidR="00F7082D">
        <w:t>y</w:t>
      </w:r>
      <w:r w:rsidR="00323588">
        <w:t xml:space="preserve"> id</w:t>
      </w:r>
      <w:r w:rsidR="00C5748A">
        <w:t>le</w:t>
      </w:r>
      <w:r w:rsidR="00323588">
        <w:t xml:space="preserve"> factories</w:t>
      </w:r>
      <w:r w:rsidR="00B16F78">
        <w:t xml:space="preserve"> or workers</w:t>
      </w:r>
      <w:r w:rsidR="00521645">
        <w:t xml:space="preserve"> that might arise</w:t>
      </w:r>
      <w:r w:rsidR="00323588">
        <w:t xml:space="preserve"> </w:t>
      </w:r>
      <w:r>
        <w:t>during a</w:t>
      </w:r>
      <w:r w:rsidR="00847E5C">
        <w:t>n i</w:t>
      </w:r>
      <w:r>
        <w:t>nterval</w:t>
      </w:r>
      <w:r w:rsidR="000C082F">
        <w:t xml:space="preserve"> between curtailment and the </w:t>
      </w:r>
      <w:r w:rsidR="00847E5C">
        <w:t>eventual</w:t>
      </w:r>
      <w:r w:rsidR="000C082F">
        <w:t xml:space="preserve"> </w:t>
      </w:r>
      <w:r>
        <w:t>increase</w:t>
      </w:r>
      <w:r w:rsidR="000C082F">
        <w:t xml:space="preserve"> in military orders</w:t>
      </w:r>
      <w:r w:rsidR="001161FB">
        <w:t xml:space="preserve">.  The President, </w:t>
      </w:r>
      <w:r w:rsidR="00521645">
        <w:t xml:space="preserve">government </w:t>
      </w:r>
      <w:r w:rsidR="001161FB">
        <w:t>eco</w:t>
      </w:r>
      <w:r w:rsidR="00E21F7F">
        <w:t>nom</w:t>
      </w:r>
      <w:r w:rsidR="000C082F">
        <w:t xml:space="preserve">ists, and </w:t>
      </w:r>
      <w:r w:rsidR="00521645">
        <w:t xml:space="preserve">other </w:t>
      </w:r>
      <w:r w:rsidR="000C082F">
        <w:t>New Dealers pu</w:t>
      </w:r>
      <w:r w:rsidR="00D87A6D">
        <w:t>shed for speedier reductions</w:t>
      </w:r>
      <w:r w:rsidR="000C082F">
        <w:t xml:space="preserve"> in civilian production</w:t>
      </w:r>
      <w:r w:rsidR="001161FB" w:rsidRPr="001161FB">
        <w:t xml:space="preserve"> </w:t>
      </w:r>
      <w:r w:rsidR="001161FB">
        <w:t xml:space="preserve">(Koistinen, 2004, pp. 130-132).  </w:t>
      </w:r>
    </w:p>
    <w:p w14:paraId="5544CF46" w14:textId="3F9C4F53" w:rsidR="0038584B" w:rsidRDefault="0038584B" w:rsidP="0038584B">
      <w:pPr>
        <w:shd w:val="clear" w:color="auto" w:fill="FFFFFF"/>
        <w:spacing w:line="480" w:lineRule="auto"/>
        <w:rPr>
          <w:rFonts w:eastAsia="Times New Roman" w:cs="Times New Roman"/>
          <w:color w:val="222222"/>
          <w:szCs w:val="24"/>
        </w:rPr>
      </w:pPr>
      <w:r>
        <w:rPr>
          <w:rFonts w:eastAsia="Times New Roman" w:cs="Times New Roman"/>
          <w:color w:val="222222"/>
          <w:szCs w:val="24"/>
        </w:rPr>
        <w:t xml:space="preserve">       </w:t>
      </w:r>
      <w:r w:rsidR="00F77886">
        <w:rPr>
          <w:rFonts w:eastAsia="Times New Roman" w:cs="Times New Roman"/>
          <w:color w:val="222222"/>
          <w:szCs w:val="24"/>
        </w:rPr>
        <w:t>M</w:t>
      </w:r>
      <w:r w:rsidR="000C082F">
        <w:rPr>
          <w:rFonts w:eastAsia="Times New Roman" w:cs="Times New Roman"/>
          <w:color w:val="222222"/>
          <w:szCs w:val="24"/>
        </w:rPr>
        <w:t>odest curtailment</w:t>
      </w:r>
      <w:r w:rsidR="00E21F7F">
        <w:rPr>
          <w:rFonts w:eastAsia="Times New Roman" w:cs="Times New Roman"/>
          <w:color w:val="222222"/>
          <w:szCs w:val="24"/>
        </w:rPr>
        <w:t xml:space="preserve"> </w:t>
      </w:r>
      <w:r w:rsidR="00B16F78">
        <w:rPr>
          <w:rFonts w:eastAsia="Times New Roman" w:cs="Times New Roman"/>
          <w:color w:val="222222"/>
          <w:szCs w:val="24"/>
        </w:rPr>
        <w:t>began</w:t>
      </w:r>
      <w:r w:rsidR="00F7082D">
        <w:rPr>
          <w:rFonts w:eastAsia="Times New Roman" w:cs="Times New Roman"/>
          <w:color w:val="222222"/>
          <w:szCs w:val="24"/>
        </w:rPr>
        <w:t xml:space="preserve"> in</w:t>
      </w:r>
      <w:r w:rsidR="00F77886">
        <w:rPr>
          <w:rFonts w:eastAsia="Times New Roman" w:cs="Times New Roman"/>
          <w:color w:val="222222"/>
          <w:szCs w:val="24"/>
        </w:rPr>
        <w:t xml:space="preserve"> </w:t>
      </w:r>
      <w:r w:rsidR="00B16F78">
        <w:rPr>
          <w:rFonts w:eastAsia="Times New Roman" w:cs="Times New Roman"/>
          <w:color w:val="222222"/>
          <w:szCs w:val="24"/>
        </w:rPr>
        <w:t>late August of 1941.</w:t>
      </w:r>
      <w:r w:rsidR="00521645">
        <w:rPr>
          <w:rFonts w:eastAsia="Times New Roman" w:cs="Times New Roman"/>
          <w:color w:val="222222"/>
          <w:szCs w:val="24"/>
        </w:rPr>
        <w:t xml:space="preserve"> T</w:t>
      </w:r>
      <w:r w:rsidR="00E21F7F">
        <w:rPr>
          <w:rFonts w:eastAsia="Times New Roman" w:cs="Times New Roman"/>
          <w:color w:val="222222"/>
          <w:szCs w:val="24"/>
        </w:rPr>
        <w:t>he</w:t>
      </w:r>
      <w:r w:rsidR="0036451B">
        <w:rPr>
          <w:rFonts w:eastAsia="Times New Roman" w:cs="Times New Roman"/>
          <w:color w:val="222222"/>
          <w:szCs w:val="24"/>
        </w:rPr>
        <w:t xml:space="preserve"> commencement of hostilities</w:t>
      </w:r>
      <w:r>
        <w:rPr>
          <w:rFonts w:eastAsia="Times New Roman" w:cs="Times New Roman"/>
          <w:color w:val="222222"/>
          <w:szCs w:val="24"/>
        </w:rPr>
        <w:t xml:space="preserve"> </w:t>
      </w:r>
      <w:r w:rsidR="00F7082D">
        <w:rPr>
          <w:rFonts w:eastAsia="Times New Roman" w:cs="Times New Roman"/>
          <w:color w:val="222222"/>
          <w:szCs w:val="24"/>
        </w:rPr>
        <w:t xml:space="preserve">in December </w:t>
      </w:r>
      <w:r>
        <w:rPr>
          <w:rFonts w:eastAsia="Times New Roman" w:cs="Times New Roman"/>
          <w:color w:val="222222"/>
          <w:szCs w:val="24"/>
        </w:rPr>
        <w:t xml:space="preserve">greatly accelerated the process.  </w:t>
      </w:r>
      <w:r w:rsidR="00502138">
        <w:rPr>
          <w:rFonts w:eastAsia="Times New Roman" w:cs="Times New Roman"/>
          <w:color w:val="222222"/>
          <w:szCs w:val="24"/>
        </w:rPr>
        <w:t>Effective January 1, 1942, the</w:t>
      </w:r>
      <w:r>
        <w:rPr>
          <w:rFonts w:eastAsia="Times New Roman" w:cs="Times New Roman"/>
          <w:color w:val="222222"/>
          <w:szCs w:val="24"/>
        </w:rPr>
        <w:t xml:space="preserve"> government</w:t>
      </w:r>
      <w:r w:rsidR="00ED548D">
        <w:rPr>
          <w:rFonts w:eastAsia="Times New Roman" w:cs="Times New Roman"/>
          <w:color w:val="222222"/>
          <w:szCs w:val="24"/>
        </w:rPr>
        <w:t xml:space="preserve"> </w:t>
      </w:r>
      <w:r>
        <w:rPr>
          <w:rFonts w:eastAsia="Times New Roman" w:cs="Times New Roman"/>
          <w:color w:val="222222"/>
          <w:szCs w:val="24"/>
        </w:rPr>
        <w:t>prohibited</w:t>
      </w:r>
      <w:r w:rsidR="00502138">
        <w:rPr>
          <w:rFonts w:eastAsia="Times New Roman" w:cs="Times New Roman"/>
          <w:color w:val="222222"/>
          <w:szCs w:val="24"/>
        </w:rPr>
        <w:t xml:space="preserve"> </w:t>
      </w:r>
      <w:r>
        <w:rPr>
          <w:rFonts w:eastAsia="Times New Roman" w:cs="Times New Roman"/>
          <w:color w:val="222222"/>
          <w:szCs w:val="24"/>
        </w:rPr>
        <w:t xml:space="preserve">all </w:t>
      </w:r>
      <w:r w:rsidRPr="000F79DD">
        <w:rPr>
          <w:rFonts w:eastAsia="Times New Roman" w:cs="Times New Roman"/>
          <w:color w:val="222222"/>
          <w:szCs w:val="24"/>
        </w:rPr>
        <w:t xml:space="preserve">sales </w:t>
      </w:r>
      <w:r w:rsidR="00ED548D">
        <w:rPr>
          <w:rFonts w:eastAsia="Times New Roman" w:cs="Times New Roman"/>
          <w:color w:val="222222"/>
          <w:szCs w:val="24"/>
        </w:rPr>
        <w:t xml:space="preserve">of </w:t>
      </w:r>
      <w:r w:rsidRPr="000F79DD">
        <w:rPr>
          <w:rFonts w:eastAsia="Times New Roman" w:cs="Times New Roman"/>
          <w:color w:val="222222"/>
          <w:szCs w:val="24"/>
        </w:rPr>
        <w:t>as well as the delivery of previously ordered cars</w:t>
      </w:r>
      <w:r>
        <w:rPr>
          <w:rFonts w:eastAsia="Times New Roman" w:cs="Times New Roman"/>
          <w:color w:val="222222"/>
          <w:szCs w:val="24"/>
        </w:rPr>
        <w:t xml:space="preserve">, trucks, and parts.  Effective </w:t>
      </w:r>
      <w:r w:rsidRPr="000F79DD">
        <w:rPr>
          <w:rFonts w:eastAsia="Times New Roman" w:cs="Times New Roman"/>
          <w:color w:val="222222"/>
          <w:szCs w:val="24"/>
        </w:rPr>
        <w:t xml:space="preserve">February </w:t>
      </w:r>
      <w:r>
        <w:rPr>
          <w:rFonts w:eastAsia="Times New Roman" w:cs="Times New Roman"/>
          <w:color w:val="222222"/>
          <w:szCs w:val="24"/>
        </w:rPr>
        <w:t xml:space="preserve">22, </w:t>
      </w:r>
      <w:r w:rsidRPr="000F79DD">
        <w:rPr>
          <w:rFonts w:eastAsia="Times New Roman" w:cs="Times New Roman"/>
          <w:color w:val="222222"/>
          <w:szCs w:val="24"/>
        </w:rPr>
        <w:t>1942</w:t>
      </w:r>
      <w:r>
        <w:rPr>
          <w:rFonts w:eastAsia="Times New Roman" w:cs="Times New Roman"/>
          <w:color w:val="222222"/>
          <w:szCs w:val="24"/>
        </w:rPr>
        <w:t xml:space="preserve">, the production of all </w:t>
      </w:r>
      <w:r w:rsidRPr="000F79DD">
        <w:rPr>
          <w:rFonts w:eastAsia="Times New Roman" w:cs="Times New Roman"/>
          <w:color w:val="222222"/>
          <w:szCs w:val="24"/>
        </w:rPr>
        <w:t xml:space="preserve">US passenger vehicles, commercial trucks, </w:t>
      </w:r>
      <w:r>
        <w:rPr>
          <w:rFonts w:eastAsia="Times New Roman" w:cs="Times New Roman"/>
          <w:color w:val="222222"/>
          <w:szCs w:val="24"/>
        </w:rPr>
        <w:t xml:space="preserve">and </w:t>
      </w:r>
      <w:r w:rsidRPr="000F79DD">
        <w:rPr>
          <w:rFonts w:eastAsia="Times New Roman" w:cs="Times New Roman"/>
          <w:color w:val="222222"/>
          <w:szCs w:val="24"/>
        </w:rPr>
        <w:t xml:space="preserve">auto parts </w:t>
      </w:r>
      <w:r>
        <w:rPr>
          <w:rFonts w:eastAsia="Times New Roman" w:cs="Times New Roman"/>
          <w:color w:val="222222"/>
          <w:szCs w:val="24"/>
        </w:rPr>
        <w:t>ceased.  Half-finished assemblies, along with many specialized tools and dies, were sent to salvage to be melted down and recycled</w:t>
      </w:r>
      <w:r w:rsidRPr="000F79DD">
        <w:rPr>
          <w:rFonts w:eastAsia="Times New Roman" w:cs="Times New Roman"/>
          <w:color w:val="222222"/>
          <w:szCs w:val="24"/>
        </w:rPr>
        <w:t xml:space="preserve">. </w:t>
      </w:r>
      <w:r>
        <w:rPr>
          <w:rFonts w:eastAsia="Times New Roman" w:cs="Times New Roman"/>
          <w:color w:val="222222"/>
          <w:szCs w:val="24"/>
        </w:rPr>
        <w:t xml:space="preserve">Car dealers retained an inventory of 520,000 </w:t>
      </w:r>
      <w:r w:rsidR="007500C0">
        <w:rPr>
          <w:rFonts w:eastAsia="Times New Roman" w:cs="Times New Roman"/>
          <w:color w:val="222222"/>
          <w:szCs w:val="24"/>
        </w:rPr>
        <w:t xml:space="preserve">1942 model </w:t>
      </w:r>
      <w:r>
        <w:rPr>
          <w:rFonts w:eastAsia="Times New Roman" w:cs="Times New Roman"/>
          <w:color w:val="222222"/>
          <w:szCs w:val="24"/>
        </w:rPr>
        <w:t>vehicles produced but not yet sold; these with a special permit could purchase one during the war.  Design work on new models ceased completely for thirty months, resuming again in the fall of 1944, subject to the restriction that it not interfere with still ongoing war work.  Production of new vehicles recommenced in October of 1945.</w:t>
      </w:r>
      <w:r>
        <w:rPr>
          <w:rStyle w:val="FootnoteReference"/>
          <w:rFonts w:eastAsia="Times New Roman" w:cs="Times New Roman"/>
          <w:color w:val="222222"/>
          <w:szCs w:val="24"/>
        </w:rPr>
        <w:footnoteReference w:id="5"/>
      </w:r>
      <w:r>
        <w:rPr>
          <w:rFonts w:eastAsia="Times New Roman" w:cs="Times New Roman"/>
          <w:color w:val="222222"/>
          <w:szCs w:val="24"/>
        </w:rPr>
        <w:t xml:space="preserve"> </w:t>
      </w:r>
      <w:r w:rsidRPr="000F79DD">
        <w:rPr>
          <w:rFonts w:eastAsia="Times New Roman" w:cs="Times New Roman"/>
          <w:color w:val="222222"/>
          <w:szCs w:val="24"/>
        </w:rPr>
        <w:t xml:space="preserve"> </w:t>
      </w:r>
    </w:p>
    <w:p w14:paraId="4BD08A45" w14:textId="63594D7A" w:rsidR="0038584B" w:rsidRDefault="0038584B" w:rsidP="0038584B">
      <w:pPr>
        <w:shd w:val="clear" w:color="auto" w:fill="FFFFFF"/>
        <w:spacing w:line="480" w:lineRule="auto"/>
        <w:ind w:firstLine="720"/>
        <w:rPr>
          <w:rFonts w:eastAsia="Times New Roman" w:cs="Times New Roman"/>
          <w:color w:val="222222"/>
          <w:szCs w:val="24"/>
        </w:rPr>
      </w:pPr>
      <w:r w:rsidRPr="000F79DD">
        <w:rPr>
          <w:rFonts w:eastAsia="Times New Roman" w:cs="Times New Roman"/>
          <w:color w:val="222222"/>
          <w:szCs w:val="24"/>
        </w:rPr>
        <w:lastRenderedPageBreak/>
        <w:t>Refrigerator an</w:t>
      </w:r>
      <w:r>
        <w:rPr>
          <w:rFonts w:eastAsia="Times New Roman" w:cs="Times New Roman"/>
          <w:color w:val="222222"/>
          <w:szCs w:val="24"/>
        </w:rPr>
        <w:t>d appliance production, including washing machines, cookstoves, metal office furniture, and vacuum cleaners likewise ceased</w:t>
      </w:r>
      <w:r w:rsidRPr="000F79DD">
        <w:rPr>
          <w:rFonts w:eastAsia="Times New Roman" w:cs="Times New Roman"/>
          <w:color w:val="222222"/>
          <w:szCs w:val="24"/>
        </w:rPr>
        <w:t xml:space="preserve"> during the war.  </w:t>
      </w:r>
      <w:r>
        <w:rPr>
          <w:rFonts w:eastAsia="Times New Roman" w:cs="Times New Roman"/>
          <w:color w:val="222222"/>
          <w:szCs w:val="24"/>
        </w:rPr>
        <w:t xml:space="preserve">Commercial television had been introduced at the 1939 New York World’s Fair, but the war delayed large scale production and take up for at least six years.  Production of TV sets was completely prohibited between April 1942 and August 1945.  </w:t>
      </w:r>
      <w:r w:rsidR="002F2281">
        <w:rPr>
          <w:rFonts w:eastAsia="Times New Roman" w:cs="Times New Roman"/>
          <w:color w:val="222222"/>
          <w:szCs w:val="24"/>
        </w:rPr>
        <w:t>C</w:t>
      </w:r>
      <w:r>
        <w:rPr>
          <w:rFonts w:eastAsia="Times New Roman" w:cs="Times New Roman"/>
          <w:color w:val="222222"/>
          <w:szCs w:val="24"/>
        </w:rPr>
        <w:t xml:space="preserve">ontrary to what Gordon suggests, it is unlikely that experience gained building B-17s or Sherman tanks </w:t>
      </w:r>
      <w:r w:rsidR="007500C0">
        <w:rPr>
          <w:rFonts w:eastAsia="Times New Roman" w:cs="Times New Roman"/>
          <w:color w:val="222222"/>
          <w:szCs w:val="24"/>
        </w:rPr>
        <w:t>compensated</w:t>
      </w:r>
      <w:r w:rsidR="001161FB">
        <w:rPr>
          <w:rFonts w:eastAsia="Times New Roman" w:cs="Times New Roman"/>
          <w:color w:val="222222"/>
          <w:szCs w:val="24"/>
        </w:rPr>
        <w:t xml:space="preserve"> by </w:t>
      </w:r>
      <w:r w:rsidR="007500C0">
        <w:rPr>
          <w:rFonts w:eastAsia="Times New Roman" w:cs="Times New Roman"/>
          <w:color w:val="222222"/>
          <w:szCs w:val="24"/>
        </w:rPr>
        <w:t>generating</w:t>
      </w:r>
      <w:r w:rsidR="001161FB">
        <w:rPr>
          <w:rFonts w:eastAsia="Times New Roman" w:cs="Times New Roman"/>
          <w:color w:val="222222"/>
          <w:szCs w:val="24"/>
        </w:rPr>
        <w:t xml:space="preserve"> </w:t>
      </w:r>
      <w:r>
        <w:rPr>
          <w:rFonts w:eastAsia="Times New Roman" w:cs="Times New Roman"/>
          <w:color w:val="222222"/>
          <w:szCs w:val="24"/>
        </w:rPr>
        <w:t>major beneficial spillovers in civilian production after the war</w:t>
      </w:r>
      <w:r w:rsidR="00696EF5">
        <w:rPr>
          <w:rFonts w:eastAsia="Times New Roman" w:cs="Times New Roman"/>
          <w:color w:val="222222"/>
          <w:szCs w:val="24"/>
        </w:rPr>
        <w:t>.  T</w:t>
      </w:r>
      <w:r w:rsidR="00F7082D">
        <w:rPr>
          <w:rFonts w:eastAsia="Times New Roman" w:cs="Times New Roman"/>
          <w:color w:val="222222"/>
          <w:szCs w:val="24"/>
        </w:rPr>
        <w:t>he sectoral</w:t>
      </w:r>
      <w:r w:rsidR="00B16F78">
        <w:rPr>
          <w:rFonts w:eastAsia="Times New Roman" w:cs="Times New Roman"/>
          <w:color w:val="222222"/>
          <w:szCs w:val="24"/>
        </w:rPr>
        <w:t xml:space="preserve"> productivity data </w:t>
      </w:r>
      <w:r w:rsidR="00696EF5">
        <w:rPr>
          <w:rFonts w:eastAsia="Times New Roman" w:cs="Times New Roman"/>
          <w:color w:val="222222"/>
          <w:szCs w:val="24"/>
        </w:rPr>
        <w:t>do</w:t>
      </w:r>
      <w:r w:rsidR="00F7082D">
        <w:rPr>
          <w:rFonts w:eastAsia="Times New Roman" w:cs="Times New Roman"/>
          <w:color w:val="222222"/>
          <w:szCs w:val="24"/>
        </w:rPr>
        <w:t xml:space="preserve"> not support this conclusion</w:t>
      </w:r>
      <w:r w:rsidR="00B16F78">
        <w:rPr>
          <w:rFonts w:eastAsia="Times New Roman" w:cs="Times New Roman"/>
          <w:color w:val="222222"/>
          <w:szCs w:val="24"/>
        </w:rPr>
        <w:t>.</w:t>
      </w:r>
    </w:p>
    <w:p w14:paraId="169E8BE6" w14:textId="0CC7BB74" w:rsidR="00502138" w:rsidRDefault="00071D03" w:rsidP="002F5B00">
      <w:pPr>
        <w:shd w:val="clear" w:color="auto" w:fill="FFFFFF"/>
        <w:spacing w:line="480" w:lineRule="auto"/>
        <w:rPr>
          <w:rFonts w:eastAsia="Times New Roman" w:cs="Times New Roman"/>
          <w:color w:val="222222"/>
          <w:szCs w:val="24"/>
        </w:rPr>
      </w:pPr>
      <w:r>
        <w:rPr>
          <w:rFonts w:eastAsia="Times New Roman" w:cs="Times New Roman"/>
          <w:color w:val="222222"/>
          <w:szCs w:val="24"/>
        </w:rPr>
        <w:t xml:space="preserve">        </w:t>
      </w:r>
      <w:r w:rsidR="003966C1">
        <w:rPr>
          <w:rFonts w:eastAsia="Times New Roman" w:cs="Times New Roman"/>
          <w:color w:val="222222"/>
          <w:szCs w:val="24"/>
        </w:rPr>
        <w:t>Undoubtedly the war propelled forward many military technologies, including the beginnings of the move from piston driven to jet aircraft, the supplanting of the battleship by the aircraft carrier, the development of rocketry, and of course the atomic bomb</w:t>
      </w:r>
      <w:r w:rsidR="005F03C6">
        <w:rPr>
          <w:rFonts w:eastAsia="Times New Roman" w:cs="Times New Roman"/>
          <w:color w:val="222222"/>
          <w:szCs w:val="24"/>
        </w:rPr>
        <w:t xml:space="preserve">. </w:t>
      </w:r>
      <w:r w:rsidR="003966C1">
        <w:rPr>
          <w:rFonts w:eastAsia="Times New Roman" w:cs="Times New Roman"/>
          <w:color w:val="222222"/>
          <w:szCs w:val="24"/>
        </w:rPr>
        <w:t>Nuclear power</w:t>
      </w:r>
      <w:r w:rsidR="005F03C6">
        <w:rPr>
          <w:rFonts w:eastAsia="Times New Roman" w:cs="Times New Roman"/>
          <w:color w:val="222222"/>
          <w:szCs w:val="24"/>
        </w:rPr>
        <w:t xml:space="preserve">, of course, did have civilian applications, </w:t>
      </w:r>
      <w:r w:rsidR="003966C1">
        <w:rPr>
          <w:rFonts w:eastAsia="Times New Roman" w:cs="Times New Roman"/>
          <w:color w:val="222222"/>
          <w:szCs w:val="24"/>
        </w:rPr>
        <w:t>but its benefits in the postwar economy were mixed</w:t>
      </w:r>
      <w:r w:rsidR="00F77886">
        <w:rPr>
          <w:rFonts w:eastAsia="Times New Roman" w:cs="Times New Roman"/>
          <w:color w:val="222222"/>
          <w:szCs w:val="24"/>
        </w:rPr>
        <w:t>.</w:t>
      </w:r>
      <w:r w:rsidR="003966C1">
        <w:rPr>
          <w:rFonts w:eastAsia="Times New Roman" w:cs="Times New Roman"/>
          <w:color w:val="222222"/>
          <w:szCs w:val="24"/>
        </w:rPr>
        <w:t xml:space="preserve"> </w:t>
      </w:r>
      <w:r w:rsidR="00462C64">
        <w:rPr>
          <w:rFonts w:eastAsia="Times New Roman" w:cs="Times New Roman"/>
          <w:color w:val="222222"/>
          <w:szCs w:val="24"/>
        </w:rPr>
        <w:t xml:space="preserve">Davis and Stammers, based </w:t>
      </w:r>
      <w:r w:rsidR="00373467">
        <w:rPr>
          <w:rFonts w:eastAsia="Times New Roman" w:cs="Times New Roman"/>
          <w:color w:val="222222"/>
          <w:szCs w:val="24"/>
        </w:rPr>
        <w:t>on the English experience, suggest</w:t>
      </w:r>
      <w:r w:rsidR="00462C64">
        <w:rPr>
          <w:rFonts w:eastAsia="Times New Roman" w:cs="Times New Roman"/>
          <w:color w:val="222222"/>
          <w:szCs w:val="24"/>
        </w:rPr>
        <w:t xml:space="preserve"> that advances in gas turbine technology may have been one of the few areas where </w:t>
      </w:r>
      <w:r w:rsidR="00521645">
        <w:t xml:space="preserve">the war </w:t>
      </w:r>
      <w:r w:rsidR="00056FE2">
        <w:t xml:space="preserve">genuinely </w:t>
      </w:r>
      <w:r w:rsidR="00521645">
        <w:t>advanced</w:t>
      </w:r>
      <w:r w:rsidR="00462C64">
        <w:t xml:space="preserve"> a useful postwar technology (1975, p. 515).</w:t>
      </w:r>
      <w:r w:rsidR="00462C64">
        <w:rPr>
          <w:rFonts w:eastAsia="Times New Roman" w:cs="Times New Roman"/>
          <w:color w:val="222222"/>
          <w:szCs w:val="24"/>
        </w:rPr>
        <w:t xml:space="preserve">  </w:t>
      </w:r>
    </w:p>
    <w:p w14:paraId="57EDF005" w14:textId="22CB77DF" w:rsidR="00F01569" w:rsidRDefault="00502138" w:rsidP="002F5B00">
      <w:pPr>
        <w:shd w:val="clear" w:color="auto" w:fill="FFFFFF"/>
        <w:spacing w:line="480" w:lineRule="auto"/>
        <w:rPr>
          <w:rFonts w:eastAsia="Times New Roman" w:cs="Times New Roman"/>
          <w:color w:val="222222"/>
          <w:szCs w:val="24"/>
        </w:rPr>
      </w:pPr>
      <w:r>
        <w:rPr>
          <w:rFonts w:eastAsia="Times New Roman" w:cs="Times New Roman"/>
          <w:color w:val="222222"/>
          <w:szCs w:val="24"/>
        </w:rPr>
        <w:t xml:space="preserve">         </w:t>
      </w:r>
      <w:r w:rsidR="00373467">
        <w:rPr>
          <w:rFonts w:eastAsia="Times New Roman" w:cs="Times New Roman"/>
          <w:color w:val="222222"/>
          <w:szCs w:val="24"/>
        </w:rPr>
        <w:t>Even in this instance,</w:t>
      </w:r>
      <w:r>
        <w:rPr>
          <w:rFonts w:eastAsia="Times New Roman" w:cs="Times New Roman"/>
          <w:color w:val="222222"/>
          <w:szCs w:val="24"/>
        </w:rPr>
        <w:t xml:space="preserve"> the co</w:t>
      </w:r>
      <w:r w:rsidR="00F77886">
        <w:rPr>
          <w:rFonts w:eastAsia="Times New Roman" w:cs="Times New Roman"/>
          <w:color w:val="222222"/>
          <w:szCs w:val="24"/>
        </w:rPr>
        <w:t xml:space="preserve">nclusion is not </w:t>
      </w:r>
      <w:r w:rsidR="00056FE2">
        <w:rPr>
          <w:rFonts w:eastAsia="Times New Roman" w:cs="Times New Roman"/>
          <w:color w:val="222222"/>
          <w:szCs w:val="24"/>
        </w:rPr>
        <w:t>certain</w:t>
      </w:r>
      <w:r>
        <w:rPr>
          <w:rFonts w:eastAsia="Times New Roman" w:cs="Times New Roman"/>
          <w:color w:val="222222"/>
          <w:szCs w:val="24"/>
        </w:rPr>
        <w:t>. A</w:t>
      </w:r>
      <w:r w:rsidR="00ED548D">
        <w:rPr>
          <w:rFonts w:eastAsia="Times New Roman" w:cs="Times New Roman"/>
          <w:color w:val="222222"/>
          <w:szCs w:val="24"/>
        </w:rPr>
        <w:t xml:space="preserve">ircraft design was advancing rapidly during the 1930s, and jet aircraft might well have arrived as quickly in the absence of the conflict.  </w:t>
      </w:r>
      <w:r w:rsidR="00462C64">
        <w:rPr>
          <w:rFonts w:eastAsia="Times New Roman" w:cs="Times New Roman"/>
          <w:color w:val="222222"/>
          <w:szCs w:val="24"/>
        </w:rPr>
        <w:t xml:space="preserve">The B-29, one </w:t>
      </w:r>
      <w:r w:rsidR="00F7082D">
        <w:rPr>
          <w:rFonts w:eastAsia="Times New Roman" w:cs="Times New Roman"/>
          <w:color w:val="222222"/>
          <w:szCs w:val="24"/>
        </w:rPr>
        <w:t xml:space="preserve">of the few </w:t>
      </w:r>
      <w:r w:rsidR="00462C64">
        <w:rPr>
          <w:rFonts w:eastAsia="Times New Roman" w:cs="Times New Roman"/>
          <w:color w:val="222222"/>
          <w:szCs w:val="24"/>
        </w:rPr>
        <w:t xml:space="preserve">combat aircraft that had not yet </w:t>
      </w:r>
      <w:r w:rsidR="00373467">
        <w:rPr>
          <w:rFonts w:eastAsia="Times New Roman" w:cs="Times New Roman"/>
          <w:color w:val="222222"/>
          <w:szCs w:val="24"/>
        </w:rPr>
        <w:t xml:space="preserve">been </w:t>
      </w:r>
      <w:r w:rsidR="00462C64">
        <w:rPr>
          <w:rFonts w:eastAsia="Times New Roman" w:cs="Times New Roman"/>
          <w:color w:val="222222"/>
          <w:szCs w:val="24"/>
        </w:rPr>
        <w:t xml:space="preserve">flown at the time the US entered the war, </w:t>
      </w:r>
      <w:r w:rsidR="00696EF5">
        <w:rPr>
          <w:rFonts w:eastAsia="Times New Roman" w:cs="Times New Roman"/>
          <w:color w:val="222222"/>
          <w:szCs w:val="24"/>
        </w:rPr>
        <w:t xml:space="preserve">and </w:t>
      </w:r>
      <w:r w:rsidR="00462C64">
        <w:rPr>
          <w:rFonts w:eastAsia="Times New Roman" w:cs="Times New Roman"/>
          <w:color w:val="222222"/>
          <w:szCs w:val="24"/>
        </w:rPr>
        <w:t xml:space="preserve">the single most expensive weapons </w:t>
      </w:r>
      <w:r w:rsidR="00F7082D">
        <w:rPr>
          <w:rFonts w:eastAsia="Times New Roman" w:cs="Times New Roman"/>
          <w:color w:val="222222"/>
          <w:szCs w:val="24"/>
        </w:rPr>
        <w:t>system</w:t>
      </w:r>
      <w:r w:rsidR="00462C64">
        <w:rPr>
          <w:rFonts w:eastAsia="Times New Roman" w:cs="Times New Roman"/>
          <w:color w:val="222222"/>
          <w:szCs w:val="24"/>
        </w:rPr>
        <w:t xml:space="preserve"> in the Second World War (more than $3 billion as compared with $2 billion for the Manhattan project)</w:t>
      </w:r>
      <w:r w:rsidR="00696EF5">
        <w:rPr>
          <w:rFonts w:eastAsia="Times New Roman" w:cs="Times New Roman"/>
          <w:color w:val="222222"/>
          <w:szCs w:val="24"/>
        </w:rPr>
        <w:t xml:space="preserve">, </w:t>
      </w:r>
      <w:r w:rsidR="00462C64">
        <w:rPr>
          <w:rFonts w:eastAsia="Times New Roman" w:cs="Times New Roman"/>
          <w:color w:val="222222"/>
          <w:szCs w:val="24"/>
        </w:rPr>
        <w:t>was entirely pressurized</w:t>
      </w:r>
      <w:r w:rsidR="00F7082D">
        <w:rPr>
          <w:rFonts w:eastAsia="Times New Roman" w:cs="Times New Roman"/>
          <w:color w:val="222222"/>
          <w:szCs w:val="24"/>
        </w:rPr>
        <w:t>,</w:t>
      </w:r>
      <w:r w:rsidR="00462C64">
        <w:rPr>
          <w:rFonts w:eastAsia="Times New Roman" w:cs="Times New Roman"/>
          <w:color w:val="222222"/>
          <w:szCs w:val="24"/>
        </w:rPr>
        <w:t xml:space="preserve"> boasted a state of the art fire control system</w:t>
      </w:r>
      <w:r w:rsidR="00F7082D">
        <w:rPr>
          <w:rFonts w:eastAsia="Times New Roman" w:cs="Times New Roman"/>
          <w:color w:val="222222"/>
          <w:szCs w:val="24"/>
        </w:rPr>
        <w:t>, and</w:t>
      </w:r>
      <w:r w:rsidR="00462C64">
        <w:rPr>
          <w:rFonts w:eastAsia="Times New Roman" w:cs="Times New Roman"/>
          <w:color w:val="222222"/>
          <w:szCs w:val="24"/>
        </w:rPr>
        <w:t xml:space="preserve"> advanced monocoque technique – the external skin of the plane contributed to its</w:t>
      </w:r>
      <w:r w:rsidR="00ED548D">
        <w:rPr>
          <w:rFonts w:eastAsia="Times New Roman" w:cs="Times New Roman"/>
          <w:color w:val="222222"/>
          <w:szCs w:val="24"/>
        </w:rPr>
        <w:t xml:space="preserve"> structural integrity.  But th</w:t>
      </w:r>
      <w:r w:rsidR="00F7082D">
        <w:rPr>
          <w:rFonts w:eastAsia="Times New Roman" w:cs="Times New Roman"/>
          <w:color w:val="222222"/>
          <w:szCs w:val="24"/>
        </w:rPr>
        <w:t>at</w:t>
      </w:r>
      <w:r w:rsidR="00462C64">
        <w:rPr>
          <w:rFonts w:eastAsia="Times New Roman" w:cs="Times New Roman"/>
          <w:color w:val="222222"/>
          <w:szCs w:val="24"/>
        </w:rPr>
        <w:t xml:space="preserve"> design concept went back decades—and the last generation of bombers with propellers likely would have had it with or </w:t>
      </w:r>
      <w:r w:rsidR="00462C64">
        <w:rPr>
          <w:rFonts w:eastAsia="Times New Roman" w:cs="Times New Roman"/>
          <w:color w:val="222222"/>
          <w:szCs w:val="24"/>
        </w:rPr>
        <w:lastRenderedPageBreak/>
        <w:t xml:space="preserve">without the war.  </w:t>
      </w:r>
      <w:r w:rsidR="00F7082D">
        <w:rPr>
          <w:rFonts w:eastAsia="Times New Roman" w:cs="Times New Roman"/>
          <w:color w:val="222222"/>
          <w:szCs w:val="24"/>
        </w:rPr>
        <w:t>As</w:t>
      </w:r>
      <w:r w:rsidR="00462C64">
        <w:rPr>
          <w:rFonts w:eastAsia="Times New Roman" w:cs="Times New Roman"/>
          <w:color w:val="222222"/>
          <w:szCs w:val="24"/>
        </w:rPr>
        <w:t xml:space="preserve"> was the case for every other aircraft </w:t>
      </w:r>
      <w:r>
        <w:rPr>
          <w:rFonts w:eastAsia="Times New Roman" w:cs="Times New Roman"/>
          <w:color w:val="222222"/>
          <w:szCs w:val="24"/>
        </w:rPr>
        <w:t>discussed below</w:t>
      </w:r>
      <w:r w:rsidR="00462C64">
        <w:rPr>
          <w:rFonts w:eastAsia="Times New Roman" w:cs="Times New Roman"/>
          <w:color w:val="222222"/>
          <w:szCs w:val="24"/>
        </w:rPr>
        <w:t xml:space="preserve">, the </w:t>
      </w:r>
      <w:r w:rsidR="00521645">
        <w:rPr>
          <w:rFonts w:eastAsia="Times New Roman" w:cs="Times New Roman"/>
          <w:color w:val="222222"/>
          <w:szCs w:val="24"/>
        </w:rPr>
        <w:t>design work on the B-29 was</w:t>
      </w:r>
      <w:r w:rsidR="00ED548D">
        <w:rPr>
          <w:rFonts w:eastAsia="Times New Roman" w:cs="Times New Roman"/>
          <w:color w:val="222222"/>
          <w:szCs w:val="24"/>
        </w:rPr>
        <w:t xml:space="preserve"> </w:t>
      </w:r>
      <w:r>
        <w:rPr>
          <w:rFonts w:eastAsia="Times New Roman" w:cs="Times New Roman"/>
          <w:color w:val="222222"/>
          <w:szCs w:val="24"/>
        </w:rPr>
        <w:t>completed</w:t>
      </w:r>
      <w:r w:rsidR="00462C64">
        <w:rPr>
          <w:rFonts w:eastAsia="Times New Roman" w:cs="Times New Roman"/>
          <w:color w:val="222222"/>
          <w:szCs w:val="24"/>
        </w:rPr>
        <w:t xml:space="preserve"> prior to Pearl Harbor, with the first orders placed in May of 1941.</w:t>
      </w:r>
      <w:r w:rsidR="00D41AA2">
        <w:rPr>
          <w:rFonts w:eastAsia="Times New Roman" w:cs="Times New Roman"/>
          <w:color w:val="222222"/>
          <w:szCs w:val="24"/>
        </w:rPr>
        <w:br/>
      </w:r>
      <w:r w:rsidR="00ED548D">
        <w:rPr>
          <w:rFonts w:eastAsia="Times New Roman" w:cs="Times New Roman"/>
          <w:color w:val="222222"/>
          <w:szCs w:val="24"/>
        </w:rPr>
        <w:t xml:space="preserve">       </w:t>
      </w:r>
      <w:r w:rsidR="004138D6">
        <w:rPr>
          <w:rFonts w:eastAsia="Times New Roman" w:cs="Times New Roman"/>
          <w:color w:val="222222"/>
          <w:szCs w:val="24"/>
        </w:rPr>
        <w:t xml:space="preserve">The war did not establish the </w:t>
      </w:r>
      <w:r w:rsidR="00F7082D">
        <w:rPr>
          <w:rFonts w:eastAsia="Times New Roman" w:cs="Times New Roman"/>
          <w:color w:val="222222"/>
          <w:szCs w:val="24"/>
        </w:rPr>
        <w:t>supply side foundations for the postwar period,</w:t>
      </w:r>
      <w:r w:rsidR="004138D6">
        <w:rPr>
          <w:rFonts w:eastAsia="Times New Roman" w:cs="Times New Roman"/>
          <w:color w:val="222222"/>
          <w:szCs w:val="24"/>
        </w:rPr>
        <w:t xml:space="preserve"> which were in place by 1941. A</w:t>
      </w:r>
      <w:r w:rsidR="00D41AA2">
        <w:rPr>
          <w:rFonts w:eastAsia="Times New Roman" w:cs="Times New Roman"/>
          <w:color w:val="222222"/>
          <w:szCs w:val="24"/>
        </w:rPr>
        <w:t xml:space="preserve"> stronger case </w:t>
      </w:r>
      <w:r w:rsidR="00696EF5">
        <w:rPr>
          <w:rFonts w:eastAsia="Times New Roman" w:cs="Times New Roman"/>
          <w:color w:val="222222"/>
          <w:szCs w:val="24"/>
        </w:rPr>
        <w:t>can</w:t>
      </w:r>
      <w:r w:rsidR="00D41AA2">
        <w:rPr>
          <w:rFonts w:eastAsia="Times New Roman" w:cs="Times New Roman"/>
          <w:color w:val="222222"/>
          <w:szCs w:val="24"/>
        </w:rPr>
        <w:t xml:space="preserve"> be made that the </w:t>
      </w:r>
      <w:r w:rsidR="00696EF5">
        <w:rPr>
          <w:rFonts w:eastAsia="Times New Roman" w:cs="Times New Roman"/>
          <w:color w:val="222222"/>
          <w:szCs w:val="24"/>
        </w:rPr>
        <w:t>economic</w:t>
      </w:r>
      <w:r w:rsidR="00462C64">
        <w:rPr>
          <w:rFonts w:eastAsia="Times New Roman" w:cs="Times New Roman"/>
          <w:color w:val="222222"/>
          <w:szCs w:val="24"/>
        </w:rPr>
        <w:t xml:space="preserve"> achievement</w:t>
      </w:r>
      <w:r w:rsidR="00696EF5">
        <w:rPr>
          <w:rFonts w:eastAsia="Times New Roman" w:cs="Times New Roman"/>
          <w:color w:val="222222"/>
          <w:szCs w:val="24"/>
        </w:rPr>
        <w:t>s</w:t>
      </w:r>
      <w:r w:rsidR="00462C64">
        <w:rPr>
          <w:rFonts w:eastAsia="Times New Roman" w:cs="Times New Roman"/>
          <w:color w:val="222222"/>
          <w:szCs w:val="24"/>
        </w:rPr>
        <w:t xml:space="preserve"> of the Second World War reflected the application of mass production techniques learned </w:t>
      </w:r>
      <w:r w:rsidR="00D41AA2">
        <w:rPr>
          <w:rFonts w:eastAsia="Times New Roman" w:cs="Times New Roman"/>
          <w:color w:val="222222"/>
          <w:szCs w:val="24"/>
        </w:rPr>
        <w:t xml:space="preserve">building automobiles and refrigerators </w:t>
      </w:r>
      <w:r w:rsidR="00462C64">
        <w:rPr>
          <w:rFonts w:eastAsia="Times New Roman" w:cs="Times New Roman"/>
          <w:color w:val="222222"/>
          <w:szCs w:val="24"/>
        </w:rPr>
        <w:t>in the 1930s</w:t>
      </w:r>
      <w:r w:rsidR="00847E5C">
        <w:rPr>
          <w:rFonts w:eastAsia="Times New Roman" w:cs="Times New Roman"/>
          <w:color w:val="222222"/>
          <w:szCs w:val="24"/>
        </w:rPr>
        <w:t xml:space="preserve"> (and 1920s)</w:t>
      </w:r>
      <w:r w:rsidR="00462C64">
        <w:rPr>
          <w:rFonts w:eastAsia="Times New Roman" w:cs="Times New Roman"/>
          <w:color w:val="222222"/>
          <w:szCs w:val="24"/>
        </w:rPr>
        <w:t xml:space="preserve"> to the production </w:t>
      </w:r>
      <w:r w:rsidR="00F7082D">
        <w:rPr>
          <w:rFonts w:eastAsia="Times New Roman" w:cs="Times New Roman"/>
          <w:color w:val="222222"/>
          <w:szCs w:val="24"/>
        </w:rPr>
        <w:t xml:space="preserve">within </w:t>
      </w:r>
      <w:r w:rsidR="00056FE2">
        <w:rPr>
          <w:rFonts w:eastAsia="Times New Roman" w:cs="Times New Roman"/>
          <w:color w:val="222222"/>
          <w:szCs w:val="24"/>
        </w:rPr>
        <w:t xml:space="preserve">a </w:t>
      </w:r>
      <w:r w:rsidR="00696EF5">
        <w:rPr>
          <w:rFonts w:eastAsia="Times New Roman" w:cs="Times New Roman"/>
          <w:color w:val="222222"/>
          <w:szCs w:val="24"/>
        </w:rPr>
        <w:t xml:space="preserve">very </w:t>
      </w:r>
      <w:r w:rsidR="000F7CFA">
        <w:rPr>
          <w:rFonts w:eastAsia="Times New Roman" w:cs="Times New Roman"/>
          <w:color w:val="222222"/>
          <w:szCs w:val="24"/>
        </w:rPr>
        <w:t>compressed</w:t>
      </w:r>
      <w:r w:rsidR="00056FE2">
        <w:rPr>
          <w:rFonts w:eastAsia="Times New Roman" w:cs="Times New Roman"/>
          <w:color w:val="222222"/>
          <w:szCs w:val="24"/>
        </w:rPr>
        <w:t xml:space="preserve"> time period </w:t>
      </w:r>
      <w:r w:rsidR="00462C64">
        <w:rPr>
          <w:rFonts w:eastAsia="Times New Roman" w:cs="Times New Roman"/>
          <w:color w:val="222222"/>
          <w:szCs w:val="24"/>
        </w:rPr>
        <w:t>of</w:t>
      </w:r>
      <w:r w:rsidR="00056FE2">
        <w:rPr>
          <w:rFonts w:eastAsia="Times New Roman" w:cs="Times New Roman"/>
          <w:color w:val="222222"/>
          <w:szCs w:val="24"/>
        </w:rPr>
        <w:t xml:space="preserve"> huge volumes of</w:t>
      </w:r>
      <w:r w:rsidR="00462C64">
        <w:rPr>
          <w:rFonts w:eastAsia="Times New Roman" w:cs="Times New Roman"/>
          <w:color w:val="222222"/>
          <w:szCs w:val="24"/>
        </w:rPr>
        <w:t xml:space="preserve"> aircraft </w:t>
      </w:r>
      <w:r w:rsidR="00D41AA2">
        <w:rPr>
          <w:rFonts w:eastAsia="Times New Roman" w:cs="Times New Roman"/>
          <w:color w:val="222222"/>
          <w:szCs w:val="24"/>
        </w:rPr>
        <w:t xml:space="preserve">and other military goods designed, in most cases, </w:t>
      </w:r>
      <w:r w:rsidR="00696EF5">
        <w:rPr>
          <w:rFonts w:eastAsia="Times New Roman" w:cs="Times New Roman"/>
          <w:color w:val="222222"/>
          <w:szCs w:val="24"/>
        </w:rPr>
        <w:t>before</w:t>
      </w:r>
      <w:r w:rsidR="00462C64">
        <w:rPr>
          <w:rFonts w:eastAsia="Times New Roman" w:cs="Times New Roman"/>
          <w:color w:val="222222"/>
          <w:szCs w:val="24"/>
        </w:rPr>
        <w:t xml:space="preserve"> </w:t>
      </w:r>
      <w:r w:rsidR="00F7082D">
        <w:rPr>
          <w:rFonts w:eastAsia="Times New Roman" w:cs="Times New Roman"/>
          <w:color w:val="222222"/>
          <w:szCs w:val="24"/>
        </w:rPr>
        <w:t>the war</w:t>
      </w:r>
      <w:r w:rsidR="00462C64">
        <w:rPr>
          <w:rFonts w:eastAsia="Times New Roman" w:cs="Times New Roman"/>
          <w:color w:val="222222"/>
          <w:szCs w:val="24"/>
        </w:rPr>
        <w:t>.</w:t>
      </w:r>
    </w:p>
    <w:p w14:paraId="4EBC44AD" w14:textId="1AB27160" w:rsidR="00056FE2" w:rsidRPr="001161FB" w:rsidRDefault="00071D03" w:rsidP="00056FE2">
      <w:pPr>
        <w:shd w:val="clear" w:color="auto" w:fill="FFFFFF"/>
        <w:spacing w:line="480" w:lineRule="auto"/>
        <w:rPr>
          <w:rFonts w:eastAsia="Times New Roman" w:cs="Times New Roman"/>
          <w:color w:val="222222"/>
          <w:szCs w:val="24"/>
        </w:rPr>
      </w:pPr>
      <w:r>
        <w:rPr>
          <w:rFonts w:eastAsia="Times New Roman" w:cs="Times New Roman"/>
          <w:b/>
          <w:color w:val="222222"/>
          <w:szCs w:val="24"/>
        </w:rPr>
        <w:t>Influences on Potential Output</w:t>
      </w:r>
      <w:r w:rsidR="00D41AA2">
        <w:rPr>
          <w:rFonts w:eastAsia="Times New Roman" w:cs="Times New Roman"/>
          <w:b/>
          <w:color w:val="222222"/>
          <w:szCs w:val="24"/>
        </w:rPr>
        <w:br/>
      </w:r>
      <w:r>
        <w:rPr>
          <w:rFonts w:eastAsia="Times New Roman" w:cs="Times New Roman"/>
          <w:b/>
          <w:color w:val="222222"/>
          <w:szCs w:val="24"/>
        </w:rPr>
        <w:t xml:space="preserve">    </w:t>
      </w:r>
      <w:r w:rsidR="00056FE2">
        <w:rPr>
          <w:rFonts w:eastAsia="Times New Roman" w:cs="Times New Roman"/>
          <w:b/>
          <w:color w:val="222222"/>
          <w:szCs w:val="24"/>
        </w:rPr>
        <w:t xml:space="preserve">     </w:t>
      </w:r>
      <w:r>
        <w:rPr>
          <w:rFonts w:eastAsia="Times New Roman" w:cs="Times New Roman"/>
          <w:b/>
          <w:color w:val="222222"/>
          <w:szCs w:val="24"/>
        </w:rPr>
        <w:t xml:space="preserve"> </w:t>
      </w:r>
      <w:r w:rsidR="000F7CFA">
        <w:rPr>
          <w:rFonts w:eastAsia="Times New Roman" w:cs="Times New Roman"/>
          <w:color w:val="222222"/>
          <w:szCs w:val="24"/>
        </w:rPr>
        <w:t>Are there</w:t>
      </w:r>
      <w:r w:rsidR="00056FE2">
        <w:rPr>
          <w:rFonts w:eastAsia="Times New Roman" w:cs="Times New Roman"/>
          <w:color w:val="222222"/>
          <w:szCs w:val="24"/>
        </w:rPr>
        <w:t xml:space="preserve"> other ways</w:t>
      </w:r>
      <w:r w:rsidR="000F7CFA">
        <w:rPr>
          <w:rFonts w:eastAsia="Times New Roman" w:cs="Times New Roman"/>
          <w:color w:val="222222"/>
          <w:szCs w:val="24"/>
        </w:rPr>
        <w:t xml:space="preserve"> (aside from a boost to TFP) whereby </w:t>
      </w:r>
      <w:r w:rsidR="00056FE2">
        <w:rPr>
          <w:rFonts w:eastAsia="Times New Roman" w:cs="Times New Roman"/>
          <w:color w:val="222222"/>
          <w:szCs w:val="24"/>
        </w:rPr>
        <w:t>the Second World War might have had a large and persisting positive impact on potential output in the United States</w:t>
      </w:r>
      <w:r w:rsidR="000F7CFA">
        <w:rPr>
          <w:rFonts w:eastAsia="Times New Roman" w:cs="Times New Roman"/>
          <w:color w:val="222222"/>
          <w:szCs w:val="24"/>
        </w:rPr>
        <w:t>?</w:t>
      </w:r>
      <w:r w:rsidR="00056FE2">
        <w:rPr>
          <w:rFonts w:eastAsia="Times New Roman" w:cs="Times New Roman"/>
          <w:color w:val="222222"/>
          <w:szCs w:val="24"/>
        </w:rPr>
        <w:t xml:space="preserve"> </w:t>
      </w:r>
      <w:r w:rsidR="00056FE2" w:rsidRPr="001161FB">
        <w:rPr>
          <w:rFonts w:eastAsia="Times New Roman"/>
          <w:color w:val="222222"/>
        </w:rPr>
        <w:t xml:space="preserve">It might have done so by sweeping away retardative </w:t>
      </w:r>
      <w:r w:rsidR="00056FE2">
        <w:rPr>
          <w:rFonts w:eastAsia="Times New Roman"/>
          <w:color w:val="222222"/>
        </w:rPr>
        <w:t>i</w:t>
      </w:r>
      <w:r w:rsidR="00056FE2" w:rsidRPr="001161FB">
        <w:rPr>
          <w:rFonts w:eastAsia="Times New Roman"/>
          <w:color w:val="222222"/>
        </w:rPr>
        <w:t>nstitutional obstacles through a permanent change in the philosophy or instrumentalities of government</w:t>
      </w:r>
      <w:r w:rsidR="00056FE2">
        <w:rPr>
          <w:rFonts w:eastAsia="Times New Roman"/>
          <w:color w:val="222222"/>
        </w:rPr>
        <w:t xml:space="preserve">.  It </w:t>
      </w:r>
      <w:r w:rsidR="00056FE2" w:rsidRPr="001161FB">
        <w:rPr>
          <w:rFonts w:eastAsia="Times New Roman" w:cs="Times New Roman"/>
          <w:color w:val="222222"/>
          <w:szCs w:val="24"/>
        </w:rPr>
        <w:t>might have done so by destroying infrastructure, plant or equipment, allowing it to be replaced or rebuilt along more efficient lines</w:t>
      </w:r>
      <w:r w:rsidR="00056FE2">
        <w:rPr>
          <w:rFonts w:eastAsia="Times New Roman" w:cs="Times New Roman"/>
          <w:color w:val="222222"/>
          <w:szCs w:val="24"/>
        </w:rPr>
        <w:t xml:space="preserve">. These two varieties of ‘prairie fire’ explanation, common in the literature, suggest that in spite of, </w:t>
      </w:r>
      <w:r w:rsidR="00056FE2" w:rsidRPr="001161FB">
        <w:rPr>
          <w:rFonts w:eastAsia="Times New Roman" w:cs="Times New Roman"/>
          <w:color w:val="222222"/>
          <w:szCs w:val="24"/>
        </w:rPr>
        <w:t xml:space="preserve">indeed, </w:t>
      </w:r>
      <w:r w:rsidR="00056FE2" w:rsidRPr="007500C0">
        <w:rPr>
          <w:rFonts w:eastAsia="Times New Roman" w:cs="Times New Roman"/>
          <w:iCs/>
          <w:color w:val="222222"/>
          <w:szCs w:val="24"/>
        </w:rPr>
        <w:t>because of</w:t>
      </w:r>
      <w:r w:rsidR="00056FE2">
        <w:rPr>
          <w:rFonts w:eastAsia="Times New Roman" w:cs="Times New Roman"/>
          <w:color w:val="222222"/>
          <w:szCs w:val="24"/>
        </w:rPr>
        <w:t xml:space="preserve"> its destructive power, </w:t>
      </w:r>
      <w:r w:rsidR="00056FE2" w:rsidRPr="001161FB">
        <w:rPr>
          <w:rFonts w:eastAsia="Times New Roman" w:cs="Times New Roman"/>
          <w:color w:val="222222"/>
          <w:szCs w:val="24"/>
        </w:rPr>
        <w:t>war burns away hi</w:t>
      </w:r>
      <w:r w:rsidR="00056FE2">
        <w:rPr>
          <w:rFonts w:eastAsia="Times New Roman" w:cs="Times New Roman"/>
          <w:color w:val="222222"/>
          <w:szCs w:val="24"/>
        </w:rPr>
        <w:t xml:space="preserve">storical underbrush, clearing </w:t>
      </w:r>
      <w:r w:rsidR="00056FE2" w:rsidRPr="001161FB">
        <w:rPr>
          <w:rFonts w:eastAsia="Times New Roman" w:cs="Times New Roman"/>
          <w:color w:val="222222"/>
          <w:szCs w:val="24"/>
        </w:rPr>
        <w:t>path</w:t>
      </w:r>
      <w:r w:rsidR="00056FE2">
        <w:rPr>
          <w:rFonts w:eastAsia="Times New Roman" w:cs="Times New Roman"/>
          <w:color w:val="222222"/>
          <w:szCs w:val="24"/>
        </w:rPr>
        <w:t>s</w:t>
      </w:r>
      <w:r w:rsidR="00056FE2" w:rsidRPr="001161FB">
        <w:rPr>
          <w:rFonts w:eastAsia="Times New Roman" w:cs="Times New Roman"/>
          <w:color w:val="222222"/>
          <w:szCs w:val="24"/>
        </w:rPr>
        <w:t xml:space="preserve"> for modern, more dynamic growth</w:t>
      </w:r>
      <w:r w:rsidR="00056FE2">
        <w:rPr>
          <w:rFonts w:eastAsia="Times New Roman" w:cs="Times New Roman"/>
          <w:color w:val="222222"/>
          <w:szCs w:val="24"/>
        </w:rPr>
        <w:t>.</w:t>
      </w:r>
      <w:r w:rsidR="00056FE2">
        <w:rPr>
          <w:rStyle w:val="FootnoteReference"/>
          <w:rFonts w:eastAsia="Times New Roman" w:cs="Times New Roman"/>
          <w:color w:val="222222"/>
          <w:szCs w:val="24"/>
        </w:rPr>
        <w:footnoteReference w:id="6"/>
      </w:r>
    </w:p>
    <w:p w14:paraId="27A371B2" w14:textId="51B0555B" w:rsidR="00056FE2" w:rsidRDefault="00056FE2" w:rsidP="00056FE2">
      <w:pPr>
        <w:shd w:val="clear" w:color="auto" w:fill="FFFFFF"/>
        <w:spacing w:line="480" w:lineRule="auto"/>
        <w:rPr>
          <w:rFonts w:eastAsia="Times New Roman" w:cs="Times New Roman"/>
          <w:color w:val="222222"/>
          <w:szCs w:val="24"/>
        </w:rPr>
      </w:pPr>
      <w:r>
        <w:rPr>
          <w:rFonts w:eastAsia="Times New Roman" w:cs="Times New Roman"/>
          <w:color w:val="222222"/>
          <w:szCs w:val="24"/>
        </w:rPr>
        <w:t xml:space="preserve">           The Second World War did leave significant institutional, normative, and economic legacies for the United States.  It solidified a compression of wages that endured for three decades. Experience with high tax rates and the introduction of withholding gave the federal </w:t>
      </w:r>
      <w:r>
        <w:rPr>
          <w:rFonts w:eastAsia="Times New Roman" w:cs="Times New Roman"/>
          <w:color w:val="222222"/>
          <w:szCs w:val="24"/>
        </w:rPr>
        <w:lastRenderedPageBreak/>
        <w:t>government expanded fiscal capacity.  Controls on wages led inadvertently to the U.S. system of largely employer provided health care insurance.  And the war presaged, after a brief lull, permanently higher levels of military spending, which had persisting regional economic effects (Wright, 2017).  The war was not, however, associated with a political revolution or fundamental changes in the instrumentalities and philosophy of government.  Nor, aside from the destruction on the island of Oahu and possibly the wear and tear on plant and equipment resulting from running double and triple shifts</w:t>
      </w:r>
      <w:r w:rsidR="0099273F">
        <w:rPr>
          <w:rFonts w:eastAsia="Times New Roman" w:cs="Times New Roman"/>
          <w:color w:val="222222"/>
          <w:szCs w:val="24"/>
        </w:rPr>
        <w:t xml:space="preserve"> </w:t>
      </w:r>
      <w:r>
        <w:rPr>
          <w:rFonts w:eastAsia="Times New Roman" w:cs="Times New Roman"/>
          <w:color w:val="222222"/>
          <w:szCs w:val="24"/>
        </w:rPr>
        <w:t xml:space="preserve">did the war destroy infrastructure within the United States and its territories.  </w:t>
      </w:r>
    </w:p>
    <w:p w14:paraId="67EEC513" w14:textId="77777777" w:rsidR="005F1C7F" w:rsidRDefault="00056FE2" w:rsidP="00612EB7">
      <w:pPr>
        <w:shd w:val="clear" w:color="auto" w:fill="FFFFFF"/>
        <w:spacing w:line="480" w:lineRule="auto"/>
        <w:rPr>
          <w:rFonts w:eastAsia="Times New Roman" w:cs="Times New Roman"/>
          <w:color w:val="222222"/>
          <w:szCs w:val="24"/>
        </w:rPr>
      </w:pPr>
      <w:r>
        <w:rPr>
          <w:rFonts w:eastAsia="Times New Roman" w:cs="Times New Roman"/>
          <w:color w:val="222222"/>
          <w:szCs w:val="24"/>
        </w:rPr>
        <w:t xml:space="preserve">          </w:t>
      </w:r>
      <w:r w:rsidRPr="002F5B00">
        <w:rPr>
          <w:rFonts w:eastAsia="Times New Roman" w:cs="Times New Roman"/>
          <w:color w:val="222222"/>
          <w:szCs w:val="24"/>
        </w:rPr>
        <w:t>The argument must</w:t>
      </w:r>
      <w:r>
        <w:rPr>
          <w:rFonts w:eastAsia="Times New Roman" w:cs="Times New Roman"/>
          <w:color w:val="222222"/>
          <w:szCs w:val="24"/>
        </w:rPr>
        <w:t xml:space="preserve"> therefore turn </w:t>
      </w:r>
      <w:r w:rsidRPr="002F5B00">
        <w:rPr>
          <w:rFonts w:eastAsia="Times New Roman" w:cs="Times New Roman"/>
          <w:color w:val="222222"/>
          <w:szCs w:val="24"/>
        </w:rPr>
        <w:t xml:space="preserve">on </w:t>
      </w:r>
      <w:r>
        <w:rPr>
          <w:rFonts w:eastAsia="Times New Roman" w:cs="Times New Roman"/>
          <w:color w:val="222222"/>
          <w:szCs w:val="24"/>
        </w:rPr>
        <w:t xml:space="preserve">something other than “prairie fire” reasoning: the </w:t>
      </w:r>
      <w:r w:rsidRPr="002F5B00">
        <w:rPr>
          <w:rFonts w:eastAsia="Times New Roman" w:cs="Times New Roman"/>
          <w:color w:val="222222"/>
          <w:szCs w:val="24"/>
        </w:rPr>
        <w:t xml:space="preserve">putative longer run effects on total factor productivity growth and/or the growth of hours and physical capital services. In other words, it must turn on </w:t>
      </w:r>
      <w:r>
        <w:rPr>
          <w:rFonts w:eastAsia="Times New Roman" w:cs="Times New Roman"/>
          <w:color w:val="222222"/>
          <w:szCs w:val="24"/>
        </w:rPr>
        <w:t>more straightforward growth accounting explanations.</w:t>
      </w:r>
      <w:r>
        <w:rPr>
          <w:rStyle w:val="FootnoteReference"/>
          <w:rFonts w:eastAsia="Times New Roman" w:cs="Times New Roman"/>
          <w:color w:val="222222"/>
          <w:szCs w:val="24"/>
        </w:rPr>
        <w:footnoteReference w:id="7"/>
      </w:r>
      <w:r>
        <w:rPr>
          <w:rFonts w:eastAsia="Times New Roman" w:cs="Times New Roman"/>
          <w:color w:val="222222"/>
          <w:szCs w:val="24"/>
        </w:rPr>
        <w:t xml:space="preserve">  The prairie fire analogy may </w:t>
      </w:r>
      <w:r w:rsidRPr="002F5B00">
        <w:rPr>
          <w:rFonts w:eastAsia="Times New Roman" w:cs="Times New Roman"/>
          <w:color w:val="222222"/>
          <w:szCs w:val="24"/>
        </w:rPr>
        <w:t>be relevant for other countrie</w:t>
      </w:r>
      <w:r>
        <w:rPr>
          <w:rFonts w:eastAsia="Times New Roman" w:cs="Times New Roman"/>
          <w:color w:val="222222"/>
          <w:szCs w:val="24"/>
        </w:rPr>
        <w:t>s in other historical instances, but</w:t>
      </w:r>
      <w:r w:rsidRPr="002F5B00">
        <w:rPr>
          <w:rFonts w:eastAsia="Times New Roman" w:cs="Times New Roman"/>
          <w:color w:val="222222"/>
          <w:szCs w:val="24"/>
        </w:rPr>
        <w:t xml:space="preserve"> not</w:t>
      </w:r>
      <w:r>
        <w:rPr>
          <w:rFonts w:eastAsia="Times New Roman" w:cs="Times New Roman"/>
          <w:color w:val="222222"/>
          <w:szCs w:val="24"/>
        </w:rPr>
        <w:t>, by and large,</w:t>
      </w:r>
      <w:r w:rsidRPr="002F5B00">
        <w:rPr>
          <w:rFonts w:eastAsia="Times New Roman" w:cs="Times New Roman"/>
          <w:color w:val="222222"/>
          <w:szCs w:val="24"/>
        </w:rPr>
        <w:t xml:space="preserve"> for the U</w:t>
      </w:r>
      <w:r>
        <w:rPr>
          <w:rFonts w:eastAsia="Times New Roman" w:cs="Times New Roman"/>
          <w:color w:val="222222"/>
          <w:szCs w:val="24"/>
        </w:rPr>
        <w:t>nited States</w:t>
      </w:r>
      <w:r w:rsidRPr="002F5B00">
        <w:rPr>
          <w:rFonts w:eastAsia="Times New Roman" w:cs="Times New Roman"/>
          <w:color w:val="222222"/>
          <w:szCs w:val="24"/>
        </w:rPr>
        <w:t xml:space="preserve"> in World War II.</w:t>
      </w:r>
      <w:r>
        <w:rPr>
          <w:rFonts w:eastAsia="Times New Roman" w:cs="Times New Roman"/>
          <w:color w:val="222222"/>
          <w:szCs w:val="24"/>
        </w:rPr>
        <w:t xml:space="preserve">  Because the impact on potential hours is so clearly negative (</w:t>
      </w:r>
      <w:r w:rsidR="000F7CFA">
        <w:rPr>
          <w:rFonts w:eastAsia="Times New Roman" w:cs="Times New Roman"/>
          <w:color w:val="222222"/>
          <w:szCs w:val="24"/>
        </w:rPr>
        <w:t>more on this below</w:t>
      </w:r>
      <w:r w:rsidR="00B76B5F">
        <w:rPr>
          <w:rFonts w:eastAsia="Times New Roman" w:cs="Times New Roman"/>
          <w:color w:val="222222"/>
          <w:szCs w:val="24"/>
        </w:rPr>
        <w:t>), and because the effect on capital services, although more compl</w:t>
      </w:r>
      <w:r w:rsidR="000F7CFA">
        <w:rPr>
          <w:rFonts w:eastAsia="Times New Roman" w:cs="Times New Roman"/>
          <w:color w:val="222222"/>
          <w:szCs w:val="24"/>
        </w:rPr>
        <w:t>ex</w:t>
      </w:r>
      <w:r w:rsidR="00B76B5F">
        <w:rPr>
          <w:rFonts w:eastAsia="Times New Roman" w:cs="Times New Roman"/>
          <w:color w:val="222222"/>
          <w:szCs w:val="24"/>
        </w:rPr>
        <w:t xml:space="preserve">, is likely mildly retardative, any argument </w:t>
      </w:r>
      <w:r w:rsidR="005F1C7F">
        <w:rPr>
          <w:rFonts w:eastAsia="Times New Roman" w:cs="Times New Roman"/>
          <w:color w:val="222222"/>
          <w:szCs w:val="24"/>
        </w:rPr>
        <w:t xml:space="preserve">that the war accelerated </w:t>
      </w:r>
      <w:r w:rsidR="00B76B5F">
        <w:rPr>
          <w:rFonts w:eastAsia="Times New Roman" w:cs="Times New Roman"/>
          <w:color w:val="222222"/>
          <w:szCs w:val="24"/>
        </w:rPr>
        <w:t>the advance of potential output must rely on a strong boost to TFP</w:t>
      </w:r>
      <w:r w:rsidR="005F1C7F">
        <w:rPr>
          <w:rFonts w:eastAsia="Times New Roman" w:cs="Times New Roman"/>
          <w:color w:val="222222"/>
          <w:szCs w:val="24"/>
        </w:rPr>
        <w:t>.</w:t>
      </w:r>
    </w:p>
    <w:p w14:paraId="0B137E44" w14:textId="28CDCEE3" w:rsidR="00F83D80" w:rsidRDefault="00056FE2" w:rsidP="00612EB7">
      <w:pPr>
        <w:shd w:val="clear" w:color="auto" w:fill="FFFFFF"/>
        <w:spacing w:line="480" w:lineRule="auto"/>
        <w:rPr>
          <w:rFonts w:eastAsia="Times New Roman" w:cs="Times New Roman"/>
          <w:color w:val="222222"/>
          <w:szCs w:val="24"/>
        </w:rPr>
      </w:pPr>
      <w:r>
        <w:rPr>
          <w:rFonts w:eastAsia="Times New Roman" w:cs="Times New Roman"/>
          <w:color w:val="222222"/>
          <w:szCs w:val="24"/>
        </w:rPr>
        <w:t xml:space="preserve"> </w:t>
      </w:r>
      <w:r w:rsidRPr="003D1141">
        <w:rPr>
          <w:rFonts w:eastAsia="Times New Roman" w:cs="Times New Roman"/>
          <w:b/>
          <w:color w:val="222222"/>
          <w:szCs w:val="24"/>
        </w:rPr>
        <w:t>T</w:t>
      </w:r>
      <w:r w:rsidRPr="000F79DD">
        <w:rPr>
          <w:rFonts w:eastAsia="Times New Roman" w:cs="Times New Roman"/>
          <w:b/>
          <w:color w:val="222222"/>
          <w:szCs w:val="24"/>
        </w:rPr>
        <w:t>he</w:t>
      </w:r>
      <w:r w:rsidR="00071D03">
        <w:rPr>
          <w:rFonts w:eastAsia="Times New Roman" w:cs="Times New Roman"/>
          <w:b/>
          <w:color w:val="222222"/>
          <w:szCs w:val="24"/>
        </w:rPr>
        <w:t xml:space="preserve"> </w:t>
      </w:r>
      <w:r w:rsidR="003966C1" w:rsidRPr="000F79DD">
        <w:rPr>
          <w:rFonts w:eastAsia="Times New Roman" w:cs="Times New Roman"/>
          <w:b/>
          <w:color w:val="222222"/>
          <w:szCs w:val="24"/>
        </w:rPr>
        <w:t>Macro Evidence</w:t>
      </w:r>
      <w:r w:rsidR="00E67AA7">
        <w:rPr>
          <w:rFonts w:eastAsia="Times New Roman" w:cs="Times New Roman"/>
          <w:b/>
          <w:color w:val="222222"/>
          <w:szCs w:val="24"/>
        </w:rPr>
        <w:t xml:space="preserve"> on Total Factor Productivity </w:t>
      </w:r>
      <w:r w:rsidR="00A9684D">
        <w:rPr>
          <w:rFonts w:eastAsia="Times New Roman" w:cs="Times New Roman"/>
          <w:b/>
          <w:color w:val="222222"/>
          <w:szCs w:val="24"/>
        </w:rPr>
        <w:br/>
        <w:t xml:space="preserve">          </w:t>
      </w:r>
      <w:r w:rsidR="003966C1" w:rsidRPr="000F79DD">
        <w:rPr>
          <w:rFonts w:eastAsia="Times New Roman" w:cs="Times New Roman"/>
          <w:color w:val="222222"/>
          <w:szCs w:val="24"/>
        </w:rPr>
        <w:t>Gordon’s book contain</w:t>
      </w:r>
      <w:r w:rsidR="005F4FC2">
        <w:rPr>
          <w:rFonts w:eastAsia="Times New Roman" w:cs="Times New Roman"/>
          <w:color w:val="222222"/>
          <w:szCs w:val="24"/>
        </w:rPr>
        <w:t>s m</w:t>
      </w:r>
      <w:r w:rsidR="003966C1" w:rsidRPr="000F79DD">
        <w:rPr>
          <w:rFonts w:eastAsia="Times New Roman" w:cs="Times New Roman"/>
          <w:color w:val="222222"/>
          <w:szCs w:val="24"/>
        </w:rPr>
        <w:t xml:space="preserve">any useful and informative charts and figures.  </w:t>
      </w:r>
      <w:r w:rsidR="003966C1">
        <w:rPr>
          <w:rFonts w:eastAsia="Times New Roman" w:cs="Times New Roman"/>
          <w:color w:val="222222"/>
          <w:szCs w:val="24"/>
        </w:rPr>
        <w:t>His f</w:t>
      </w:r>
      <w:r w:rsidR="003966C1" w:rsidRPr="000F79DD">
        <w:rPr>
          <w:rFonts w:eastAsia="Times New Roman" w:cs="Times New Roman"/>
          <w:color w:val="222222"/>
          <w:szCs w:val="24"/>
        </w:rPr>
        <w:t xml:space="preserve">igure 16-5 </w:t>
      </w:r>
      <w:r w:rsidR="005F4FC2">
        <w:rPr>
          <w:rFonts w:eastAsia="Times New Roman" w:cs="Times New Roman"/>
          <w:color w:val="222222"/>
          <w:szCs w:val="24"/>
        </w:rPr>
        <w:t>is</w:t>
      </w:r>
      <w:r w:rsidR="003966C1" w:rsidRPr="000F79DD">
        <w:rPr>
          <w:rFonts w:eastAsia="Times New Roman" w:cs="Times New Roman"/>
          <w:color w:val="222222"/>
          <w:szCs w:val="24"/>
        </w:rPr>
        <w:t xml:space="preserve"> an exception</w:t>
      </w:r>
      <w:r w:rsidR="003966C1">
        <w:rPr>
          <w:rFonts w:eastAsia="Times New Roman" w:cs="Times New Roman"/>
          <w:color w:val="222222"/>
          <w:szCs w:val="24"/>
        </w:rPr>
        <w:t xml:space="preserve"> in this sense</w:t>
      </w:r>
      <w:r w:rsidR="003966C1" w:rsidRPr="000F79DD">
        <w:rPr>
          <w:rFonts w:eastAsia="Times New Roman" w:cs="Times New Roman"/>
          <w:color w:val="222222"/>
          <w:szCs w:val="24"/>
        </w:rPr>
        <w:t xml:space="preserve">.  </w:t>
      </w:r>
      <w:r w:rsidR="003966C1">
        <w:rPr>
          <w:rFonts w:eastAsia="Times New Roman" w:cs="Times New Roman"/>
          <w:color w:val="222222"/>
          <w:szCs w:val="24"/>
        </w:rPr>
        <w:t>Although it appropriately highlight</w:t>
      </w:r>
      <w:r w:rsidR="00D064BD">
        <w:rPr>
          <w:rFonts w:eastAsia="Times New Roman" w:cs="Times New Roman"/>
          <w:color w:val="222222"/>
          <w:szCs w:val="24"/>
        </w:rPr>
        <w:t>ed</w:t>
      </w:r>
      <w:r w:rsidR="003966C1">
        <w:rPr>
          <w:rFonts w:eastAsia="Times New Roman" w:cs="Times New Roman"/>
          <w:color w:val="222222"/>
          <w:szCs w:val="24"/>
        </w:rPr>
        <w:t xml:space="preserve"> the generally strong TFP growth between 1920 and 1970, as compared with the </w:t>
      </w:r>
      <w:r w:rsidR="005E701B">
        <w:rPr>
          <w:rFonts w:eastAsia="Times New Roman" w:cs="Times New Roman"/>
          <w:color w:val="222222"/>
          <w:szCs w:val="24"/>
        </w:rPr>
        <w:t>decades</w:t>
      </w:r>
      <w:r w:rsidR="003966C1">
        <w:rPr>
          <w:rFonts w:eastAsia="Times New Roman" w:cs="Times New Roman"/>
          <w:color w:val="222222"/>
          <w:szCs w:val="24"/>
        </w:rPr>
        <w:t xml:space="preserve"> prior to and following these years, its identification of the 1940s as the locus of peak </w:t>
      </w:r>
      <w:r w:rsidR="0099273F">
        <w:rPr>
          <w:rFonts w:eastAsia="Times New Roman" w:cs="Times New Roman"/>
          <w:color w:val="222222"/>
          <w:szCs w:val="24"/>
        </w:rPr>
        <w:t xml:space="preserve">aggregate </w:t>
      </w:r>
      <w:r w:rsidR="003966C1">
        <w:rPr>
          <w:rFonts w:eastAsia="Times New Roman" w:cs="Times New Roman"/>
          <w:color w:val="222222"/>
          <w:szCs w:val="24"/>
        </w:rPr>
        <w:t xml:space="preserve">TFP growth </w:t>
      </w:r>
      <w:r w:rsidR="005F4FC2">
        <w:rPr>
          <w:rFonts w:eastAsia="Times New Roman" w:cs="Times New Roman"/>
          <w:color w:val="222222"/>
          <w:szCs w:val="24"/>
        </w:rPr>
        <w:t>i</w:t>
      </w:r>
      <w:r w:rsidR="0089275D">
        <w:rPr>
          <w:rFonts w:eastAsia="Times New Roman" w:cs="Times New Roman"/>
          <w:color w:val="222222"/>
          <w:szCs w:val="24"/>
        </w:rPr>
        <w:t>s</w:t>
      </w:r>
      <w:r w:rsidR="004263C8">
        <w:rPr>
          <w:rFonts w:eastAsia="Times New Roman" w:cs="Times New Roman"/>
          <w:color w:val="222222"/>
          <w:szCs w:val="24"/>
        </w:rPr>
        <w:t xml:space="preserve"> problematic</w:t>
      </w:r>
      <w:r w:rsidR="00F900F0">
        <w:rPr>
          <w:rFonts w:eastAsia="Times New Roman" w:cs="Times New Roman"/>
          <w:color w:val="222222"/>
          <w:szCs w:val="24"/>
        </w:rPr>
        <w:t>.</w:t>
      </w:r>
      <w:r w:rsidR="003966C1">
        <w:rPr>
          <w:rFonts w:eastAsia="Times New Roman" w:cs="Times New Roman"/>
          <w:color w:val="222222"/>
          <w:szCs w:val="24"/>
        </w:rPr>
        <w:t xml:space="preserve">  </w:t>
      </w:r>
      <w:r w:rsidR="003966C1" w:rsidRPr="000F79DD">
        <w:rPr>
          <w:rFonts w:eastAsia="Times New Roman" w:cs="Times New Roman"/>
          <w:color w:val="222222"/>
          <w:szCs w:val="24"/>
        </w:rPr>
        <w:lastRenderedPageBreak/>
        <w:t xml:space="preserve">According to </w:t>
      </w:r>
      <w:r w:rsidR="003966C1">
        <w:rPr>
          <w:rFonts w:eastAsia="Times New Roman" w:cs="Times New Roman"/>
          <w:color w:val="222222"/>
          <w:szCs w:val="24"/>
        </w:rPr>
        <w:t>this f</w:t>
      </w:r>
      <w:r w:rsidR="003966C1" w:rsidRPr="000F79DD">
        <w:rPr>
          <w:rFonts w:eastAsia="Times New Roman" w:cs="Times New Roman"/>
          <w:color w:val="222222"/>
          <w:szCs w:val="24"/>
        </w:rPr>
        <w:t>igure, TFP growth in the 1940s was almost twice as high as during the 1930</w:t>
      </w:r>
      <w:r w:rsidR="00B60DC7">
        <w:rPr>
          <w:rFonts w:eastAsia="Times New Roman" w:cs="Times New Roman"/>
          <w:color w:val="222222"/>
          <w:szCs w:val="24"/>
        </w:rPr>
        <w:t xml:space="preserve">s:  3.4 vs 1.8 percent per year, </w:t>
      </w:r>
      <w:r w:rsidR="00933B22">
        <w:rPr>
          <w:rFonts w:eastAsia="Times New Roman" w:cs="Times New Roman"/>
          <w:color w:val="222222"/>
          <w:szCs w:val="24"/>
        </w:rPr>
        <w:t>appear</w:t>
      </w:r>
      <w:r w:rsidR="00F01569">
        <w:rPr>
          <w:rFonts w:eastAsia="Times New Roman" w:cs="Times New Roman"/>
          <w:color w:val="222222"/>
          <w:szCs w:val="24"/>
        </w:rPr>
        <w:t>ing</w:t>
      </w:r>
      <w:r w:rsidR="00B60DC7">
        <w:rPr>
          <w:rFonts w:eastAsia="Times New Roman" w:cs="Times New Roman"/>
          <w:color w:val="222222"/>
          <w:szCs w:val="24"/>
        </w:rPr>
        <w:t xml:space="preserve"> largely to confirm Baumol’s generalization</w:t>
      </w:r>
      <w:r w:rsidR="003547D4">
        <w:rPr>
          <w:rFonts w:eastAsia="Times New Roman" w:cs="Times New Roman"/>
          <w:color w:val="222222"/>
          <w:szCs w:val="24"/>
        </w:rPr>
        <w:t>.</w:t>
      </w:r>
      <w:r w:rsidR="005E63D3">
        <w:rPr>
          <w:rFonts w:eastAsia="Times New Roman" w:cs="Times New Roman"/>
          <w:color w:val="222222"/>
          <w:szCs w:val="24"/>
        </w:rPr>
        <w:t xml:space="preserve">  Figure 16-5 </w:t>
      </w:r>
      <w:r w:rsidR="005F1C7F">
        <w:rPr>
          <w:rFonts w:eastAsia="Times New Roman" w:cs="Times New Roman"/>
          <w:color w:val="222222"/>
          <w:szCs w:val="24"/>
        </w:rPr>
        <w:t xml:space="preserve">complements Gordon’s appeal to the learning by doing narrative and </w:t>
      </w:r>
      <w:r w:rsidR="005E63D3">
        <w:rPr>
          <w:rFonts w:eastAsia="Times New Roman" w:cs="Times New Roman"/>
          <w:color w:val="222222"/>
          <w:szCs w:val="24"/>
        </w:rPr>
        <w:t xml:space="preserve">is the primary statistical underpinning for </w:t>
      </w:r>
      <w:r w:rsidR="005F1C7F">
        <w:rPr>
          <w:rFonts w:eastAsia="Times New Roman" w:cs="Times New Roman"/>
          <w:color w:val="222222"/>
          <w:szCs w:val="24"/>
        </w:rPr>
        <w:t>his</w:t>
      </w:r>
      <w:r w:rsidR="005E63D3">
        <w:rPr>
          <w:rFonts w:eastAsia="Times New Roman" w:cs="Times New Roman"/>
          <w:color w:val="222222"/>
          <w:szCs w:val="24"/>
        </w:rPr>
        <w:t xml:space="preserve"> exuberance about the supply side effects of the war</w:t>
      </w:r>
      <w:r w:rsidR="005F1C7F">
        <w:rPr>
          <w:rFonts w:eastAsia="Times New Roman" w:cs="Times New Roman"/>
          <w:color w:val="222222"/>
          <w:szCs w:val="24"/>
        </w:rPr>
        <w:t>.</w:t>
      </w:r>
    </w:p>
    <w:p w14:paraId="1E9F5652" w14:textId="77777777" w:rsidR="00612EB7" w:rsidRDefault="00612EB7" w:rsidP="00612EB7">
      <w:pPr>
        <w:shd w:val="clear" w:color="auto" w:fill="FFFFFF"/>
        <w:spacing w:line="480" w:lineRule="auto"/>
        <w:rPr>
          <w:rFonts w:eastAsia="Times New Roman" w:cs="Times New Roman"/>
          <w:color w:val="222222"/>
          <w:szCs w:val="24"/>
        </w:rPr>
      </w:pPr>
      <w:r w:rsidRPr="000F79DD">
        <w:rPr>
          <w:rFonts w:eastAsia="Times New Roman" w:cs="Times New Roman"/>
          <w:noProof/>
          <w:color w:val="222222"/>
          <w:szCs w:val="24"/>
        </w:rPr>
        <w:drawing>
          <wp:inline distT="0" distB="0" distL="0" distR="0" wp14:anchorId="040046F6" wp14:editId="19AEF568">
            <wp:extent cx="5943600" cy="381635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5943600" cy="3816350"/>
                    </a:xfrm>
                    <a:prstGeom prst="rect">
                      <a:avLst/>
                    </a:prstGeom>
                  </pic:spPr>
                </pic:pic>
              </a:graphicData>
            </a:graphic>
          </wp:inline>
        </w:drawing>
      </w:r>
      <w:r>
        <w:rPr>
          <w:rFonts w:eastAsia="Times New Roman" w:cs="Times New Roman"/>
          <w:color w:val="222222"/>
          <w:szCs w:val="24"/>
        </w:rPr>
        <w:t xml:space="preserve">              </w:t>
      </w:r>
    </w:p>
    <w:p w14:paraId="61BF53D7" w14:textId="77777777" w:rsidR="00612EB7" w:rsidRPr="00F83D80" w:rsidRDefault="00612EB7" w:rsidP="00612EB7">
      <w:pPr>
        <w:shd w:val="clear" w:color="auto" w:fill="FFFFFF"/>
        <w:spacing w:line="480" w:lineRule="auto"/>
        <w:ind w:firstLine="576"/>
        <w:rPr>
          <w:rFonts w:eastAsia="Times New Roman" w:cs="Times New Roman"/>
          <w:color w:val="222222"/>
          <w:sz w:val="20"/>
          <w:szCs w:val="20"/>
        </w:rPr>
      </w:pPr>
      <w:r w:rsidRPr="00F83D80">
        <w:rPr>
          <w:rFonts w:eastAsia="Times New Roman" w:cs="Times New Roman"/>
          <w:color w:val="222222"/>
          <w:sz w:val="20"/>
          <w:szCs w:val="20"/>
        </w:rPr>
        <w:t>Source:  Gordon (2016, p. 547).</w:t>
      </w:r>
    </w:p>
    <w:p w14:paraId="79F9562A" w14:textId="0B71E0E5" w:rsidR="00B76B5F" w:rsidRDefault="00DE36A8" w:rsidP="00B76B5F">
      <w:pPr>
        <w:shd w:val="clear" w:color="auto" w:fill="FFFFFF"/>
        <w:spacing w:line="480" w:lineRule="auto"/>
        <w:ind w:firstLine="576"/>
        <w:rPr>
          <w:rFonts w:eastAsia="Times New Roman" w:cs="Times New Roman"/>
          <w:color w:val="222222"/>
          <w:szCs w:val="24"/>
        </w:rPr>
      </w:pPr>
      <w:r>
        <w:rPr>
          <w:rFonts w:eastAsia="Times New Roman" w:cs="Times New Roman"/>
          <w:color w:val="222222"/>
          <w:szCs w:val="24"/>
        </w:rPr>
        <w:t>Gordon, as well as Kendrick (1961), Abramovitz and David (2000), and Field (2003, 2011) all operate within an NBER tradition emphasizing the necessity, to the extent possible, of estimating trend in macroeconomic series by measuring between peaks. T</w:t>
      </w:r>
      <w:r w:rsidRPr="000F79DD">
        <w:rPr>
          <w:rFonts w:eastAsia="Times New Roman" w:cs="Times New Roman"/>
          <w:color w:val="222222"/>
          <w:szCs w:val="24"/>
        </w:rPr>
        <w:t>here are strong cyclical effects on productivity,</w:t>
      </w:r>
      <w:r>
        <w:rPr>
          <w:rFonts w:eastAsia="Times New Roman" w:cs="Times New Roman"/>
          <w:color w:val="222222"/>
          <w:szCs w:val="24"/>
        </w:rPr>
        <w:t xml:space="preserve"> particularly TFP,</w:t>
      </w:r>
      <w:r w:rsidRPr="000F79DD">
        <w:rPr>
          <w:rFonts w:eastAsia="Times New Roman" w:cs="Times New Roman"/>
          <w:color w:val="222222"/>
          <w:szCs w:val="24"/>
        </w:rPr>
        <w:t xml:space="preserve"> which is why it is so important to measure growth rates between years whe</w:t>
      </w:r>
      <w:r>
        <w:rPr>
          <w:rFonts w:eastAsia="Times New Roman" w:cs="Times New Roman"/>
          <w:color w:val="222222"/>
          <w:szCs w:val="24"/>
        </w:rPr>
        <w:t>n</w:t>
      </w:r>
      <w:r w:rsidRPr="000F79DD">
        <w:rPr>
          <w:rFonts w:eastAsia="Times New Roman" w:cs="Times New Roman"/>
          <w:color w:val="222222"/>
          <w:szCs w:val="24"/>
        </w:rPr>
        <w:t xml:space="preserve"> the economy is at or close to potential.  Figure 16-5 violate</w:t>
      </w:r>
      <w:r>
        <w:rPr>
          <w:rFonts w:eastAsia="Times New Roman" w:cs="Times New Roman"/>
          <w:color w:val="222222"/>
          <w:szCs w:val="24"/>
        </w:rPr>
        <w:t>d</w:t>
      </w:r>
      <w:r w:rsidRPr="000F79DD">
        <w:rPr>
          <w:rFonts w:eastAsia="Times New Roman" w:cs="Times New Roman"/>
          <w:color w:val="222222"/>
          <w:szCs w:val="24"/>
        </w:rPr>
        <w:t xml:space="preserve"> this </w:t>
      </w:r>
      <w:r>
        <w:rPr>
          <w:rFonts w:eastAsia="Times New Roman" w:cs="Times New Roman"/>
          <w:color w:val="222222"/>
          <w:szCs w:val="24"/>
        </w:rPr>
        <w:t>principle</w:t>
      </w:r>
      <w:r w:rsidRPr="000F79DD">
        <w:rPr>
          <w:rFonts w:eastAsia="Times New Roman" w:cs="Times New Roman"/>
          <w:color w:val="222222"/>
          <w:szCs w:val="24"/>
        </w:rPr>
        <w:t xml:space="preserve"> by simply reporting decadal growth rates of TFP.</w:t>
      </w:r>
      <w:r>
        <w:rPr>
          <w:rFonts w:eastAsia="Times New Roman" w:cs="Times New Roman"/>
          <w:color w:val="222222"/>
          <w:szCs w:val="24"/>
        </w:rPr>
        <w:t xml:space="preserve">  </w:t>
      </w:r>
      <w:r w:rsidRPr="000F79DD">
        <w:rPr>
          <w:rFonts w:eastAsia="Times New Roman" w:cs="Times New Roman"/>
          <w:color w:val="222222"/>
          <w:szCs w:val="24"/>
        </w:rPr>
        <w:t xml:space="preserve">1940 was considerably below potential:  </w:t>
      </w:r>
      <w:r>
        <w:rPr>
          <w:rFonts w:eastAsia="Times New Roman" w:cs="Times New Roman"/>
          <w:color w:val="222222"/>
          <w:szCs w:val="24"/>
        </w:rPr>
        <w:lastRenderedPageBreak/>
        <w:t xml:space="preserve">Lebergott </w:t>
      </w:r>
      <w:r w:rsidRPr="000F79DD">
        <w:rPr>
          <w:rFonts w:eastAsia="Times New Roman" w:cs="Times New Roman"/>
          <w:color w:val="222222"/>
          <w:szCs w:val="24"/>
        </w:rPr>
        <w:t xml:space="preserve">unemployment was close to 15 percent. 1941 is the closest we can get to potential prior to the </w:t>
      </w:r>
      <w:r>
        <w:rPr>
          <w:rFonts w:eastAsia="Times New Roman" w:cs="Times New Roman"/>
          <w:color w:val="222222"/>
          <w:szCs w:val="24"/>
        </w:rPr>
        <w:t xml:space="preserve">increased </w:t>
      </w:r>
      <w:r w:rsidRPr="000F79DD">
        <w:rPr>
          <w:rFonts w:eastAsia="Times New Roman" w:cs="Times New Roman"/>
          <w:color w:val="222222"/>
          <w:szCs w:val="24"/>
        </w:rPr>
        <w:t xml:space="preserve">distortions of the economy associated with full scale war mobilization.  For the postwar peak 1948 is preferable to 1950 – since the unemployment rate was lower in 1948 than in 1950.  </w:t>
      </w:r>
      <w:r>
        <w:rPr>
          <w:rFonts w:eastAsia="Times New Roman" w:cs="Times New Roman"/>
          <w:color w:val="222222"/>
          <w:szCs w:val="24"/>
        </w:rPr>
        <w:t xml:space="preserve">And </w:t>
      </w:r>
      <w:r w:rsidRPr="000F79DD">
        <w:rPr>
          <w:rFonts w:eastAsia="Times New Roman" w:cs="Times New Roman"/>
          <w:color w:val="222222"/>
          <w:szCs w:val="24"/>
        </w:rPr>
        <w:t xml:space="preserve">1929 is preferable to </w:t>
      </w:r>
      <w:r>
        <w:rPr>
          <w:rFonts w:eastAsia="Times New Roman" w:cs="Times New Roman"/>
          <w:color w:val="222222"/>
          <w:szCs w:val="24"/>
        </w:rPr>
        <w:t>Gordon’s</w:t>
      </w:r>
      <w:r w:rsidRPr="000F79DD">
        <w:rPr>
          <w:rFonts w:eastAsia="Times New Roman" w:cs="Times New Roman"/>
          <w:color w:val="222222"/>
          <w:szCs w:val="24"/>
        </w:rPr>
        <w:t xml:space="preserve"> sometime preference for 1928; since unemployment was lower in 1929 in the absence of any evidence of goods and services </w:t>
      </w:r>
      <w:r>
        <w:rPr>
          <w:rFonts w:eastAsia="Times New Roman" w:cs="Times New Roman"/>
          <w:color w:val="222222"/>
          <w:szCs w:val="24"/>
        </w:rPr>
        <w:t xml:space="preserve">price </w:t>
      </w:r>
      <w:r w:rsidRPr="000F79DD">
        <w:rPr>
          <w:rFonts w:eastAsia="Times New Roman" w:cs="Times New Roman"/>
          <w:color w:val="222222"/>
          <w:szCs w:val="24"/>
        </w:rPr>
        <w:t xml:space="preserve">inflation.  </w:t>
      </w:r>
      <w:r>
        <w:rPr>
          <w:rFonts w:eastAsia="Times New Roman" w:cs="Times New Roman"/>
          <w:color w:val="222222"/>
          <w:szCs w:val="24"/>
        </w:rPr>
        <w:t xml:space="preserve">Either should be preferred to </w:t>
      </w:r>
      <w:r w:rsidRPr="000F79DD">
        <w:rPr>
          <w:rFonts w:eastAsia="Times New Roman" w:cs="Times New Roman"/>
          <w:color w:val="222222"/>
          <w:szCs w:val="24"/>
        </w:rPr>
        <w:t>1930</w:t>
      </w:r>
      <w:r>
        <w:rPr>
          <w:rFonts w:eastAsia="Times New Roman" w:cs="Times New Roman"/>
          <w:color w:val="222222"/>
          <w:szCs w:val="24"/>
        </w:rPr>
        <w:t>, which</w:t>
      </w:r>
      <w:r w:rsidRPr="000F79DD">
        <w:rPr>
          <w:rFonts w:eastAsia="Times New Roman" w:cs="Times New Roman"/>
          <w:color w:val="222222"/>
          <w:szCs w:val="24"/>
        </w:rPr>
        <w:t xml:space="preserve"> had an 8.7 percent unemployment rate.</w:t>
      </w:r>
      <w:r w:rsidR="0089275D">
        <w:rPr>
          <w:rFonts w:eastAsia="Times New Roman" w:cs="Times New Roman"/>
          <w:color w:val="222222"/>
          <w:szCs w:val="24"/>
        </w:rPr>
        <w:t xml:space="preserve"> </w:t>
      </w:r>
      <w:r w:rsidR="00D63C5C">
        <w:rPr>
          <w:rFonts w:eastAsia="Times New Roman" w:cs="Times New Roman"/>
          <w:color w:val="222222"/>
          <w:szCs w:val="24"/>
        </w:rPr>
        <w:t xml:space="preserve">But the choices of 1948 vs. 1950, or 1928 or 1929 in lieu of 1930 have minor implications compared to the </w:t>
      </w:r>
      <w:r w:rsidR="00D63C5C" w:rsidRPr="000F79DD">
        <w:rPr>
          <w:rFonts w:eastAsia="Times New Roman" w:cs="Times New Roman"/>
          <w:color w:val="222222"/>
          <w:szCs w:val="24"/>
        </w:rPr>
        <w:t xml:space="preserve">use of 1940 as a benchmark.  Because of the procyclicality of TFP, measured productivity levels were substantially lower in 1940 than in 1941, reducing </w:t>
      </w:r>
      <w:r w:rsidR="00D63C5C">
        <w:rPr>
          <w:rFonts w:eastAsia="Times New Roman" w:cs="Times New Roman"/>
          <w:color w:val="222222"/>
          <w:szCs w:val="24"/>
        </w:rPr>
        <w:t>a</w:t>
      </w:r>
      <w:r w:rsidR="00D63C5C" w:rsidRPr="000F79DD">
        <w:rPr>
          <w:rFonts w:eastAsia="Times New Roman" w:cs="Times New Roman"/>
          <w:color w:val="222222"/>
          <w:szCs w:val="24"/>
        </w:rPr>
        <w:t xml:space="preserve"> calculated growth rate to 1940 and increasing </w:t>
      </w:r>
      <w:r w:rsidR="00D63C5C">
        <w:rPr>
          <w:rFonts w:eastAsia="Times New Roman" w:cs="Times New Roman"/>
          <w:color w:val="222222"/>
          <w:szCs w:val="24"/>
        </w:rPr>
        <w:t>a</w:t>
      </w:r>
      <w:r w:rsidR="00D63C5C" w:rsidRPr="000F79DD">
        <w:rPr>
          <w:rFonts w:eastAsia="Times New Roman" w:cs="Times New Roman"/>
          <w:color w:val="222222"/>
          <w:szCs w:val="24"/>
        </w:rPr>
        <w:t xml:space="preserve"> calculated growth rate from 1940, as compared with calculations that measure to and from 1941.  </w:t>
      </w:r>
      <w:r w:rsidR="0099273F">
        <w:rPr>
          <w:rFonts w:eastAsia="Times New Roman" w:cs="Times New Roman"/>
          <w:color w:val="222222"/>
          <w:szCs w:val="24"/>
        </w:rPr>
        <w:t>As a consequence</w:t>
      </w:r>
      <w:r w:rsidR="00E3127C">
        <w:rPr>
          <w:rFonts w:eastAsia="Times New Roman" w:cs="Times New Roman"/>
          <w:color w:val="222222"/>
          <w:szCs w:val="24"/>
        </w:rPr>
        <w:t>,</w:t>
      </w:r>
      <w:r w:rsidR="00D20DD3">
        <w:rPr>
          <w:rFonts w:eastAsia="Times New Roman" w:cs="Times New Roman"/>
          <w:color w:val="222222"/>
          <w:szCs w:val="24"/>
        </w:rPr>
        <w:t xml:space="preserve"> decadal growth rates of TFP are </w:t>
      </w:r>
      <w:r w:rsidR="005E63D3">
        <w:rPr>
          <w:rFonts w:eastAsia="Times New Roman" w:cs="Times New Roman"/>
          <w:color w:val="222222"/>
          <w:szCs w:val="24"/>
        </w:rPr>
        <w:t xml:space="preserve">unlikely to be good </w:t>
      </w:r>
      <w:r w:rsidR="00D20DD3">
        <w:rPr>
          <w:rFonts w:eastAsia="Times New Roman" w:cs="Times New Roman"/>
          <w:color w:val="222222"/>
          <w:szCs w:val="24"/>
        </w:rPr>
        <w:t xml:space="preserve">proxies for peak to peak measures across the 1930s (1929-41) </w:t>
      </w:r>
      <w:r w:rsidR="00E3127C">
        <w:rPr>
          <w:rFonts w:eastAsia="Times New Roman" w:cs="Times New Roman"/>
          <w:color w:val="222222"/>
          <w:szCs w:val="24"/>
        </w:rPr>
        <w:t>or</w:t>
      </w:r>
      <w:r w:rsidR="00D20DD3">
        <w:rPr>
          <w:rFonts w:eastAsia="Times New Roman" w:cs="Times New Roman"/>
          <w:color w:val="222222"/>
          <w:szCs w:val="24"/>
        </w:rPr>
        <w:t xml:space="preserve"> across the war years (1941-48).  </w:t>
      </w:r>
    </w:p>
    <w:p w14:paraId="309CA9D4" w14:textId="74E099B3" w:rsidR="00C870F4" w:rsidRPr="000F79DD" w:rsidRDefault="00C870F4" w:rsidP="00C870F4">
      <w:pPr>
        <w:shd w:val="clear" w:color="auto" w:fill="FFFFFF"/>
        <w:spacing w:line="480" w:lineRule="auto"/>
        <w:rPr>
          <w:rFonts w:eastAsia="Times New Roman" w:cs="Times New Roman"/>
          <w:b/>
          <w:color w:val="222222"/>
          <w:szCs w:val="24"/>
        </w:rPr>
      </w:pPr>
      <w:r w:rsidRPr="000F79DD">
        <w:rPr>
          <w:rFonts w:eastAsia="Times New Roman" w:cs="Times New Roman"/>
          <w:b/>
          <w:color w:val="222222"/>
          <w:szCs w:val="24"/>
        </w:rPr>
        <w:t>Gordon’s</w:t>
      </w:r>
      <w:r w:rsidR="00476E26">
        <w:rPr>
          <w:rFonts w:eastAsia="Times New Roman" w:cs="Times New Roman"/>
          <w:b/>
          <w:color w:val="222222"/>
          <w:szCs w:val="24"/>
        </w:rPr>
        <w:t xml:space="preserve"> decadal</w:t>
      </w:r>
      <w:r w:rsidRPr="000F79DD">
        <w:rPr>
          <w:rFonts w:eastAsia="Times New Roman" w:cs="Times New Roman"/>
          <w:b/>
          <w:color w:val="222222"/>
          <w:szCs w:val="24"/>
        </w:rPr>
        <w:t xml:space="preserve"> estimate</w:t>
      </w:r>
      <w:r w:rsidR="00BB345D">
        <w:rPr>
          <w:rFonts w:eastAsia="Times New Roman" w:cs="Times New Roman"/>
          <w:b/>
          <w:color w:val="222222"/>
          <w:szCs w:val="24"/>
        </w:rPr>
        <w:t>s</w:t>
      </w:r>
      <w:r w:rsidRPr="000F79DD">
        <w:rPr>
          <w:rFonts w:eastAsia="Times New Roman" w:cs="Times New Roman"/>
          <w:b/>
          <w:color w:val="222222"/>
          <w:szCs w:val="24"/>
        </w:rPr>
        <w:t xml:space="preserve"> of TFP growth in the </w:t>
      </w:r>
      <w:r w:rsidR="00BB345D">
        <w:rPr>
          <w:rFonts w:eastAsia="Times New Roman" w:cs="Times New Roman"/>
          <w:b/>
          <w:color w:val="222222"/>
          <w:szCs w:val="24"/>
        </w:rPr>
        <w:t>19</w:t>
      </w:r>
      <w:r w:rsidR="00847E5C">
        <w:rPr>
          <w:rFonts w:eastAsia="Times New Roman" w:cs="Times New Roman"/>
          <w:b/>
          <w:color w:val="222222"/>
          <w:szCs w:val="24"/>
        </w:rPr>
        <w:t>4</w:t>
      </w:r>
      <w:r w:rsidR="00BB345D">
        <w:rPr>
          <w:rFonts w:eastAsia="Times New Roman" w:cs="Times New Roman"/>
          <w:b/>
          <w:color w:val="222222"/>
          <w:szCs w:val="24"/>
        </w:rPr>
        <w:t>0s and 19</w:t>
      </w:r>
      <w:r w:rsidR="00847E5C">
        <w:rPr>
          <w:rFonts w:eastAsia="Times New Roman" w:cs="Times New Roman"/>
          <w:b/>
          <w:color w:val="222222"/>
          <w:szCs w:val="24"/>
        </w:rPr>
        <w:t>3</w:t>
      </w:r>
      <w:r w:rsidR="00BB345D">
        <w:rPr>
          <w:rFonts w:eastAsia="Times New Roman" w:cs="Times New Roman"/>
          <w:b/>
          <w:color w:val="222222"/>
          <w:szCs w:val="24"/>
        </w:rPr>
        <w:t xml:space="preserve">0s </w:t>
      </w:r>
    </w:p>
    <w:p w14:paraId="052C0116" w14:textId="3EDD52CD" w:rsidR="00C870F4" w:rsidRPr="000F79DD" w:rsidRDefault="00301376" w:rsidP="00C870F4">
      <w:pPr>
        <w:shd w:val="clear" w:color="auto" w:fill="FFFFFF"/>
        <w:spacing w:line="480" w:lineRule="auto"/>
        <w:ind w:firstLine="576"/>
        <w:rPr>
          <w:rFonts w:eastAsia="Times New Roman" w:cs="Times New Roman"/>
          <w:color w:val="222222"/>
          <w:szCs w:val="24"/>
        </w:rPr>
      </w:pPr>
      <w:r>
        <w:rPr>
          <w:rFonts w:eastAsia="Times New Roman" w:cs="Times New Roman"/>
          <w:color w:val="222222"/>
          <w:szCs w:val="24"/>
        </w:rPr>
        <w:t xml:space="preserve">  </w:t>
      </w:r>
      <w:r w:rsidR="00BB345D">
        <w:rPr>
          <w:rFonts w:eastAsia="Times New Roman" w:cs="Times New Roman"/>
          <w:color w:val="222222"/>
          <w:szCs w:val="24"/>
        </w:rPr>
        <w:t xml:space="preserve"> </w:t>
      </w:r>
      <w:r w:rsidR="00373DB0">
        <w:rPr>
          <w:rFonts w:eastAsia="Times New Roman" w:cs="Times New Roman"/>
          <w:color w:val="222222"/>
          <w:szCs w:val="24"/>
        </w:rPr>
        <w:t xml:space="preserve">Between 1940 and 1950 </w:t>
      </w:r>
      <w:r w:rsidR="00C870F4">
        <w:rPr>
          <w:rFonts w:eastAsia="Times New Roman" w:cs="Times New Roman"/>
          <w:color w:val="222222"/>
          <w:szCs w:val="24"/>
        </w:rPr>
        <w:t>r</w:t>
      </w:r>
      <w:r w:rsidR="00C95707">
        <w:rPr>
          <w:rFonts w:eastAsia="Times New Roman" w:cs="Times New Roman"/>
          <w:color w:val="222222"/>
          <w:szCs w:val="24"/>
        </w:rPr>
        <w:t>eal output</w:t>
      </w:r>
      <w:r w:rsidR="00F95343">
        <w:rPr>
          <w:rFonts w:eastAsia="Times New Roman" w:cs="Times New Roman"/>
          <w:color w:val="222222"/>
          <w:szCs w:val="24"/>
        </w:rPr>
        <w:t xml:space="preserve"> calculated using chained index methods</w:t>
      </w:r>
      <w:r w:rsidR="00C95707">
        <w:rPr>
          <w:rFonts w:eastAsia="Times New Roman" w:cs="Times New Roman"/>
          <w:color w:val="222222"/>
          <w:szCs w:val="24"/>
        </w:rPr>
        <w:t xml:space="preserve"> grew at </w:t>
      </w:r>
      <w:r w:rsidR="00C870F4" w:rsidRPr="000F79DD">
        <w:rPr>
          <w:rFonts w:eastAsia="Times New Roman" w:cs="Times New Roman"/>
          <w:color w:val="222222"/>
          <w:szCs w:val="24"/>
        </w:rPr>
        <w:t>5.6 percent per y</w:t>
      </w:r>
      <w:r w:rsidR="00C870F4">
        <w:rPr>
          <w:rFonts w:eastAsia="Times New Roman" w:cs="Times New Roman"/>
          <w:color w:val="222222"/>
          <w:szCs w:val="24"/>
        </w:rPr>
        <w:t xml:space="preserve">ear (Bureau of Economic Analysis, </w:t>
      </w:r>
      <w:r w:rsidR="00C870F4" w:rsidRPr="000F79DD">
        <w:rPr>
          <w:rFonts w:eastAsia="Times New Roman" w:cs="Times New Roman"/>
          <w:color w:val="222222"/>
          <w:szCs w:val="24"/>
        </w:rPr>
        <w:t xml:space="preserve">NIPA Table 1.1.6). Gordon has TFP growth between 1940 and 1950 at about 3.4 percent per year (figure 16-5) </w:t>
      </w:r>
      <w:r w:rsidR="00476E26">
        <w:rPr>
          <w:rFonts w:eastAsia="Times New Roman" w:cs="Times New Roman"/>
          <w:color w:val="222222"/>
          <w:szCs w:val="24"/>
        </w:rPr>
        <w:t>(</w:t>
      </w:r>
      <w:r w:rsidR="0099273F">
        <w:rPr>
          <w:rFonts w:eastAsia="Times New Roman" w:cs="Times New Roman"/>
          <w:color w:val="222222"/>
          <w:szCs w:val="24"/>
        </w:rPr>
        <w:t>he</w:t>
      </w:r>
      <w:r w:rsidR="00476E26">
        <w:rPr>
          <w:rFonts w:eastAsia="Times New Roman" w:cs="Times New Roman"/>
          <w:color w:val="222222"/>
          <w:szCs w:val="24"/>
        </w:rPr>
        <w:t xml:space="preserve"> provides incomplete documentation of his sources and methods, so one has to eyeball this).  </w:t>
      </w:r>
      <w:r w:rsidR="00C870F4" w:rsidRPr="000F79DD">
        <w:rPr>
          <w:rFonts w:eastAsia="Times New Roman" w:cs="Times New Roman"/>
          <w:color w:val="222222"/>
          <w:szCs w:val="24"/>
        </w:rPr>
        <w:t>That leaves 2.2 percent per year for the combined contribution to growth of increases in labor and</w:t>
      </w:r>
      <w:r w:rsidR="00837A98">
        <w:rPr>
          <w:rFonts w:eastAsia="Times New Roman" w:cs="Times New Roman"/>
          <w:color w:val="222222"/>
          <w:szCs w:val="24"/>
        </w:rPr>
        <w:t xml:space="preserve"> capital input.</w:t>
      </w:r>
      <w:r w:rsidR="00C870F4" w:rsidRPr="000F79DD">
        <w:rPr>
          <w:rFonts w:eastAsia="Times New Roman" w:cs="Times New Roman"/>
          <w:color w:val="222222"/>
          <w:szCs w:val="24"/>
        </w:rPr>
        <w:t xml:space="preserve"> But we were well below potential in 1940.  We do not want to measure from trough to peak</w:t>
      </w:r>
      <w:r w:rsidR="009B5F86">
        <w:rPr>
          <w:rFonts w:eastAsia="Times New Roman" w:cs="Times New Roman"/>
          <w:color w:val="222222"/>
          <w:szCs w:val="24"/>
        </w:rPr>
        <w:t>.</w:t>
      </w:r>
    </w:p>
    <w:p w14:paraId="04326A85" w14:textId="35193EA5" w:rsidR="00C870F4" w:rsidRPr="000F79DD" w:rsidRDefault="00C870F4" w:rsidP="00C870F4">
      <w:pPr>
        <w:shd w:val="clear" w:color="auto" w:fill="FFFFFF"/>
        <w:spacing w:line="480" w:lineRule="auto"/>
        <w:ind w:firstLine="576"/>
        <w:rPr>
          <w:rFonts w:eastAsia="Times New Roman" w:cs="Times New Roman"/>
          <w:color w:val="222222"/>
          <w:szCs w:val="24"/>
        </w:rPr>
      </w:pPr>
      <w:r w:rsidRPr="000F79DD">
        <w:rPr>
          <w:rFonts w:eastAsia="Times New Roman" w:cs="Times New Roman"/>
          <w:color w:val="222222"/>
          <w:szCs w:val="24"/>
        </w:rPr>
        <w:t>Real output growth b</w:t>
      </w:r>
      <w:r w:rsidR="00AD44A9">
        <w:rPr>
          <w:rFonts w:eastAsia="Times New Roman" w:cs="Times New Roman"/>
          <w:color w:val="222222"/>
          <w:szCs w:val="24"/>
        </w:rPr>
        <w:t>etween 1941 and 19</w:t>
      </w:r>
      <w:r w:rsidR="00746DA6">
        <w:rPr>
          <w:rFonts w:eastAsia="Times New Roman" w:cs="Times New Roman"/>
          <w:color w:val="222222"/>
          <w:szCs w:val="24"/>
        </w:rPr>
        <w:t>48</w:t>
      </w:r>
      <w:r>
        <w:rPr>
          <w:rFonts w:eastAsia="Times New Roman" w:cs="Times New Roman"/>
          <w:color w:val="222222"/>
          <w:szCs w:val="24"/>
        </w:rPr>
        <w:t xml:space="preserve">, </w:t>
      </w:r>
      <w:r w:rsidR="00A91287">
        <w:rPr>
          <w:rFonts w:eastAsia="Times New Roman" w:cs="Times New Roman"/>
          <w:color w:val="222222"/>
          <w:szCs w:val="24"/>
        </w:rPr>
        <w:t xml:space="preserve">again </w:t>
      </w:r>
      <w:r>
        <w:rPr>
          <w:rFonts w:eastAsia="Times New Roman" w:cs="Times New Roman"/>
          <w:color w:val="222222"/>
          <w:szCs w:val="24"/>
        </w:rPr>
        <w:t>from the BEA,</w:t>
      </w:r>
      <w:r w:rsidR="00AD44A9">
        <w:rPr>
          <w:rFonts w:eastAsia="Times New Roman" w:cs="Times New Roman"/>
          <w:color w:val="222222"/>
          <w:szCs w:val="24"/>
        </w:rPr>
        <w:t xml:space="preserve"> was 4.</w:t>
      </w:r>
      <w:r w:rsidR="00746DA6">
        <w:rPr>
          <w:rFonts w:eastAsia="Times New Roman" w:cs="Times New Roman"/>
          <w:color w:val="222222"/>
          <w:szCs w:val="24"/>
        </w:rPr>
        <w:t>3</w:t>
      </w:r>
      <w:r w:rsidRPr="000F79DD">
        <w:rPr>
          <w:rFonts w:eastAsia="Times New Roman" w:cs="Times New Roman"/>
          <w:color w:val="222222"/>
          <w:szCs w:val="24"/>
        </w:rPr>
        <w:t xml:space="preserve"> percent per year, which means</w:t>
      </w:r>
      <w:r w:rsidR="008C0356">
        <w:rPr>
          <w:rFonts w:eastAsia="Times New Roman" w:cs="Times New Roman"/>
          <w:color w:val="222222"/>
          <w:szCs w:val="24"/>
        </w:rPr>
        <w:t xml:space="preserve"> that</w:t>
      </w:r>
      <w:r w:rsidRPr="000F79DD">
        <w:rPr>
          <w:rFonts w:eastAsia="Times New Roman" w:cs="Times New Roman"/>
          <w:color w:val="222222"/>
          <w:szCs w:val="24"/>
        </w:rPr>
        <w:t>, if Gordon’s 1940-50 TFP g</w:t>
      </w:r>
      <w:r w:rsidR="00E8230B">
        <w:rPr>
          <w:rFonts w:eastAsia="Times New Roman" w:cs="Times New Roman"/>
          <w:color w:val="222222"/>
          <w:szCs w:val="24"/>
        </w:rPr>
        <w:t xml:space="preserve">rowth rate of 3.4 percent </w:t>
      </w:r>
      <w:r w:rsidR="00A91287">
        <w:rPr>
          <w:rFonts w:eastAsia="Times New Roman" w:cs="Times New Roman"/>
          <w:color w:val="222222"/>
          <w:szCs w:val="24"/>
        </w:rPr>
        <w:t xml:space="preserve">adequately </w:t>
      </w:r>
      <w:r w:rsidR="00E8230B">
        <w:rPr>
          <w:rFonts w:eastAsia="Times New Roman" w:cs="Times New Roman"/>
          <w:color w:val="222222"/>
          <w:szCs w:val="24"/>
        </w:rPr>
        <w:t xml:space="preserve">proxies </w:t>
      </w:r>
      <w:r w:rsidRPr="000F79DD">
        <w:rPr>
          <w:rFonts w:eastAsia="Times New Roman" w:cs="Times New Roman"/>
          <w:color w:val="222222"/>
          <w:szCs w:val="24"/>
        </w:rPr>
        <w:t xml:space="preserve">its growth </w:t>
      </w:r>
      <w:r w:rsidR="00746DA6">
        <w:rPr>
          <w:rFonts w:eastAsia="Times New Roman" w:cs="Times New Roman"/>
          <w:color w:val="222222"/>
          <w:szCs w:val="24"/>
        </w:rPr>
        <w:t>rate between 1941 and 1948</w:t>
      </w:r>
      <w:r w:rsidR="008C0356">
        <w:rPr>
          <w:rFonts w:eastAsia="Times New Roman" w:cs="Times New Roman"/>
          <w:color w:val="222222"/>
          <w:szCs w:val="24"/>
        </w:rPr>
        <w:t>,</w:t>
      </w:r>
      <w:r w:rsidR="00746DA6">
        <w:rPr>
          <w:rFonts w:eastAsia="Times New Roman" w:cs="Times New Roman"/>
          <w:color w:val="222222"/>
          <w:szCs w:val="24"/>
        </w:rPr>
        <w:t xml:space="preserve"> only .9</w:t>
      </w:r>
      <w:r w:rsidRPr="000F79DD">
        <w:rPr>
          <w:rFonts w:eastAsia="Times New Roman" w:cs="Times New Roman"/>
          <w:color w:val="222222"/>
          <w:szCs w:val="24"/>
        </w:rPr>
        <w:t xml:space="preserve"> percent per year is left for the combined </w:t>
      </w:r>
      <w:r w:rsidRPr="000F79DD">
        <w:rPr>
          <w:rFonts w:eastAsia="Times New Roman" w:cs="Times New Roman"/>
          <w:color w:val="222222"/>
          <w:szCs w:val="24"/>
        </w:rPr>
        <w:lastRenderedPageBreak/>
        <w:t>contribution to growth of increases in capital and labor input.</w:t>
      </w:r>
      <w:r w:rsidR="00552F6A">
        <w:rPr>
          <w:rFonts w:eastAsia="Times New Roman" w:cs="Times New Roman"/>
          <w:color w:val="222222"/>
          <w:szCs w:val="24"/>
        </w:rPr>
        <w:t xml:space="preserve"> </w:t>
      </w:r>
      <w:r w:rsidR="0063235B">
        <w:rPr>
          <w:rFonts w:eastAsia="Times New Roman" w:cs="Times New Roman"/>
          <w:color w:val="222222"/>
          <w:szCs w:val="24"/>
        </w:rPr>
        <w:t>That is too low, given what we know a</w:t>
      </w:r>
      <w:r w:rsidR="00CF3F61">
        <w:rPr>
          <w:rFonts w:eastAsia="Times New Roman" w:cs="Times New Roman"/>
          <w:color w:val="222222"/>
          <w:szCs w:val="24"/>
        </w:rPr>
        <w:t xml:space="preserve">bout the growth </w:t>
      </w:r>
      <w:r w:rsidR="00A62FA4">
        <w:rPr>
          <w:rFonts w:eastAsia="Times New Roman" w:cs="Times New Roman"/>
          <w:color w:val="222222"/>
          <w:szCs w:val="24"/>
        </w:rPr>
        <w:t>of these inputs during those seven</w:t>
      </w:r>
      <w:r w:rsidR="00CF3F61">
        <w:rPr>
          <w:rFonts w:eastAsia="Times New Roman" w:cs="Times New Roman"/>
          <w:color w:val="222222"/>
          <w:szCs w:val="24"/>
        </w:rPr>
        <w:t xml:space="preserve"> years.</w:t>
      </w:r>
    </w:p>
    <w:p w14:paraId="1D2D3105" w14:textId="559AD8CF" w:rsidR="00C870F4" w:rsidRPr="000F79DD" w:rsidRDefault="00C870F4" w:rsidP="00C870F4">
      <w:pPr>
        <w:shd w:val="clear" w:color="auto" w:fill="FFFFFF"/>
        <w:spacing w:line="480" w:lineRule="auto"/>
        <w:ind w:firstLine="576"/>
        <w:rPr>
          <w:rFonts w:eastAsia="Times New Roman" w:cs="Times New Roman"/>
          <w:color w:val="222222"/>
          <w:szCs w:val="24"/>
        </w:rPr>
      </w:pPr>
      <w:r w:rsidRPr="000F79DD">
        <w:rPr>
          <w:rFonts w:eastAsia="Times New Roman" w:cs="Times New Roman"/>
          <w:color w:val="222222"/>
          <w:szCs w:val="24"/>
        </w:rPr>
        <w:t>Kendrick</w:t>
      </w:r>
      <w:r w:rsidR="00CF3F61">
        <w:rPr>
          <w:rFonts w:eastAsia="Times New Roman" w:cs="Times New Roman"/>
          <w:color w:val="222222"/>
          <w:szCs w:val="24"/>
        </w:rPr>
        <w:t xml:space="preserve"> </w:t>
      </w:r>
      <w:r w:rsidR="005E41BE">
        <w:rPr>
          <w:rFonts w:eastAsia="Times New Roman" w:cs="Times New Roman"/>
          <w:color w:val="222222"/>
          <w:szCs w:val="24"/>
        </w:rPr>
        <w:t>(1961, Table A-XXII) shows</w:t>
      </w:r>
      <w:r w:rsidRPr="000F79DD">
        <w:rPr>
          <w:rFonts w:eastAsia="Times New Roman" w:cs="Times New Roman"/>
          <w:color w:val="222222"/>
          <w:szCs w:val="24"/>
        </w:rPr>
        <w:t xml:space="preserve"> private domestic economy </w:t>
      </w:r>
      <w:r w:rsidR="00746DA6">
        <w:rPr>
          <w:rFonts w:eastAsia="Times New Roman" w:cs="Times New Roman"/>
          <w:color w:val="222222"/>
          <w:szCs w:val="24"/>
        </w:rPr>
        <w:t>labor input growing at 1.71</w:t>
      </w:r>
      <w:r w:rsidRPr="000F79DD">
        <w:rPr>
          <w:rFonts w:eastAsia="Times New Roman" w:cs="Times New Roman"/>
          <w:color w:val="222222"/>
          <w:szCs w:val="24"/>
        </w:rPr>
        <w:t xml:space="preserve"> percent per year b</w:t>
      </w:r>
      <w:r w:rsidR="00746DA6">
        <w:rPr>
          <w:rFonts w:eastAsia="Times New Roman" w:cs="Times New Roman"/>
          <w:color w:val="222222"/>
          <w:szCs w:val="24"/>
        </w:rPr>
        <w:t>etween 1941 and 1948</w:t>
      </w:r>
      <w:r w:rsidRPr="000F79DD">
        <w:rPr>
          <w:rFonts w:eastAsia="Times New Roman" w:cs="Times New Roman"/>
          <w:color w:val="222222"/>
          <w:szCs w:val="24"/>
        </w:rPr>
        <w:t>.</w:t>
      </w:r>
      <w:r>
        <w:rPr>
          <w:rStyle w:val="FootnoteReference"/>
          <w:rFonts w:eastAsia="Times New Roman" w:cs="Times New Roman"/>
          <w:color w:val="222222"/>
          <w:szCs w:val="24"/>
        </w:rPr>
        <w:footnoteReference w:id="8"/>
      </w:r>
      <w:r w:rsidRPr="000F79DD">
        <w:rPr>
          <w:rFonts w:eastAsia="Times New Roman" w:cs="Times New Roman"/>
          <w:color w:val="222222"/>
          <w:szCs w:val="24"/>
        </w:rPr>
        <w:t xml:space="preserve"> The BEA’s Fixed Asset Table 1.2, line 3 shows private sec</w:t>
      </w:r>
      <w:r w:rsidR="00BF6EA4">
        <w:rPr>
          <w:rFonts w:eastAsia="Times New Roman" w:cs="Times New Roman"/>
          <w:color w:val="222222"/>
          <w:szCs w:val="24"/>
        </w:rPr>
        <w:t>tor fixed assets growing at 1.58</w:t>
      </w:r>
      <w:r w:rsidRPr="000F79DD">
        <w:rPr>
          <w:rFonts w:eastAsia="Times New Roman" w:cs="Times New Roman"/>
          <w:color w:val="222222"/>
          <w:szCs w:val="24"/>
        </w:rPr>
        <w:t xml:space="preserve"> percent per year over the same period.  Weighting labor input growth by .7 a</w:t>
      </w:r>
      <w:r>
        <w:rPr>
          <w:rFonts w:eastAsia="Times New Roman" w:cs="Times New Roman"/>
          <w:color w:val="222222"/>
          <w:szCs w:val="24"/>
        </w:rPr>
        <w:t xml:space="preserve">nd capital input growth by .3, </w:t>
      </w:r>
      <w:r w:rsidRPr="000F79DD">
        <w:rPr>
          <w:rFonts w:eastAsia="Times New Roman" w:cs="Times New Roman"/>
          <w:color w:val="222222"/>
          <w:szCs w:val="24"/>
        </w:rPr>
        <w:t>we have growt</w:t>
      </w:r>
      <w:r>
        <w:rPr>
          <w:rFonts w:eastAsia="Times New Roman" w:cs="Times New Roman"/>
          <w:color w:val="222222"/>
          <w:szCs w:val="24"/>
        </w:rPr>
        <w:t xml:space="preserve">h of inputs </w:t>
      </w:r>
      <w:r w:rsidR="00ED1E5D">
        <w:rPr>
          <w:rFonts w:eastAsia="Times New Roman" w:cs="Times New Roman"/>
          <w:color w:val="222222"/>
          <w:szCs w:val="24"/>
        </w:rPr>
        <w:t xml:space="preserve">conventionally measured </w:t>
      </w:r>
      <w:r w:rsidR="00BF6EA4">
        <w:rPr>
          <w:rFonts w:eastAsia="Times New Roman" w:cs="Times New Roman"/>
          <w:color w:val="222222"/>
          <w:szCs w:val="24"/>
        </w:rPr>
        <w:t>at about 1.67</w:t>
      </w:r>
      <w:r w:rsidRPr="000F79DD">
        <w:rPr>
          <w:rFonts w:eastAsia="Times New Roman" w:cs="Times New Roman"/>
          <w:color w:val="222222"/>
          <w:szCs w:val="24"/>
        </w:rPr>
        <w:t xml:space="preserve"> percent per year.</w:t>
      </w:r>
      <w:r w:rsidR="00493838">
        <w:rPr>
          <w:rStyle w:val="FootnoteReference"/>
          <w:rFonts w:eastAsia="Times New Roman" w:cs="Times New Roman"/>
          <w:color w:val="222222"/>
          <w:szCs w:val="24"/>
        </w:rPr>
        <w:footnoteReference w:id="9"/>
      </w:r>
      <w:r w:rsidRPr="000F79DD">
        <w:rPr>
          <w:rFonts w:eastAsia="Times New Roman" w:cs="Times New Roman"/>
          <w:color w:val="222222"/>
          <w:szCs w:val="24"/>
        </w:rPr>
        <w:t xml:space="preserve">  </w:t>
      </w:r>
      <w:r w:rsidRPr="000F79DD">
        <w:rPr>
          <w:rFonts w:eastAsia="Times New Roman" w:cs="Times New Roman"/>
          <w:bCs/>
          <w:color w:val="222222"/>
          <w:szCs w:val="24"/>
        </w:rPr>
        <w:t xml:space="preserve">TFP could </w:t>
      </w:r>
      <w:r>
        <w:rPr>
          <w:rFonts w:eastAsia="Times New Roman" w:cs="Times New Roman"/>
          <w:bCs/>
          <w:color w:val="222222"/>
          <w:szCs w:val="24"/>
        </w:rPr>
        <w:t xml:space="preserve">not </w:t>
      </w:r>
      <w:r w:rsidRPr="000F79DD">
        <w:rPr>
          <w:rFonts w:eastAsia="Times New Roman" w:cs="Times New Roman"/>
          <w:bCs/>
          <w:color w:val="222222"/>
          <w:szCs w:val="24"/>
        </w:rPr>
        <w:t>have been growing at 3.4 percen</w:t>
      </w:r>
      <w:r w:rsidR="00A62FA4">
        <w:rPr>
          <w:rFonts w:eastAsia="Times New Roman" w:cs="Times New Roman"/>
          <w:bCs/>
          <w:color w:val="222222"/>
          <w:szCs w:val="24"/>
        </w:rPr>
        <w:t>t per year between 1941 and 1948</w:t>
      </w:r>
      <w:r w:rsidR="00204951">
        <w:rPr>
          <w:rFonts w:eastAsia="Times New Roman" w:cs="Times New Roman"/>
          <w:bCs/>
          <w:color w:val="222222"/>
          <w:szCs w:val="24"/>
        </w:rPr>
        <w:t xml:space="preserve">, </w:t>
      </w:r>
      <w:r>
        <w:rPr>
          <w:rFonts w:eastAsia="Times New Roman" w:cs="Times New Roman"/>
          <w:bCs/>
          <w:color w:val="222222"/>
          <w:szCs w:val="24"/>
        </w:rPr>
        <w:t xml:space="preserve">simply </w:t>
      </w:r>
      <w:r w:rsidRPr="000F79DD">
        <w:rPr>
          <w:rFonts w:eastAsia="Times New Roman" w:cs="Times New Roman"/>
          <w:bCs/>
          <w:color w:val="222222"/>
          <w:szCs w:val="24"/>
        </w:rPr>
        <w:t>because 3.4</w:t>
      </w:r>
      <w:r w:rsidR="00F84D61">
        <w:rPr>
          <w:rFonts w:eastAsia="Times New Roman" w:cs="Times New Roman"/>
          <w:bCs/>
          <w:color w:val="222222"/>
          <w:szCs w:val="24"/>
        </w:rPr>
        <w:t xml:space="preserve"> + 1.67 = 5.07</w:t>
      </w:r>
      <w:r w:rsidR="00E8230B">
        <w:rPr>
          <w:rFonts w:eastAsia="Times New Roman" w:cs="Times New Roman"/>
          <w:bCs/>
          <w:color w:val="222222"/>
          <w:szCs w:val="24"/>
        </w:rPr>
        <w:t>, whereas real output gro</w:t>
      </w:r>
      <w:r w:rsidR="00A62FA4">
        <w:rPr>
          <w:rFonts w:eastAsia="Times New Roman" w:cs="Times New Roman"/>
          <w:bCs/>
          <w:color w:val="222222"/>
          <w:szCs w:val="24"/>
        </w:rPr>
        <w:t xml:space="preserve">wth </w:t>
      </w:r>
      <w:r w:rsidR="00A91287">
        <w:rPr>
          <w:rFonts w:eastAsia="Times New Roman" w:cs="Times New Roman"/>
          <w:bCs/>
          <w:color w:val="222222"/>
          <w:szCs w:val="24"/>
        </w:rPr>
        <w:t>over that period</w:t>
      </w:r>
      <w:r w:rsidR="00A62FA4">
        <w:rPr>
          <w:rFonts w:eastAsia="Times New Roman" w:cs="Times New Roman"/>
          <w:bCs/>
          <w:color w:val="222222"/>
          <w:szCs w:val="24"/>
        </w:rPr>
        <w:t xml:space="preserve"> was 4.3 percent per year. </w:t>
      </w:r>
      <w:r w:rsidR="00E8230B">
        <w:rPr>
          <w:rFonts w:eastAsia="Times New Roman" w:cs="Times New Roman"/>
          <w:bCs/>
          <w:color w:val="222222"/>
          <w:szCs w:val="24"/>
        </w:rPr>
        <w:t xml:space="preserve"> </w:t>
      </w:r>
      <w:r w:rsidR="00A91287">
        <w:rPr>
          <w:rFonts w:eastAsia="Times New Roman" w:cs="Times New Roman"/>
          <w:bCs/>
          <w:color w:val="222222"/>
          <w:szCs w:val="24"/>
        </w:rPr>
        <w:t>TFP growth, as a residual, is squeezed</w:t>
      </w:r>
      <w:r w:rsidR="001335F4">
        <w:rPr>
          <w:rFonts w:eastAsia="Times New Roman" w:cs="Times New Roman"/>
          <w:bCs/>
          <w:color w:val="222222"/>
          <w:szCs w:val="24"/>
        </w:rPr>
        <w:t xml:space="preserve"> </w:t>
      </w:r>
      <w:r w:rsidR="00A91287">
        <w:rPr>
          <w:rFonts w:eastAsia="Times New Roman" w:cs="Times New Roman"/>
          <w:bCs/>
          <w:color w:val="222222"/>
          <w:szCs w:val="24"/>
        </w:rPr>
        <w:t>between the output growth rate (4.3 percent per year) and the</w:t>
      </w:r>
      <w:r w:rsidR="00F84D61">
        <w:rPr>
          <w:rFonts w:eastAsia="Times New Roman" w:cs="Times New Roman"/>
          <w:bCs/>
          <w:color w:val="222222"/>
          <w:szCs w:val="24"/>
        </w:rPr>
        <w:t xml:space="preserve"> combined input growth rate (1.67</w:t>
      </w:r>
      <w:r w:rsidR="00A91287">
        <w:rPr>
          <w:rFonts w:eastAsia="Times New Roman" w:cs="Times New Roman"/>
          <w:bCs/>
          <w:color w:val="222222"/>
          <w:szCs w:val="24"/>
        </w:rPr>
        <w:t xml:space="preserve"> percent per year). </w:t>
      </w:r>
      <w:r w:rsidR="00A62FA4">
        <w:rPr>
          <w:rFonts w:eastAsia="Times New Roman" w:cs="Times New Roman"/>
          <w:bCs/>
          <w:color w:val="222222"/>
          <w:szCs w:val="24"/>
        </w:rPr>
        <w:t xml:space="preserve">The </w:t>
      </w:r>
      <w:r w:rsidRPr="000F79DD">
        <w:rPr>
          <w:rFonts w:eastAsia="Times New Roman" w:cs="Times New Roman"/>
          <w:bCs/>
          <w:color w:val="222222"/>
          <w:szCs w:val="24"/>
        </w:rPr>
        <w:t xml:space="preserve">highest </w:t>
      </w:r>
      <w:r w:rsidR="00A91287">
        <w:rPr>
          <w:rFonts w:eastAsia="Times New Roman" w:cs="Times New Roman"/>
          <w:bCs/>
          <w:color w:val="222222"/>
          <w:szCs w:val="24"/>
        </w:rPr>
        <w:t xml:space="preserve">it </w:t>
      </w:r>
      <w:r w:rsidR="00A62FA4">
        <w:rPr>
          <w:rFonts w:eastAsia="Times New Roman" w:cs="Times New Roman"/>
          <w:bCs/>
          <w:color w:val="222222"/>
          <w:szCs w:val="24"/>
        </w:rPr>
        <w:t>could have been growing between those years was</w:t>
      </w:r>
      <w:r w:rsidRPr="000F79DD">
        <w:rPr>
          <w:rFonts w:eastAsia="Times New Roman" w:cs="Times New Roman"/>
          <w:bCs/>
          <w:color w:val="222222"/>
          <w:szCs w:val="24"/>
        </w:rPr>
        <w:t xml:space="preserve"> </w:t>
      </w:r>
      <w:r w:rsidR="00BF6EA4">
        <w:rPr>
          <w:rFonts w:eastAsia="Times New Roman" w:cs="Times New Roman"/>
          <w:bCs/>
          <w:color w:val="222222"/>
          <w:szCs w:val="24"/>
        </w:rPr>
        <w:t>2.6</w:t>
      </w:r>
      <w:r w:rsidR="00F84D61">
        <w:rPr>
          <w:rFonts w:eastAsia="Times New Roman" w:cs="Times New Roman"/>
          <w:bCs/>
          <w:color w:val="222222"/>
          <w:szCs w:val="24"/>
        </w:rPr>
        <w:t>3</w:t>
      </w:r>
      <w:r w:rsidR="00A62FA4">
        <w:rPr>
          <w:rFonts w:eastAsia="Times New Roman" w:cs="Times New Roman"/>
          <w:bCs/>
          <w:color w:val="222222"/>
          <w:szCs w:val="24"/>
        </w:rPr>
        <w:t xml:space="preserve"> percent annually.</w:t>
      </w:r>
    </w:p>
    <w:p w14:paraId="69BE4D97" w14:textId="7A3A869B" w:rsidR="00C870F4" w:rsidRPr="000F79DD" w:rsidRDefault="00C870F4" w:rsidP="00C870F4">
      <w:pPr>
        <w:shd w:val="clear" w:color="auto" w:fill="FFFFFF"/>
        <w:spacing w:line="480" w:lineRule="auto"/>
        <w:ind w:firstLine="576"/>
        <w:rPr>
          <w:rFonts w:eastAsia="Times New Roman" w:cs="Times New Roman"/>
          <w:color w:val="222222"/>
          <w:szCs w:val="24"/>
        </w:rPr>
      </w:pPr>
      <w:r w:rsidRPr="000F79DD">
        <w:rPr>
          <w:rFonts w:eastAsia="Times New Roman" w:cs="Times New Roman"/>
          <w:color w:val="222222"/>
          <w:szCs w:val="24"/>
        </w:rPr>
        <w:t>B</w:t>
      </w:r>
      <w:r w:rsidR="00A91287">
        <w:rPr>
          <w:rFonts w:eastAsia="Times New Roman" w:cs="Times New Roman"/>
          <w:color w:val="222222"/>
          <w:szCs w:val="24"/>
        </w:rPr>
        <w:t>ut that is before a cyclical</w:t>
      </w:r>
      <w:r w:rsidRPr="000F79DD">
        <w:rPr>
          <w:rFonts w:eastAsia="Times New Roman" w:cs="Times New Roman"/>
          <w:color w:val="222222"/>
          <w:szCs w:val="24"/>
        </w:rPr>
        <w:t xml:space="preserve"> adjustment for </w:t>
      </w:r>
      <w:r w:rsidR="00A91287">
        <w:rPr>
          <w:rFonts w:eastAsia="Times New Roman" w:cs="Times New Roman"/>
          <w:color w:val="222222"/>
          <w:szCs w:val="24"/>
        </w:rPr>
        <w:t xml:space="preserve">the level of TFP in </w:t>
      </w:r>
      <w:r w:rsidRPr="000F79DD">
        <w:rPr>
          <w:rFonts w:eastAsia="Times New Roman" w:cs="Times New Roman"/>
          <w:color w:val="222222"/>
          <w:szCs w:val="24"/>
        </w:rPr>
        <w:t xml:space="preserve">1941. </w:t>
      </w:r>
      <w:r w:rsidR="0099273F">
        <w:rPr>
          <w:rFonts w:eastAsia="Times New Roman" w:cs="Times New Roman"/>
          <w:color w:val="222222"/>
          <w:szCs w:val="24"/>
        </w:rPr>
        <w:t>1941 is the closet we can get to full scale war mobilization, but still experienced significant unemployment.</w:t>
      </w:r>
      <w:r w:rsidRPr="000F79DD">
        <w:rPr>
          <w:rFonts w:eastAsia="Times New Roman" w:cs="Times New Roman"/>
          <w:color w:val="222222"/>
          <w:szCs w:val="24"/>
        </w:rPr>
        <w:t xml:space="preserve">  Because of TFP procyclicality, a cyclical adjustment will raise the TFP estimated growth rate for </w:t>
      </w:r>
      <w:r w:rsidR="00BF6EA4">
        <w:rPr>
          <w:rFonts w:eastAsia="Times New Roman" w:cs="Times New Roman"/>
          <w:color w:val="222222"/>
          <w:szCs w:val="24"/>
        </w:rPr>
        <w:t>1929-41 and lower it for 1941-48</w:t>
      </w:r>
      <w:r w:rsidRPr="000F79DD">
        <w:rPr>
          <w:rFonts w:eastAsia="Times New Roman" w:cs="Times New Roman"/>
          <w:color w:val="222222"/>
          <w:szCs w:val="24"/>
        </w:rPr>
        <w:t>.</w:t>
      </w:r>
      <w:r>
        <w:rPr>
          <w:rFonts w:eastAsia="Times New Roman" w:cs="Times New Roman"/>
          <w:color w:val="222222"/>
          <w:szCs w:val="24"/>
        </w:rPr>
        <w:t xml:space="preserve"> Field (2010) </w:t>
      </w:r>
      <w:r w:rsidRPr="000F79DD">
        <w:rPr>
          <w:rFonts w:eastAsia="Times New Roman" w:cs="Times New Roman"/>
          <w:color w:val="222222"/>
          <w:szCs w:val="24"/>
        </w:rPr>
        <w:t>estimate</w:t>
      </w:r>
      <w:r>
        <w:rPr>
          <w:rFonts w:eastAsia="Times New Roman" w:cs="Times New Roman"/>
          <w:color w:val="222222"/>
          <w:szCs w:val="24"/>
        </w:rPr>
        <w:t>d</w:t>
      </w:r>
      <w:r w:rsidRPr="000F79DD">
        <w:rPr>
          <w:rFonts w:eastAsia="Times New Roman" w:cs="Times New Roman"/>
          <w:color w:val="222222"/>
          <w:szCs w:val="24"/>
        </w:rPr>
        <w:t>, based on more than a century of data, that each one percentage point reduction in the unemployment rate ad</w:t>
      </w:r>
      <w:r>
        <w:rPr>
          <w:rFonts w:eastAsia="Times New Roman" w:cs="Times New Roman"/>
          <w:color w:val="222222"/>
          <w:szCs w:val="24"/>
        </w:rPr>
        <w:t>ds</w:t>
      </w:r>
      <w:r w:rsidRPr="000F79DD">
        <w:rPr>
          <w:rFonts w:eastAsia="Times New Roman" w:cs="Times New Roman"/>
          <w:color w:val="222222"/>
          <w:szCs w:val="24"/>
        </w:rPr>
        <w:t xml:space="preserve"> roughly 1 percentage point to the growth</w:t>
      </w:r>
      <w:r>
        <w:rPr>
          <w:rFonts w:eastAsia="Times New Roman" w:cs="Times New Roman"/>
          <w:color w:val="222222"/>
          <w:szCs w:val="24"/>
        </w:rPr>
        <w:t xml:space="preserve"> </w:t>
      </w:r>
      <w:r w:rsidR="00CF3F61">
        <w:rPr>
          <w:rFonts w:eastAsia="Times New Roman" w:cs="Times New Roman"/>
          <w:color w:val="222222"/>
          <w:szCs w:val="24"/>
        </w:rPr>
        <w:t xml:space="preserve">rate </w:t>
      </w:r>
      <w:r>
        <w:rPr>
          <w:rFonts w:eastAsia="Times New Roman" w:cs="Times New Roman"/>
          <w:color w:val="222222"/>
          <w:szCs w:val="24"/>
        </w:rPr>
        <w:t xml:space="preserve">of </w:t>
      </w:r>
      <w:r w:rsidR="001B5684">
        <w:rPr>
          <w:rFonts w:eastAsia="Times New Roman" w:cs="Times New Roman"/>
          <w:color w:val="222222"/>
          <w:szCs w:val="24"/>
        </w:rPr>
        <w:t xml:space="preserve">economy-wide </w:t>
      </w:r>
      <w:r>
        <w:rPr>
          <w:rFonts w:eastAsia="Times New Roman" w:cs="Times New Roman"/>
          <w:color w:val="222222"/>
          <w:szCs w:val="24"/>
        </w:rPr>
        <w:t>TFP, above and beyond trend (Field’s law).</w:t>
      </w:r>
      <w:r w:rsidR="004F4749">
        <w:rPr>
          <w:rStyle w:val="FootnoteReference"/>
          <w:rFonts w:eastAsia="Times New Roman" w:cs="Times New Roman"/>
          <w:color w:val="222222"/>
          <w:szCs w:val="24"/>
        </w:rPr>
        <w:footnoteReference w:id="10"/>
      </w:r>
      <w:r w:rsidRPr="000F79DD">
        <w:rPr>
          <w:rFonts w:eastAsia="Times New Roman" w:cs="Times New Roman"/>
          <w:color w:val="222222"/>
          <w:szCs w:val="24"/>
        </w:rPr>
        <w:t xml:space="preserve">  A cyclical </w:t>
      </w:r>
      <w:r w:rsidRPr="000F79DD">
        <w:rPr>
          <w:rFonts w:eastAsia="Times New Roman" w:cs="Times New Roman"/>
          <w:color w:val="222222"/>
          <w:szCs w:val="24"/>
        </w:rPr>
        <w:lastRenderedPageBreak/>
        <w:t xml:space="preserve">adjustment </w:t>
      </w:r>
      <w:r>
        <w:rPr>
          <w:rFonts w:eastAsia="Times New Roman" w:cs="Times New Roman"/>
          <w:color w:val="222222"/>
          <w:szCs w:val="24"/>
        </w:rPr>
        <w:t xml:space="preserve">based on this regularity </w:t>
      </w:r>
      <w:r w:rsidRPr="000F79DD">
        <w:rPr>
          <w:rFonts w:eastAsia="Times New Roman" w:cs="Times New Roman"/>
          <w:color w:val="222222"/>
          <w:szCs w:val="24"/>
        </w:rPr>
        <w:t>adds close to half a percentage point to the 1929-41 growth rate of TFP, and subtracts even more from the 1941-48 rate</w:t>
      </w:r>
      <w:r w:rsidR="000F186C">
        <w:rPr>
          <w:rFonts w:eastAsia="Times New Roman" w:cs="Times New Roman"/>
          <w:color w:val="222222"/>
          <w:szCs w:val="24"/>
        </w:rPr>
        <w:t xml:space="preserve"> (see below)</w:t>
      </w:r>
      <w:r w:rsidRPr="000F79DD">
        <w:rPr>
          <w:rFonts w:eastAsia="Times New Roman" w:cs="Times New Roman"/>
          <w:color w:val="222222"/>
          <w:szCs w:val="24"/>
        </w:rPr>
        <w:t xml:space="preserve">.  </w:t>
      </w:r>
    </w:p>
    <w:p w14:paraId="44B387F6" w14:textId="7C71123B" w:rsidR="00C870F4" w:rsidRPr="000F79DD" w:rsidRDefault="00CF3F61" w:rsidP="00C870F4">
      <w:pPr>
        <w:shd w:val="clear" w:color="auto" w:fill="FFFFFF"/>
        <w:spacing w:line="480" w:lineRule="auto"/>
        <w:ind w:firstLine="576"/>
        <w:rPr>
          <w:rFonts w:eastAsia="Times New Roman" w:cs="Times New Roman"/>
          <w:color w:val="222222"/>
          <w:szCs w:val="24"/>
        </w:rPr>
      </w:pPr>
      <w:r>
        <w:rPr>
          <w:rFonts w:eastAsia="Times New Roman" w:cs="Times New Roman"/>
          <w:color w:val="222222"/>
          <w:szCs w:val="24"/>
        </w:rPr>
        <w:t>Now consider productivity growth across the Depression years</w:t>
      </w:r>
      <w:r w:rsidR="00A5010A">
        <w:rPr>
          <w:rFonts w:eastAsia="Times New Roman" w:cs="Times New Roman"/>
          <w:color w:val="222222"/>
          <w:szCs w:val="24"/>
        </w:rPr>
        <w:t xml:space="preserve">.  </w:t>
      </w:r>
      <w:r w:rsidR="00B95A04">
        <w:rPr>
          <w:rFonts w:eastAsia="Times New Roman" w:cs="Times New Roman"/>
          <w:color w:val="222222"/>
          <w:szCs w:val="24"/>
        </w:rPr>
        <w:t>Again, i</w:t>
      </w:r>
      <w:r w:rsidR="00C870F4" w:rsidRPr="000F79DD">
        <w:rPr>
          <w:rFonts w:eastAsia="Times New Roman" w:cs="Times New Roman"/>
          <w:color w:val="222222"/>
          <w:szCs w:val="24"/>
        </w:rPr>
        <w:t xml:space="preserve">t makes a big difference whether we measure to </w:t>
      </w:r>
      <w:r w:rsidR="003B43DF">
        <w:rPr>
          <w:rFonts w:eastAsia="Times New Roman" w:cs="Times New Roman"/>
          <w:color w:val="222222"/>
          <w:szCs w:val="24"/>
        </w:rPr>
        <w:t xml:space="preserve">and from </w:t>
      </w:r>
      <w:r w:rsidR="00C870F4" w:rsidRPr="000F79DD">
        <w:rPr>
          <w:rFonts w:eastAsia="Times New Roman" w:cs="Times New Roman"/>
          <w:color w:val="222222"/>
          <w:szCs w:val="24"/>
        </w:rPr>
        <w:t xml:space="preserve">1941 </w:t>
      </w:r>
      <w:r w:rsidR="003F3E65">
        <w:rPr>
          <w:rFonts w:eastAsia="Times New Roman" w:cs="Times New Roman"/>
          <w:color w:val="222222"/>
          <w:szCs w:val="24"/>
        </w:rPr>
        <w:t>as opposed to 1940. Measured using chained index methods, real</w:t>
      </w:r>
      <w:r w:rsidR="00C870F4" w:rsidRPr="000F79DD">
        <w:rPr>
          <w:rFonts w:eastAsia="Times New Roman" w:cs="Times New Roman"/>
          <w:color w:val="222222"/>
          <w:szCs w:val="24"/>
        </w:rPr>
        <w:t xml:space="preserve"> output growth between 1929 and 1940 is 1.64 percent per year; between 1929 and 1941 it is 2.87 percent per year.</w:t>
      </w:r>
      <w:r w:rsidR="00C870F4">
        <w:rPr>
          <w:rFonts w:eastAsia="Times New Roman" w:cs="Times New Roman"/>
          <w:color w:val="222222"/>
          <w:szCs w:val="24"/>
        </w:rPr>
        <w:t xml:space="preserve">  </w:t>
      </w:r>
      <w:r w:rsidR="00C870F4" w:rsidRPr="000F79DD">
        <w:rPr>
          <w:rFonts w:eastAsia="Times New Roman" w:cs="Times New Roman"/>
          <w:color w:val="222222"/>
          <w:szCs w:val="24"/>
        </w:rPr>
        <w:t xml:space="preserve">Gordon has TFP growth for the 1930s at about 1.8 percent per year.  </w:t>
      </w:r>
      <w:r>
        <w:rPr>
          <w:rFonts w:eastAsia="Times New Roman" w:cs="Times New Roman"/>
          <w:color w:val="222222"/>
          <w:szCs w:val="24"/>
        </w:rPr>
        <w:t>C</w:t>
      </w:r>
      <w:r w:rsidR="00C870F4">
        <w:rPr>
          <w:rFonts w:eastAsia="Times New Roman" w:cs="Times New Roman"/>
          <w:color w:val="222222"/>
          <w:szCs w:val="24"/>
        </w:rPr>
        <w:t xml:space="preserve">ould </w:t>
      </w:r>
      <w:r>
        <w:rPr>
          <w:rFonts w:eastAsia="Times New Roman" w:cs="Times New Roman"/>
          <w:color w:val="222222"/>
          <w:szCs w:val="24"/>
        </w:rPr>
        <w:t xml:space="preserve">that </w:t>
      </w:r>
      <w:r w:rsidR="00C870F4">
        <w:rPr>
          <w:rFonts w:eastAsia="Times New Roman" w:cs="Times New Roman"/>
          <w:color w:val="222222"/>
          <w:szCs w:val="24"/>
        </w:rPr>
        <w:t xml:space="preserve">plausibly </w:t>
      </w:r>
      <w:r>
        <w:rPr>
          <w:rFonts w:eastAsia="Times New Roman" w:cs="Times New Roman"/>
          <w:color w:val="222222"/>
          <w:szCs w:val="24"/>
        </w:rPr>
        <w:t>proxy for the 1929-41 rate?</w:t>
      </w:r>
      <w:r w:rsidR="00C870F4">
        <w:rPr>
          <w:rFonts w:eastAsia="Times New Roman" w:cs="Times New Roman"/>
          <w:color w:val="222222"/>
          <w:szCs w:val="24"/>
        </w:rPr>
        <w:t xml:space="preserve"> </w:t>
      </w:r>
      <w:r w:rsidR="00C870F4" w:rsidRPr="000F79DD">
        <w:rPr>
          <w:rFonts w:eastAsia="Times New Roman" w:cs="Times New Roman"/>
          <w:color w:val="222222"/>
          <w:szCs w:val="24"/>
        </w:rPr>
        <w:t xml:space="preserve">Between 1929 and 1941, private sector </w:t>
      </w:r>
      <w:r w:rsidR="00C870F4">
        <w:rPr>
          <w:rFonts w:eastAsia="Times New Roman" w:cs="Times New Roman"/>
          <w:color w:val="222222"/>
          <w:szCs w:val="24"/>
        </w:rPr>
        <w:t>quality adjusted labor input was basically unchanged, declining at .06 percent per years (</w:t>
      </w:r>
      <w:r w:rsidR="00C870F4" w:rsidRPr="000F79DD">
        <w:rPr>
          <w:rFonts w:eastAsia="Times New Roman" w:cs="Times New Roman"/>
          <w:color w:val="222222"/>
          <w:szCs w:val="24"/>
        </w:rPr>
        <w:t>hours decreased at -.26 percent per year (Kendrick</w:t>
      </w:r>
      <w:r w:rsidR="00C870F4">
        <w:rPr>
          <w:rFonts w:eastAsia="Times New Roman" w:cs="Times New Roman"/>
          <w:color w:val="222222"/>
          <w:szCs w:val="24"/>
        </w:rPr>
        <w:t>, 1961, table XXII</w:t>
      </w:r>
      <w:r w:rsidR="00C870F4" w:rsidRPr="000F79DD">
        <w:rPr>
          <w:rFonts w:eastAsia="Times New Roman" w:cs="Times New Roman"/>
          <w:color w:val="222222"/>
          <w:szCs w:val="24"/>
        </w:rPr>
        <w:t>)</w:t>
      </w:r>
      <w:r w:rsidR="00C870F4">
        <w:rPr>
          <w:rFonts w:eastAsia="Times New Roman" w:cs="Times New Roman"/>
          <w:color w:val="222222"/>
          <w:szCs w:val="24"/>
        </w:rPr>
        <w:t>).</w:t>
      </w:r>
      <w:r w:rsidR="00C870F4" w:rsidRPr="000F79DD">
        <w:rPr>
          <w:rFonts w:eastAsia="Times New Roman" w:cs="Times New Roman"/>
          <w:color w:val="222222"/>
          <w:szCs w:val="24"/>
        </w:rPr>
        <w:t xml:space="preserve">  Private fixed assets increased at .22 percent per year (BEA</w:t>
      </w:r>
      <w:r w:rsidR="00F0543F">
        <w:rPr>
          <w:rFonts w:eastAsia="Times New Roman" w:cs="Times New Roman"/>
          <w:color w:val="222222"/>
          <w:szCs w:val="24"/>
        </w:rPr>
        <w:t>, Fixed Asset Table 1.2, line 3</w:t>
      </w:r>
      <w:r w:rsidR="00C870F4" w:rsidRPr="000F79DD">
        <w:rPr>
          <w:rFonts w:eastAsia="Times New Roman" w:cs="Times New Roman"/>
          <w:color w:val="222222"/>
          <w:szCs w:val="24"/>
        </w:rPr>
        <w:t xml:space="preserve">).   Weighting capital growth by .3 and labor growth by .7 we have inputs conventionally measured </w:t>
      </w:r>
      <w:r w:rsidR="00C870F4">
        <w:rPr>
          <w:rFonts w:eastAsia="Times New Roman" w:cs="Times New Roman"/>
          <w:color w:val="222222"/>
          <w:szCs w:val="24"/>
        </w:rPr>
        <w:t xml:space="preserve">increasing </w:t>
      </w:r>
      <w:r w:rsidR="00217283">
        <w:rPr>
          <w:rFonts w:eastAsia="Times New Roman" w:cs="Times New Roman"/>
          <w:color w:val="222222"/>
          <w:szCs w:val="24"/>
        </w:rPr>
        <w:t>hardly at all (</w:t>
      </w:r>
      <w:r w:rsidR="00C870F4">
        <w:rPr>
          <w:rFonts w:eastAsia="Times New Roman" w:cs="Times New Roman"/>
          <w:color w:val="222222"/>
          <w:szCs w:val="24"/>
        </w:rPr>
        <w:t>.07</w:t>
      </w:r>
      <w:r w:rsidR="00C870F4" w:rsidRPr="000F79DD">
        <w:rPr>
          <w:rFonts w:eastAsia="Times New Roman" w:cs="Times New Roman"/>
          <w:color w:val="222222"/>
          <w:szCs w:val="24"/>
        </w:rPr>
        <w:t xml:space="preserve"> percent a year</w:t>
      </w:r>
      <w:r w:rsidR="00217283">
        <w:rPr>
          <w:rFonts w:eastAsia="Times New Roman" w:cs="Times New Roman"/>
          <w:color w:val="222222"/>
          <w:szCs w:val="24"/>
        </w:rPr>
        <w:t>)</w:t>
      </w:r>
      <w:r w:rsidR="00C870F4" w:rsidRPr="000F79DD">
        <w:rPr>
          <w:rFonts w:eastAsia="Times New Roman" w:cs="Times New Roman"/>
          <w:color w:val="222222"/>
          <w:szCs w:val="24"/>
        </w:rPr>
        <w:t xml:space="preserve">.  </w:t>
      </w:r>
      <w:r>
        <w:rPr>
          <w:rFonts w:eastAsia="Times New Roman" w:cs="Times New Roman"/>
          <w:color w:val="222222"/>
          <w:szCs w:val="24"/>
        </w:rPr>
        <w:t>Combining this with the BEA data indicating</w:t>
      </w:r>
      <w:r w:rsidR="00C870F4">
        <w:rPr>
          <w:rFonts w:eastAsia="Times New Roman" w:cs="Times New Roman"/>
          <w:color w:val="222222"/>
          <w:szCs w:val="24"/>
        </w:rPr>
        <w:t xml:space="preserve"> output </w:t>
      </w:r>
      <w:r w:rsidR="00B31A2F">
        <w:rPr>
          <w:rFonts w:eastAsia="Times New Roman" w:cs="Times New Roman"/>
          <w:color w:val="222222"/>
          <w:szCs w:val="24"/>
        </w:rPr>
        <w:t>increasing</w:t>
      </w:r>
      <w:r w:rsidR="00C870F4">
        <w:rPr>
          <w:rFonts w:eastAsia="Times New Roman" w:cs="Times New Roman"/>
          <w:color w:val="222222"/>
          <w:szCs w:val="24"/>
        </w:rPr>
        <w:t xml:space="preserve"> at 2.87 percent per year, </w:t>
      </w:r>
      <w:r w:rsidR="00C870F4" w:rsidRPr="000F79DD">
        <w:rPr>
          <w:rFonts w:eastAsia="Times New Roman" w:cs="Times New Roman"/>
          <w:color w:val="222222"/>
          <w:szCs w:val="24"/>
        </w:rPr>
        <w:t>we have TFP between 192</w:t>
      </w:r>
      <w:r w:rsidR="00C870F4">
        <w:rPr>
          <w:rFonts w:eastAsia="Times New Roman" w:cs="Times New Roman"/>
          <w:color w:val="222222"/>
          <w:szCs w:val="24"/>
        </w:rPr>
        <w:t>9 and 1941 growing at about 2.8</w:t>
      </w:r>
      <w:r w:rsidR="00C870F4" w:rsidRPr="000F79DD">
        <w:rPr>
          <w:rFonts w:eastAsia="Times New Roman" w:cs="Times New Roman"/>
          <w:color w:val="222222"/>
          <w:szCs w:val="24"/>
        </w:rPr>
        <w:t xml:space="preserve"> percent per year.</w:t>
      </w:r>
      <w:r w:rsidR="00C870F4">
        <w:rPr>
          <w:rFonts w:eastAsia="Times New Roman" w:cs="Times New Roman"/>
          <w:color w:val="222222"/>
          <w:szCs w:val="24"/>
        </w:rPr>
        <w:t xml:space="preserve">  This is already a percentage point higher than suggested b</w:t>
      </w:r>
      <w:r w:rsidR="00625550">
        <w:rPr>
          <w:rFonts w:eastAsia="Times New Roman" w:cs="Times New Roman"/>
          <w:color w:val="222222"/>
          <w:szCs w:val="24"/>
        </w:rPr>
        <w:t>y Gordon’s table 16.5.  And it</w:t>
      </w:r>
      <w:r w:rsidR="00C870F4">
        <w:rPr>
          <w:rFonts w:eastAsia="Times New Roman" w:cs="Times New Roman"/>
          <w:color w:val="222222"/>
          <w:szCs w:val="24"/>
        </w:rPr>
        <w:t xml:space="preserve"> is before a cyclical adjustment.</w:t>
      </w:r>
    </w:p>
    <w:p w14:paraId="3673D251" w14:textId="1C3B9375" w:rsidR="00C870F4" w:rsidRDefault="00C870F4" w:rsidP="00C870F4">
      <w:pPr>
        <w:shd w:val="clear" w:color="auto" w:fill="FFFFFF"/>
        <w:spacing w:line="480" w:lineRule="auto"/>
        <w:ind w:firstLine="576"/>
        <w:rPr>
          <w:rFonts w:eastAsia="Times New Roman" w:cs="Times New Roman"/>
          <w:color w:val="222222"/>
          <w:szCs w:val="24"/>
        </w:rPr>
      </w:pPr>
      <w:r w:rsidRPr="000F79DD">
        <w:rPr>
          <w:rFonts w:eastAsia="Times New Roman" w:cs="Times New Roman"/>
          <w:color w:val="222222"/>
          <w:szCs w:val="24"/>
        </w:rPr>
        <w:t>Based</w:t>
      </w:r>
      <w:r>
        <w:rPr>
          <w:rFonts w:eastAsia="Times New Roman" w:cs="Times New Roman"/>
          <w:color w:val="222222"/>
          <w:szCs w:val="24"/>
        </w:rPr>
        <w:t xml:space="preserve"> on Field’s law, we can</w:t>
      </w:r>
      <w:r w:rsidRPr="000F79DD">
        <w:rPr>
          <w:rFonts w:eastAsia="Times New Roman" w:cs="Times New Roman"/>
          <w:color w:val="222222"/>
          <w:szCs w:val="24"/>
        </w:rPr>
        <w:t xml:space="preserve"> ask what the level of 1941 TFP would have been had unemployment been 3.8 percent (as in 1948) as opposed to the actual 9.9 percent.</w:t>
      </w:r>
      <w:r>
        <w:rPr>
          <w:rFonts w:eastAsia="Times New Roman" w:cs="Times New Roman"/>
          <w:color w:val="222222"/>
          <w:szCs w:val="24"/>
        </w:rPr>
        <w:t xml:space="preserve"> The 1941 </w:t>
      </w:r>
      <w:r w:rsidRPr="00BC5A74">
        <w:rPr>
          <w:rFonts w:eastAsia="Times New Roman" w:cs="Times New Roman"/>
          <w:color w:val="222222"/>
          <w:szCs w:val="24"/>
        </w:rPr>
        <w:t xml:space="preserve">level </w:t>
      </w:r>
      <w:r>
        <w:rPr>
          <w:rFonts w:eastAsia="Times New Roman" w:cs="Times New Roman"/>
          <w:color w:val="222222"/>
          <w:szCs w:val="24"/>
        </w:rPr>
        <w:t>would have been about 6 pe</w:t>
      </w:r>
      <w:r w:rsidR="00934162">
        <w:rPr>
          <w:rFonts w:eastAsia="Times New Roman" w:cs="Times New Roman"/>
          <w:color w:val="222222"/>
          <w:szCs w:val="24"/>
        </w:rPr>
        <w:t>rcent higher, which adds a</w:t>
      </w:r>
      <w:r w:rsidR="009175C3">
        <w:rPr>
          <w:rFonts w:eastAsia="Times New Roman" w:cs="Times New Roman"/>
          <w:color w:val="222222"/>
          <w:szCs w:val="24"/>
        </w:rPr>
        <w:t>pproximately .5</w:t>
      </w:r>
      <w:r>
        <w:rPr>
          <w:rFonts w:eastAsia="Times New Roman" w:cs="Times New Roman"/>
          <w:color w:val="222222"/>
          <w:szCs w:val="24"/>
        </w:rPr>
        <w:t xml:space="preserve"> </w:t>
      </w:r>
      <w:r w:rsidR="004A6C46">
        <w:rPr>
          <w:rFonts w:eastAsia="Times New Roman" w:cs="Times New Roman"/>
          <w:color w:val="222222"/>
          <w:szCs w:val="24"/>
        </w:rPr>
        <w:t xml:space="preserve">log </w:t>
      </w:r>
      <w:r>
        <w:rPr>
          <w:rFonts w:eastAsia="Times New Roman" w:cs="Times New Roman"/>
          <w:color w:val="222222"/>
          <w:szCs w:val="24"/>
        </w:rPr>
        <w:t xml:space="preserve">percentage points to a TFP growth rate calculated over the period 1929 – 1941 </w:t>
      </w:r>
      <w:r w:rsidR="00887E6C">
        <w:rPr>
          <w:rFonts w:eastAsia="Times New Roman" w:cs="Times New Roman"/>
          <w:color w:val="222222"/>
          <w:szCs w:val="24"/>
        </w:rPr>
        <w:t>(</w:t>
      </w:r>
      <w:r w:rsidR="009175C3">
        <w:rPr>
          <w:rFonts w:eastAsia="Times New Roman" w:cs="Times New Roman"/>
          <w:color w:val="222222"/>
          <w:szCs w:val="24"/>
        </w:rPr>
        <w:t>2.8 +.49 = 3.29</w:t>
      </w:r>
      <w:r>
        <w:rPr>
          <w:rFonts w:eastAsia="Times New Roman" w:cs="Times New Roman"/>
          <w:color w:val="222222"/>
          <w:szCs w:val="24"/>
        </w:rPr>
        <w:t xml:space="preserve">).  At the same time, </w:t>
      </w:r>
      <w:r w:rsidR="001A79C9">
        <w:rPr>
          <w:rFonts w:eastAsia="Times New Roman" w:cs="Times New Roman"/>
          <w:color w:val="222222"/>
          <w:szCs w:val="24"/>
        </w:rPr>
        <w:t>u</w:t>
      </w:r>
      <w:r w:rsidRPr="000F79DD">
        <w:rPr>
          <w:rFonts w:eastAsia="Times New Roman" w:cs="Times New Roman"/>
          <w:color w:val="222222"/>
          <w:szCs w:val="24"/>
        </w:rPr>
        <w:t>sing the adjusted 1941 level and calculating</w:t>
      </w:r>
      <w:r>
        <w:rPr>
          <w:rFonts w:eastAsia="Times New Roman" w:cs="Times New Roman"/>
          <w:color w:val="222222"/>
          <w:szCs w:val="24"/>
        </w:rPr>
        <w:t xml:space="preserve"> growth to 1948, we have </w:t>
      </w:r>
      <w:r w:rsidRPr="000F79DD">
        <w:rPr>
          <w:rFonts w:eastAsia="Times New Roman" w:cs="Times New Roman"/>
          <w:color w:val="222222"/>
          <w:szCs w:val="24"/>
        </w:rPr>
        <w:t>TFP growth</w:t>
      </w:r>
      <w:r>
        <w:rPr>
          <w:rFonts w:eastAsia="Times New Roman" w:cs="Times New Roman"/>
          <w:color w:val="222222"/>
          <w:szCs w:val="24"/>
        </w:rPr>
        <w:t xml:space="preserve"> across the war years</w:t>
      </w:r>
      <w:r w:rsidRPr="000F79DD">
        <w:rPr>
          <w:rFonts w:eastAsia="Times New Roman" w:cs="Times New Roman"/>
          <w:color w:val="222222"/>
          <w:szCs w:val="24"/>
        </w:rPr>
        <w:t xml:space="preserve"> </w:t>
      </w:r>
      <w:r w:rsidRPr="00BC5A74">
        <w:rPr>
          <w:rFonts w:eastAsia="Times New Roman" w:cs="Times New Roman"/>
          <w:color w:val="222222"/>
          <w:szCs w:val="24"/>
        </w:rPr>
        <w:t xml:space="preserve">of </w:t>
      </w:r>
      <w:r w:rsidR="000F186C">
        <w:rPr>
          <w:rFonts w:eastAsia="Times New Roman" w:cs="Times New Roman"/>
          <w:bCs/>
          <w:color w:val="222222"/>
          <w:szCs w:val="24"/>
        </w:rPr>
        <w:t>1.</w:t>
      </w:r>
      <w:r w:rsidR="00837C5D">
        <w:rPr>
          <w:rFonts w:eastAsia="Times New Roman" w:cs="Times New Roman"/>
          <w:bCs/>
          <w:color w:val="222222"/>
          <w:szCs w:val="24"/>
        </w:rPr>
        <w:t>80</w:t>
      </w:r>
      <w:r w:rsidRPr="000F79DD">
        <w:rPr>
          <w:rFonts w:eastAsia="Times New Roman" w:cs="Times New Roman"/>
          <w:color w:val="222222"/>
          <w:szCs w:val="24"/>
        </w:rPr>
        <w:t xml:space="preserve"> percent.</w:t>
      </w:r>
      <w:r w:rsidR="00A016F1">
        <w:rPr>
          <w:rStyle w:val="FootnoteReference"/>
          <w:rFonts w:eastAsia="Times New Roman" w:cs="Times New Roman"/>
          <w:color w:val="222222"/>
          <w:szCs w:val="24"/>
        </w:rPr>
        <w:footnoteReference w:id="11"/>
      </w:r>
      <w:r>
        <w:rPr>
          <w:rFonts w:eastAsia="Times New Roman" w:cs="Times New Roman"/>
          <w:color w:val="222222"/>
          <w:szCs w:val="24"/>
        </w:rPr>
        <w:t xml:space="preserve"> </w:t>
      </w:r>
      <w:r w:rsidRPr="000F79DD">
        <w:rPr>
          <w:rFonts w:eastAsia="Times New Roman" w:cs="Times New Roman"/>
          <w:color w:val="222222"/>
          <w:szCs w:val="24"/>
        </w:rPr>
        <w:t>Gordon’s table 16.5 suggest</w:t>
      </w:r>
      <w:r>
        <w:rPr>
          <w:rFonts w:eastAsia="Times New Roman" w:cs="Times New Roman"/>
          <w:color w:val="222222"/>
          <w:szCs w:val="24"/>
        </w:rPr>
        <w:t>s</w:t>
      </w:r>
      <w:r w:rsidRPr="000F79DD">
        <w:rPr>
          <w:rFonts w:eastAsia="Times New Roman" w:cs="Times New Roman"/>
          <w:color w:val="222222"/>
          <w:szCs w:val="24"/>
        </w:rPr>
        <w:t xml:space="preserve"> TFP growth in the 1940s alm</w:t>
      </w:r>
      <w:r>
        <w:rPr>
          <w:rFonts w:eastAsia="Times New Roman" w:cs="Times New Roman"/>
          <w:color w:val="222222"/>
          <w:szCs w:val="24"/>
        </w:rPr>
        <w:t xml:space="preserve">ost twice </w:t>
      </w:r>
      <w:r w:rsidR="00BF1962">
        <w:rPr>
          <w:rFonts w:eastAsia="Times New Roman" w:cs="Times New Roman"/>
          <w:color w:val="222222"/>
          <w:szCs w:val="24"/>
        </w:rPr>
        <w:lastRenderedPageBreak/>
        <w:t xml:space="preserve">as high as during the </w:t>
      </w:r>
      <w:r>
        <w:rPr>
          <w:rFonts w:eastAsia="Times New Roman" w:cs="Times New Roman"/>
          <w:color w:val="222222"/>
          <w:szCs w:val="24"/>
        </w:rPr>
        <w:t xml:space="preserve">1930s: 3.4 vs 1.8 percent per year. </w:t>
      </w:r>
      <w:r w:rsidRPr="000F79DD">
        <w:rPr>
          <w:rFonts w:eastAsia="Times New Roman" w:cs="Times New Roman"/>
          <w:color w:val="222222"/>
          <w:szCs w:val="24"/>
        </w:rPr>
        <w:t xml:space="preserve"> </w:t>
      </w:r>
      <w:r w:rsidR="002F77DF">
        <w:rPr>
          <w:rFonts w:eastAsia="Times New Roman" w:cs="Times New Roman"/>
          <w:color w:val="222222"/>
          <w:szCs w:val="24"/>
        </w:rPr>
        <w:t>My</w:t>
      </w:r>
      <w:r w:rsidRPr="000F79DD">
        <w:rPr>
          <w:rFonts w:eastAsia="Times New Roman" w:cs="Times New Roman"/>
          <w:color w:val="222222"/>
          <w:szCs w:val="24"/>
        </w:rPr>
        <w:t xml:space="preserve"> calculations </w:t>
      </w:r>
      <w:r>
        <w:rPr>
          <w:rFonts w:eastAsia="Times New Roman" w:cs="Times New Roman"/>
          <w:color w:val="222222"/>
          <w:szCs w:val="24"/>
        </w:rPr>
        <w:t>suggest</w:t>
      </w:r>
      <w:r w:rsidRPr="000F79DD">
        <w:rPr>
          <w:rFonts w:eastAsia="Times New Roman" w:cs="Times New Roman"/>
          <w:color w:val="222222"/>
          <w:szCs w:val="24"/>
        </w:rPr>
        <w:t xml:space="preserve"> that </w:t>
      </w:r>
      <w:r w:rsidR="000F186C">
        <w:rPr>
          <w:rFonts w:eastAsia="Times New Roman" w:cs="Times New Roman"/>
          <w:color w:val="222222"/>
          <w:szCs w:val="24"/>
        </w:rPr>
        <w:t xml:space="preserve">the </w:t>
      </w:r>
      <w:r w:rsidR="001335F4">
        <w:rPr>
          <w:rFonts w:eastAsia="Times New Roman" w:cs="Times New Roman"/>
          <w:color w:val="222222"/>
          <w:szCs w:val="24"/>
        </w:rPr>
        <w:t xml:space="preserve">relevant peak to peak TFP </w:t>
      </w:r>
      <w:r w:rsidR="000F186C">
        <w:rPr>
          <w:rFonts w:eastAsia="Times New Roman" w:cs="Times New Roman"/>
          <w:color w:val="222222"/>
          <w:szCs w:val="24"/>
        </w:rPr>
        <w:t>growth rates</w:t>
      </w:r>
      <w:r w:rsidR="001335F4">
        <w:rPr>
          <w:rFonts w:eastAsia="Times New Roman" w:cs="Times New Roman"/>
          <w:color w:val="222222"/>
          <w:szCs w:val="24"/>
        </w:rPr>
        <w:t xml:space="preserve"> </w:t>
      </w:r>
      <w:r w:rsidR="004F4749">
        <w:rPr>
          <w:rFonts w:eastAsia="Times New Roman" w:cs="Times New Roman"/>
          <w:color w:val="222222"/>
          <w:szCs w:val="24"/>
        </w:rPr>
        <w:t xml:space="preserve">across the 1930s and across the war years </w:t>
      </w:r>
      <w:r w:rsidR="001335F4">
        <w:rPr>
          <w:rFonts w:eastAsia="Times New Roman" w:cs="Times New Roman"/>
          <w:color w:val="222222"/>
          <w:szCs w:val="24"/>
        </w:rPr>
        <w:t>were almost exactly the reverse</w:t>
      </w:r>
      <w:r w:rsidR="000F186C">
        <w:rPr>
          <w:rFonts w:eastAsia="Times New Roman" w:cs="Times New Roman"/>
          <w:color w:val="222222"/>
          <w:szCs w:val="24"/>
        </w:rPr>
        <w:t xml:space="preserve">:  </w:t>
      </w:r>
      <w:r w:rsidR="00652D5E">
        <w:rPr>
          <w:rFonts w:eastAsia="Times New Roman" w:cs="Times New Roman"/>
          <w:color w:val="222222"/>
          <w:szCs w:val="24"/>
        </w:rPr>
        <w:t xml:space="preserve">3.29 percent per year between 1929 and 1941 vs. </w:t>
      </w:r>
      <w:r w:rsidR="000F186C">
        <w:rPr>
          <w:rFonts w:eastAsia="Times New Roman" w:cs="Times New Roman"/>
          <w:color w:val="222222"/>
          <w:szCs w:val="24"/>
        </w:rPr>
        <w:t>1.</w:t>
      </w:r>
      <w:r w:rsidR="00837C5D">
        <w:rPr>
          <w:rFonts w:eastAsia="Times New Roman" w:cs="Times New Roman"/>
          <w:color w:val="222222"/>
          <w:szCs w:val="24"/>
        </w:rPr>
        <w:t>80</w:t>
      </w:r>
      <w:r w:rsidR="001335F4">
        <w:rPr>
          <w:rFonts w:eastAsia="Times New Roman" w:cs="Times New Roman"/>
          <w:color w:val="222222"/>
          <w:szCs w:val="24"/>
        </w:rPr>
        <w:t xml:space="preserve"> percent per year between </w:t>
      </w:r>
      <w:r w:rsidR="000E1A29">
        <w:rPr>
          <w:rFonts w:eastAsia="Times New Roman" w:cs="Times New Roman"/>
          <w:color w:val="222222"/>
          <w:szCs w:val="24"/>
        </w:rPr>
        <w:t>1941</w:t>
      </w:r>
      <w:r w:rsidR="001335F4">
        <w:rPr>
          <w:rFonts w:eastAsia="Times New Roman" w:cs="Times New Roman"/>
          <w:color w:val="222222"/>
          <w:szCs w:val="24"/>
        </w:rPr>
        <w:t xml:space="preserve"> and 19</w:t>
      </w:r>
      <w:r w:rsidR="000E1A29">
        <w:rPr>
          <w:rFonts w:eastAsia="Times New Roman" w:cs="Times New Roman"/>
          <w:color w:val="222222"/>
          <w:szCs w:val="24"/>
        </w:rPr>
        <w:t>48</w:t>
      </w:r>
      <w:r w:rsidR="001335F4">
        <w:rPr>
          <w:rFonts w:eastAsia="Times New Roman" w:cs="Times New Roman"/>
          <w:color w:val="222222"/>
          <w:szCs w:val="24"/>
        </w:rPr>
        <w:t>.</w:t>
      </w:r>
      <w:r w:rsidRPr="000F79DD">
        <w:rPr>
          <w:rFonts w:eastAsia="Times New Roman" w:cs="Times New Roman"/>
          <w:color w:val="222222"/>
          <w:szCs w:val="24"/>
        </w:rPr>
        <w:t xml:space="preserve"> </w:t>
      </w:r>
      <w:r>
        <w:rPr>
          <w:rFonts w:eastAsia="Times New Roman" w:cs="Times New Roman"/>
          <w:color w:val="222222"/>
          <w:szCs w:val="24"/>
        </w:rPr>
        <w:t xml:space="preserve"> </w:t>
      </w:r>
    </w:p>
    <w:p w14:paraId="2E1A8D8B" w14:textId="77777777" w:rsidR="002F266E" w:rsidRDefault="002F266E" w:rsidP="002F266E">
      <w:pPr>
        <w:shd w:val="clear" w:color="auto" w:fill="FFFFFF"/>
        <w:spacing w:line="480" w:lineRule="auto"/>
        <w:rPr>
          <w:rFonts w:eastAsia="Times New Roman" w:cs="Times New Roman"/>
          <w:color w:val="222222"/>
          <w:szCs w:val="24"/>
        </w:rPr>
      </w:pPr>
      <w:r>
        <w:rPr>
          <w:rFonts w:eastAsia="Times New Roman" w:cs="Times New Roman"/>
          <w:b/>
          <w:color w:val="222222"/>
          <w:szCs w:val="24"/>
        </w:rPr>
        <w:t xml:space="preserve">Adjustments to Labor and Capital </w:t>
      </w:r>
      <w:r w:rsidRPr="002F266E">
        <w:rPr>
          <w:rFonts w:eastAsia="Times New Roman" w:cs="Times New Roman"/>
          <w:b/>
          <w:color w:val="222222"/>
          <w:szCs w:val="24"/>
        </w:rPr>
        <w:t>Input</w:t>
      </w:r>
    </w:p>
    <w:p w14:paraId="78FA15CD" w14:textId="77777777" w:rsidR="002F266E" w:rsidRDefault="002F266E" w:rsidP="002F266E">
      <w:pPr>
        <w:shd w:val="clear" w:color="auto" w:fill="FFFFFF"/>
        <w:spacing w:line="480" w:lineRule="auto"/>
        <w:rPr>
          <w:rFonts w:eastAsia="Times New Roman" w:cs="Times New Roman"/>
          <w:color w:val="222222"/>
          <w:szCs w:val="24"/>
        </w:rPr>
      </w:pPr>
      <w:r>
        <w:rPr>
          <w:rFonts w:eastAsia="Times New Roman" w:cs="Times New Roman"/>
          <w:color w:val="222222"/>
          <w:szCs w:val="24"/>
        </w:rPr>
        <w:t xml:space="preserve">       </w:t>
      </w:r>
      <w:r w:rsidRPr="002F266E">
        <w:rPr>
          <w:rFonts w:eastAsia="Times New Roman" w:cs="Times New Roman"/>
          <w:color w:val="222222"/>
          <w:szCs w:val="24"/>
        </w:rPr>
        <w:t>Over</w:t>
      </w:r>
      <w:r>
        <w:rPr>
          <w:rFonts w:eastAsia="Times New Roman" w:cs="Times New Roman"/>
          <w:color w:val="222222"/>
          <w:szCs w:val="24"/>
        </w:rPr>
        <w:t xml:space="preserve"> his career Gordon has made</w:t>
      </w:r>
      <w:r w:rsidRPr="000F79DD">
        <w:rPr>
          <w:rFonts w:eastAsia="Times New Roman" w:cs="Times New Roman"/>
          <w:color w:val="222222"/>
          <w:szCs w:val="24"/>
        </w:rPr>
        <w:t xml:space="preserve"> various adjustments to labor and capital input that change</w:t>
      </w:r>
      <w:r>
        <w:rPr>
          <w:rFonts w:eastAsia="Times New Roman" w:cs="Times New Roman"/>
          <w:color w:val="222222"/>
          <w:szCs w:val="24"/>
        </w:rPr>
        <w:t>d</w:t>
      </w:r>
      <w:r w:rsidRPr="000F79DD">
        <w:rPr>
          <w:rFonts w:eastAsia="Times New Roman" w:cs="Times New Roman"/>
          <w:color w:val="222222"/>
          <w:szCs w:val="24"/>
        </w:rPr>
        <w:t xml:space="preserve"> measured TFP growth rates between benchmark years.  He originally identified 1928-50 as evidencing peak TFP growth, and it is this chronology that he featured in several editions of his macroeconomics textbook, beginning in 1993 and extending through the eighth edition in 2000. Sometime around 2000 he made a new set of adjustments that tipped the balance towards 1950-64.</w:t>
      </w:r>
      <w:r>
        <w:rPr>
          <w:rFonts w:eastAsia="Times New Roman" w:cs="Times New Roman"/>
          <w:color w:val="222222"/>
          <w:szCs w:val="24"/>
        </w:rPr>
        <w:t xml:space="preserve"> Field (2003; 2011, pp. 27-30) expressed skepticism about the net effect of these adjustments and the then newfound enthusiasm for 1950-64.</w:t>
      </w:r>
    </w:p>
    <w:p w14:paraId="76D66D2E" w14:textId="16C3C2EB" w:rsidR="003A7B3A" w:rsidRDefault="002F266E" w:rsidP="002F266E">
      <w:pPr>
        <w:shd w:val="clear" w:color="auto" w:fill="FFFFFF"/>
        <w:spacing w:line="480" w:lineRule="auto"/>
        <w:rPr>
          <w:rFonts w:eastAsia="Times New Roman" w:cs="Times New Roman"/>
          <w:color w:val="222222"/>
          <w:szCs w:val="24"/>
        </w:rPr>
      </w:pPr>
      <w:r>
        <w:rPr>
          <w:rFonts w:eastAsia="Times New Roman" w:cs="Times New Roman"/>
          <w:color w:val="222222"/>
          <w:szCs w:val="24"/>
        </w:rPr>
        <w:t xml:space="preserve">      </w:t>
      </w:r>
      <w:r w:rsidRPr="000F79DD">
        <w:rPr>
          <w:rFonts w:eastAsia="Times New Roman" w:cs="Times New Roman"/>
          <w:color w:val="222222"/>
          <w:szCs w:val="24"/>
        </w:rPr>
        <w:t xml:space="preserve"> </w:t>
      </w:r>
      <w:r>
        <w:rPr>
          <w:rFonts w:eastAsia="Times New Roman" w:cs="Times New Roman"/>
          <w:color w:val="222222"/>
          <w:szCs w:val="24"/>
        </w:rPr>
        <w:t xml:space="preserve">In </w:t>
      </w:r>
      <w:r>
        <w:rPr>
          <w:rFonts w:eastAsia="Times New Roman" w:cs="Times New Roman"/>
          <w:color w:val="222222"/>
          <w:szCs w:val="24"/>
          <w:u w:val="single"/>
        </w:rPr>
        <w:t xml:space="preserve">The Rise and </w:t>
      </w:r>
      <w:r w:rsidRPr="00C50326">
        <w:rPr>
          <w:rFonts w:eastAsia="Times New Roman" w:cs="Times New Roman"/>
          <w:color w:val="222222"/>
          <w:szCs w:val="24"/>
          <w:u w:val="single"/>
        </w:rPr>
        <w:t>Fall</w:t>
      </w:r>
      <w:r>
        <w:rPr>
          <w:rFonts w:eastAsia="Times New Roman" w:cs="Times New Roman"/>
          <w:color w:val="222222"/>
          <w:szCs w:val="24"/>
          <w:u w:val="single"/>
        </w:rPr>
        <w:t xml:space="preserve"> of American Growth</w:t>
      </w:r>
      <w:r>
        <w:rPr>
          <w:rFonts w:eastAsia="Times New Roman" w:cs="Times New Roman"/>
          <w:color w:val="222222"/>
          <w:szCs w:val="24"/>
        </w:rPr>
        <w:t xml:space="preserve">, </w:t>
      </w:r>
      <w:r w:rsidRPr="00C50326">
        <w:rPr>
          <w:rFonts w:eastAsia="Times New Roman" w:cs="Times New Roman"/>
          <w:color w:val="222222"/>
          <w:szCs w:val="24"/>
        </w:rPr>
        <w:t>Gordon</w:t>
      </w:r>
      <w:r>
        <w:rPr>
          <w:rFonts w:eastAsia="Times New Roman" w:cs="Times New Roman"/>
          <w:color w:val="222222"/>
          <w:szCs w:val="24"/>
        </w:rPr>
        <w:t xml:space="preserve"> </w:t>
      </w:r>
      <w:r w:rsidRPr="000F79DD">
        <w:rPr>
          <w:rFonts w:eastAsia="Times New Roman" w:cs="Times New Roman"/>
          <w:color w:val="222222"/>
          <w:szCs w:val="24"/>
        </w:rPr>
        <w:t xml:space="preserve">shifted back to locating his </w:t>
      </w:r>
      <w:r>
        <w:rPr>
          <w:rFonts w:eastAsia="Times New Roman" w:cs="Times New Roman"/>
          <w:color w:val="222222"/>
          <w:szCs w:val="24"/>
        </w:rPr>
        <w:t xml:space="preserve">great leap </w:t>
      </w:r>
      <w:r w:rsidRPr="000F79DD">
        <w:rPr>
          <w:rFonts w:eastAsia="Times New Roman" w:cs="Times New Roman"/>
          <w:color w:val="222222"/>
          <w:szCs w:val="24"/>
        </w:rPr>
        <w:t>in the second quarter of the</w:t>
      </w:r>
      <w:r>
        <w:rPr>
          <w:rFonts w:eastAsia="Times New Roman" w:cs="Times New Roman"/>
          <w:color w:val="222222"/>
          <w:szCs w:val="24"/>
        </w:rPr>
        <w:t xml:space="preserve"> century, but continue to propose several </w:t>
      </w:r>
      <w:r w:rsidR="00C870F4" w:rsidRPr="000F79DD">
        <w:rPr>
          <w:rFonts w:eastAsia="Times New Roman" w:cs="Times New Roman"/>
          <w:color w:val="222222"/>
          <w:szCs w:val="24"/>
        </w:rPr>
        <w:t>capital service flow adjustments.</w:t>
      </w:r>
      <w:r w:rsidR="00C870F4">
        <w:rPr>
          <w:rFonts w:eastAsia="Times New Roman" w:cs="Times New Roman"/>
          <w:color w:val="222222"/>
          <w:szCs w:val="24"/>
        </w:rPr>
        <w:t xml:space="preserve">  </w:t>
      </w:r>
      <w:r>
        <w:rPr>
          <w:rFonts w:eastAsia="Times New Roman" w:cs="Times New Roman"/>
          <w:color w:val="222222"/>
          <w:szCs w:val="24"/>
        </w:rPr>
        <w:t>These include</w:t>
      </w:r>
      <w:r w:rsidR="00C870F4" w:rsidRPr="000F79DD">
        <w:rPr>
          <w:rFonts w:eastAsia="Times New Roman" w:cs="Times New Roman"/>
          <w:color w:val="222222"/>
          <w:szCs w:val="24"/>
        </w:rPr>
        <w:t xml:space="preserve"> adding government </w:t>
      </w:r>
      <w:r w:rsidR="002E4D11">
        <w:rPr>
          <w:rFonts w:eastAsia="Times New Roman" w:cs="Times New Roman"/>
          <w:color w:val="222222"/>
          <w:szCs w:val="24"/>
        </w:rPr>
        <w:t>capital</w:t>
      </w:r>
      <w:r w:rsidR="00C870F4" w:rsidRPr="000F79DD">
        <w:rPr>
          <w:rFonts w:eastAsia="Times New Roman" w:cs="Times New Roman"/>
          <w:color w:val="222222"/>
          <w:szCs w:val="24"/>
        </w:rPr>
        <w:t>,</w:t>
      </w:r>
      <w:r w:rsidR="002E4D11">
        <w:rPr>
          <w:rStyle w:val="FootnoteReference"/>
          <w:rFonts w:eastAsia="Times New Roman" w:cs="Times New Roman"/>
          <w:color w:val="222222"/>
          <w:szCs w:val="24"/>
        </w:rPr>
        <w:footnoteReference w:id="12"/>
      </w:r>
      <w:r w:rsidR="00C870F4" w:rsidRPr="000F79DD">
        <w:rPr>
          <w:rFonts w:eastAsia="Times New Roman" w:cs="Times New Roman"/>
          <w:color w:val="222222"/>
          <w:szCs w:val="24"/>
        </w:rPr>
        <w:t xml:space="preserve"> making an adjustment for variable depreciation rates, and reweighting the </w:t>
      </w:r>
      <w:r w:rsidR="00C870F4">
        <w:rPr>
          <w:rFonts w:eastAsia="Times New Roman" w:cs="Times New Roman"/>
          <w:color w:val="222222"/>
          <w:szCs w:val="24"/>
        </w:rPr>
        <w:t xml:space="preserve">equipment and structures </w:t>
      </w:r>
      <w:r w:rsidR="00C870F4" w:rsidRPr="000F79DD">
        <w:rPr>
          <w:rFonts w:eastAsia="Times New Roman" w:cs="Times New Roman"/>
          <w:color w:val="222222"/>
          <w:szCs w:val="24"/>
        </w:rPr>
        <w:t>capital stocks as proxies for service flow</w:t>
      </w:r>
      <w:r w:rsidR="00C870F4">
        <w:rPr>
          <w:rFonts w:eastAsia="Times New Roman" w:cs="Times New Roman"/>
          <w:color w:val="222222"/>
          <w:szCs w:val="24"/>
        </w:rPr>
        <w:t xml:space="preserve">. The rationale is that </w:t>
      </w:r>
      <w:r w:rsidR="00C870F4" w:rsidRPr="000F79DD">
        <w:rPr>
          <w:rFonts w:eastAsia="Times New Roman" w:cs="Times New Roman"/>
          <w:color w:val="222222"/>
          <w:szCs w:val="24"/>
        </w:rPr>
        <w:t>equipment has a higher user cost of capital because a higher proportion of it depreciates each year.</w:t>
      </w:r>
      <w:r w:rsidR="00C870F4">
        <w:rPr>
          <w:rFonts w:eastAsia="Times New Roman" w:cs="Times New Roman"/>
          <w:color w:val="222222"/>
          <w:szCs w:val="24"/>
        </w:rPr>
        <w:t xml:space="preserve"> </w:t>
      </w:r>
      <w:r w:rsidR="00A96DD3">
        <w:rPr>
          <w:rFonts w:eastAsia="Times New Roman" w:cs="Times New Roman"/>
          <w:color w:val="222222"/>
          <w:szCs w:val="24"/>
        </w:rPr>
        <w:t xml:space="preserve"> </w:t>
      </w:r>
      <w:r w:rsidR="00A43676">
        <w:rPr>
          <w:rFonts w:eastAsia="Times New Roman" w:cs="Times New Roman"/>
          <w:color w:val="222222"/>
          <w:szCs w:val="24"/>
        </w:rPr>
        <w:t>T</w:t>
      </w:r>
      <w:r w:rsidR="003A2AE5">
        <w:rPr>
          <w:rFonts w:eastAsia="Times New Roman" w:cs="Times New Roman"/>
          <w:color w:val="222222"/>
          <w:szCs w:val="24"/>
        </w:rPr>
        <w:t>he</w:t>
      </w:r>
      <w:r w:rsidR="00A43676">
        <w:rPr>
          <w:rFonts w:eastAsia="Times New Roman" w:cs="Times New Roman"/>
          <w:color w:val="222222"/>
          <w:szCs w:val="24"/>
        </w:rPr>
        <w:t xml:space="preserve"> adjusted series </w:t>
      </w:r>
      <w:r w:rsidR="008841EE">
        <w:rPr>
          <w:rFonts w:eastAsia="Times New Roman" w:cs="Times New Roman"/>
          <w:color w:val="222222"/>
          <w:szCs w:val="24"/>
        </w:rPr>
        <w:t>allocates a higher fraction</w:t>
      </w:r>
      <w:r w:rsidR="00A43676">
        <w:rPr>
          <w:rFonts w:eastAsia="Times New Roman" w:cs="Times New Roman"/>
          <w:color w:val="222222"/>
          <w:szCs w:val="24"/>
        </w:rPr>
        <w:t xml:space="preserve"> of a </w:t>
      </w:r>
      <w:r w:rsidR="00AB7E7E">
        <w:rPr>
          <w:rFonts w:eastAsia="Times New Roman" w:cs="Times New Roman"/>
          <w:color w:val="222222"/>
          <w:szCs w:val="24"/>
        </w:rPr>
        <w:t xml:space="preserve">higher </w:t>
      </w:r>
      <w:r w:rsidR="00A43676">
        <w:rPr>
          <w:rFonts w:eastAsia="Times New Roman" w:cs="Times New Roman"/>
          <w:color w:val="222222"/>
          <w:szCs w:val="24"/>
        </w:rPr>
        <w:t xml:space="preserve">log point increase </w:t>
      </w:r>
      <w:r w:rsidR="00625550">
        <w:rPr>
          <w:rFonts w:eastAsia="Times New Roman" w:cs="Times New Roman"/>
          <w:color w:val="222222"/>
          <w:szCs w:val="24"/>
        </w:rPr>
        <w:t xml:space="preserve">between 1928 and 1950 </w:t>
      </w:r>
      <w:r w:rsidR="008841EE">
        <w:rPr>
          <w:rFonts w:eastAsia="Times New Roman" w:cs="Times New Roman"/>
          <w:color w:val="222222"/>
          <w:szCs w:val="24"/>
        </w:rPr>
        <w:t>to</w:t>
      </w:r>
      <w:r w:rsidR="007B4A7F">
        <w:rPr>
          <w:rFonts w:eastAsia="Times New Roman" w:cs="Times New Roman"/>
          <w:color w:val="222222"/>
          <w:szCs w:val="24"/>
        </w:rPr>
        <w:t xml:space="preserve"> </w:t>
      </w:r>
      <w:r w:rsidR="008841EE">
        <w:rPr>
          <w:rFonts w:eastAsia="Times New Roman" w:cs="Times New Roman"/>
          <w:color w:val="222222"/>
          <w:szCs w:val="24"/>
        </w:rPr>
        <w:t>the</w:t>
      </w:r>
      <w:r w:rsidR="00AB7E7E">
        <w:rPr>
          <w:rFonts w:eastAsia="Times New Roman" w:cs="Times New Roman"/>
          <w:color w:val="222222"/>
          <w:szCs w:val="24"/>
        </w:rPr>
        <w:t xml:space="preserve"> </w:t>
      </w:r>
      <w:r w:rsidR="007B4A7F">
        <w:rPr>
          <w:rFonts w:eastAsia="Times New Roman" w:cs="Times New Roman"/>
          <w:color w:val="222222"/>
          <w:szCs w:val="24"/>
        </w:rPr>
        <w:t>1928-41 peri</w:t>
      </w:r>
      <w:r w:rsidR="00625550">
        <w:rPr>
          <w:rFonts w:eastAsia="Times New Roman" w:cs="Times New Roman"/>
          <w:color w:val="222222"/>
          <w:szCs w:val="24"/>
        </w:rPr>
        <w:t>od, and a lower fraction</w:t>
      </w:r>
      <w:r w:rsidR="007B4A7F">
        <w:rPr>
          <w:rFonts w:eastAsia="Times New Roman" w:cs="Times New Roman"/>
          <w:color w:val="222222"/>
          <w:szCs w:val="24"/>
        </w:rPr>
        <w:t xml:space="preserve"> to </w:t>
      </w:r>
      <w:r w:rsidR="00063B17">
        <w:rPr>
          <w:rFonts w:eastAsia="Times New Roman" w:cs="Times New Roman"/>
          <w:color w:val="222222"/>
          <w:szCs w:val="24"/>
        </w:rPr>
        <w:t xml:space="preserve">1941-50.  </w:t>
      </w:r>
      <w:r w:rsidR="006F70EB">
        <w:rPr>
          <w:rFonts w:eastAsia="Times New Roman" w:cs="Times New Roman"/>
          <w:color w:val="222222"/>
          <w:szCs w:val="24"/>
        </w:rPr>
        <w:t>T</w:t>
      </w:r>
      <w:r w:rsidR="00063B17">
        <w:rPr>
          <w:rFonts w:eastAsia="Times New Roman" w:cs="Times New Roman"/>
          <w:color w:val="222222"/>
          <w:szCs w:val="24"/>
        </w:rPr>
        <w:t xml:space="preserve">his will reduce </w:t>
      </w:r>
      <w:r w:rsidR="00625550">
        <w:rPr>
          <w:rFonts w:eastAsia="Times New Roman" w:cs="Times New Roman"/>
          <w:color w:val="222222"/>
          <w:szCs w:val="24"/>
        </w:rPr>
        <w:t xml:space="preserve">estimates of </w:t>
      </w:r>
      <w:r w:rsidR="003A7B3A">
        <w:rPr>
          <w:rFonts w:eastAsia="Times New Roman" w:cs="Times New Roman"/>
          <w:color w:val="222222"/>
          <w:szCs w:val="24"/>
        </w:rPr>
        <w:t xml:space="preserve">TFP increases for the entire economy in the former period </w:t>
      </w:r>
      <w:r w:rsidR="006F70EB">
        <w:rPr>
          <w:rFonts w:eastAsia="Times New Roman" w:cs="Times New Roman"/>
          <w:color w:val="222222"/>
          <w:szCs w:val="24"/>
        </w:rPr>
        <w:t xml:space="preserve">by </w:t>
      </w:r>
      <w:r w:rsidR="006F70EB">
        <w:rPr>
          <w:rFonts w:eastAsia="Times New Roman" w:cs="Times New Roman"/>
          <w:color w:val="222222"/>
          <w:szCs w:val="24"/>
        </w:rPr>
        <w:lastRenderedPageBreak/>
        <w:t xml:space="preserve">more than it does in the latter </w:t>
      </w:r>
      <w:r w:rsidR="00C565F3">
        <w:rPr>
          <w:rFonts w:eastAsia="Times New Roman" w:cs="Times New Roman"/>
          <w:color w:val="222222"/>
          <w:szCs w:val="24"/>
        </w:rPr>
        <w:t xml:space="preserve">period. </w:t>
      </w:r>
      <w:r w:rsidR="00652D5E">
        <w:rPr>
          <w:rFonts w:eastAsia="Times New Roman" w:cs="Times New Roman"/>
          <w:color w:val="222222"/>
          <w:szCs w:val="24"/>
        </w:rPr>
        <w:t xml:space="preserve">But it is not enough to lead to the conclusion </w:t>
      </w:r>
      <w:r w:rsidR="00BA74D1">
        <w:rPr>
          <w:rFonts w:eastAsia="Times New Roman" w:cs="Times New Roman"/>
          <w:color w:val="222222"/>
          <w:szCs w:val="24"/>
        </w:rPr>
        <w:t xml:space="preserve">that such growth was higher across the war years </w:t>
      </w:r>
      <w:r w:rsidR="00625550">
        <w:rPr>
          <w:rFonts w:eastAsia="Times New Roman" w:cs="Times New Roman"/>
          <w:color w:val="222222"/>
          <w:szCs w:val="24"/>
        </w:rPr>
        <w:t xml:space="preserve">as opposed to across the </w:t>
      </w:r>
      <w:r w:rsidR="00BA74D1">
        <w:rPr>
          <w:rFonts w:eastAsia="Times New Roman" w:cs="Times New Roman"/>
          <w:color w:val="222222"/>
          <w:szCs w:val="24"/>
        </w:rPr>
        <w:t>Depression</w:t>
      </w:r>
      <w:r w:rsidR="00625550">
        <w:rPr>
          <w:rFonts w:eastAsia="Times New Roman" w:cs="Times New Roman"/>
          <w:color w:val="222222"/>
          <w:szCs w:val="24"/>
        </w:rPr>
        <w:t xml:space="preserve"> years</w:t>
      </w:r>
      <w:r w:rsidR="00652D5E">
        <w:rPr>
          <w:rFonts w:eastAsia="Times New Roman" w:cs="Times New Roman"/>
          <w:color w:val="222222"/>
          <w:szCs w:val="24"/>
        </w:rPr>
        <w:t>.</w:t>
      </w:r>
      <w:r w:rsidR="00C565F3">
        <w:rPr>
          <w:rFonts w:eastAsia="Times New Roman" w:cs="Times New Roman"/>
          <w:color w:val="222222"/>
          <w:szCs w:val="24"/>
        </w:rPr>
        <w:t xml:space="preserve">  </w:t>
      </w:r>
    </w:p>
    <w:p w14:paraId="01A9552D" w14:textId="7C2CA2BE" w:rsidR="005C0A7B" w:rsidRDefault="00625550" w:rsidP="005C0A7B">
      <w:pPr>
        <w:shd w:val="clear" w:color="auto" w:fill="FFFFFF"/>
        <w:spacing w:line="480" w:lineRule="auto"/>
        <w:ind w:firstLine="576"/>
        <w:rPr>
          <w:rFonts w:eastAsia="Times New Roman" w:cs="Times New Roman"/>
          <w:color w:val="222222"/>
          <w:szCs w:val="24"/>
        </w:rPr>
      </w:pPr>
      <w:r>
        <w:rPr>
          <w:rFonts w:eastAsia="Times New Roman" w:cs="Times New Roman"/>
          <w:color w:val="222222"/>
          <w:szCs w:val="24"/>
        </w:rPr>
        <w:t>Replacing Gordon’s “official BEA capital” with his</w:t>
      </w:r>
      <w:r w:rsidR="00187673">
        <w:rPr>
          <w:rFonts w:eastAsia="Times New Roman" w:cs="Times New Roman"/>
          <w:color w:val="222222"/>
          <w:szCs w:val="24"/>
        </w:rPr>
        <w:t xml:space="preserve"> </w:t>
      </w:r>
      <w:r w:rsidR="008D3069">
        <w:rPr>
          <w:rFonts w:eastAsia="Times New Roman" w:cs="Times New Roman"/>
          <w:color w:val="222222"/>
          <w:szCs w:val="24"/>
        </w:rPr>
        <w:t xml:space="preserve">adjusted capital </w:t>
      </w:r>
      <w:r w:rsidR="007D20A5">
        <w:rPr>
          <w:rFonts w:eastAsia="Times New Roman" w:cs="Times New Roman"/>
          <w:color w:val="222222"/>
          <w:szCs w:val="24"/>
        </w:rPr>
        <w:t>(</w:t>
      </w:r>
      <w:r w:rsidR="00313385">
        <w:rPr>
          <w:rFonts w:eastAsia="Times New Roman" w:cs="Times New Roman"/>
          <w:color w:val="222222"/>
          <w:szCs w:val="24"/>
        </w:rPr>
        <w:t>which includes</w:t>
      </w:r>
      <w:r w:rsidR="007D20A5">
        <w:rPr>
          <w:rFonts w:eastAsia="Times New Roman" w:cs="Times New Roman"/>
          <w:color w:val="222222"/>
          <w:szCs w:val="24"/>
        </w:rPr>
        <w:t xml:space="preserve"> all three of the above adjustments) </w:t>
      </w:r>
      <w:r w:rsidR="008D3069">
        <w:rPr>
          <w:rFonts w:eastAsia="Times New Roman" w:cs="Times New Roman"/>
          <w:color w:val="222222"/>
          <w:szCs w:val="24"/>
        </w:rPr>
        <w:t>add</w:t>
      </w:r>
      <w:r w:rsidR="00531EB7">
        <w:rPr>
          <w:rFonts w:eastAsia="Times New Roman" w:cs="Times New Roman"/>
          <w:color w:val="222222"/>
          <w:szCs w:val="24"/>
        </w:rPr>
        <w:t xml:space="preserve">s </w:t>
      </w:r>
      <w:r w:rsidR="00151D69">
        <w:rPr>
          <w:rFonts w:eastAsia="Times New Roman" w:cs="Times New Roman"/>
          <w:color w:val="222222"/>
          <w:szCs w:val="24"/>
        </w:rPr>
        <w:t>20.9</w:t>
      </w:r>
      <w:r w:rsidR="00531EB7">
        <w:rPr>
          <w:rFonts w:eastAsia="Times New Roman" w:cs="Times New Roman"/>
          <w:color w:val="222222"/>
          <w:szCs w:val="24"/>
        </w:rPr>
        <w:t xml:space="preserve"> log points t</w:t>
      </w:r>
      <w:r w:rsidR="00C870F4" w:rsidRPr="000F79DD">
        <w:rPr>
          <w:rFonts w:eastAsia="Times New Roman" w:cs="Times New Roman"/>
          <w:color w:val="222222"/>
          <w:szCs w:val="24"/>
        </w:rPr>
        <w:t xml:space="preserve">o 1941 </w:t>
      </w:r>
      <w:r w:rsidR="00531EB7">
        <w:rPr>
          <w:rFonts w:eastAsia="Times New Roman" w:cs="Times New Roman"/>
          <w:color w:val="222222"/>
          <w:szCs w:val="24"/>
        </w:rPr>
        <w:t xml:space="preserve">capital </w:t>
      </w:r>
      <w:r w:rsidR="00C870F4" w:rsidRPr="000F79DD">
        <w:rPr>
          <w:rFonts w:eastAsia="Times New Roman" w:cs="Times New Roman"/>
          <w:color w:val="222222"/>
          <w:szCs w:val="24"/>
        </w:rPr>
        <w:t xml:space="preserve">levels </w:t>
      </w:r>
      <w:r w:rsidR="00531EB7">
        <w:rPr>
          <w:rFonts w:eastAsia="Times New Roman" w:cs="Times New Roman"/>
          <w:color w:val="222222"/>
          <w:szCs w:val="24"/>
        </w:rPr>
        <w:t>as compared with</w:t>
      </w:r>
      <w:r w:rsidR="00C870F4">
        <w:rPr>
          <w:rFonts w:eastAsia="Times New Roman" w:cs="Times New Roman"/>
          <w:color w:val="222222"/>
          <w:szCs w:val="24"/>
        </w:rPr>
        <w:t xml:space="preserve"> 1928</w:t>
      </w:r>
      <w:r w:rsidR="00887E6C">
        <w:rPr>
          <w:rFonts w:eastAsia="Times New Roman" w:cs="Times New Roman"/>
          <w:color w:val="222222"/>
          <w:szCs w:val="24"/>
        </w:rPr>
        <w:t xml:space="preserve"> (Gordon, 2016, table A-2, </w:t>
      </w:r>
      <w:r w:rsidR="00151D69">
        <w:rPr>
          <w:rFonts w:eastAsia="Times New Roman" w:cs="Times New Roman"/>
          <w:color w:val="222222"/>
          <w:szCs w:val="24"/>
        </w:rPr>
        <w:t xml:space="preserve">line 5, </w:t>
      </w:r>
      <w:r w:rsidR="00887E6C">
        <w:rPr>
          <w:rFonts w:eastAsia="Times New Roman" w:cs="Times New Roman"/>
          <w:color w:val="222222"/>
          <w:szCs w:val="24"/>
        </w:rPr>
        <w:t>p. 666)</w:t>
      </w:r>
      <w:r>
        <w:rPr>
          <w:rFonts w:eastAsia="Times New Roman" w:cs="Times New Roman"/>
          <w:color w:val="222222"/>
          <w:szCs w:val="24"/>
        </w:rPr>
        <w:t>.  This</w:t>
      </w:r>
      <w:r w:rsidR="005C0A7B">
        <w:rPr>
          <w:rFonts w:eastAsia="Times New Roman" w:cs="Times New Roman"/>
          <w:color w:val="222222"/>
          <w:szCs w:val="24"/>
        </w:rPr>
        <w:t xml:space="preserve"> implies an</w:t>
      </w:r>
      <w:r w:rsidR="00B66C6F">
        <w:rPr>
          <w:rFonts w:eastAsia="Times New Roman" w:cs="Times New Roman"/>
          <w:color w:val="222222"/>
          <w:szCs w:val="24"/>
        </w:rPr>
        <w:t xml:space="preserve"> upward adjustment of 1.</w:t>
      </w:r>
      <w:r w:rsidR="00F402AC">
        <w:rPr>
          <w:rFonts w:eastAsia="Times New Roman" w:cs="Times New Roman"/>
          <w:color w:val="222222"/>
          <w:szCs w:val="24"/>
        </w:rPr>
        <w:t>6</w:t>
      </w:r>
      <w:r w:rsidR="00C870F4">
        <w:rPr>
          <w:rFonts w:eastAsia="Times New Roman" w:cs="Times New Roman"/>
          <w:color w:val="222222"/>
          <w:szCs w:val="24"/>
        </w:rPr>
        <w:t xml:space="preserve"> percent per year</w:t>
      </w:r>
      <w:r w:rsidR="00EB49D7">
        <w:rPr>
          <w:rFonts w:eastAsia="Times New Roman" w:cs="Times New Roman"/>
          <w:color w:val="222222"/>
          <w:szCs w:val="24"/>
        </w:rPr>
        <w:t xml:space="preserve"> (</w:t>
      </w:r>
      <w:r w:rsidR="00F402AC">
        <w:rPr>
          <w:rFonts w:eastAsia="Times New Roman" w:cs="Times New Roman"/>
          <w:color w:val="222222"/>
          <w:szCs w:val="24"/>
        </w:rPr>
        <w:t>20.9</w:t>
      </w:r>
      <w:r w:rsidR="00EB49D7">
        <w:rPr>
          <w:rFonts w:eastAsia="Times New Roman" w:cs="Times New Roman"/>
          <w:color w:val="222222"/>
          <w:szCs w:val="24"/>
        </w:rPr>
        <w:t>/13)</w:t>
      </w:r>
      <w:r w:rsidR="00C870F4">
        <w:rPr>
          <w:rFonts w:eastAsia="Times New Roman" w:cs="Times New Roman"/>
          <w:color w:val="222222"/>
          <w:szCs w:val="24"/>
        </w:rPr>
        <w:t xml:space="preserve"> in the </w:t>
      </w:r>
      <w:r w:rsidR="00E03401">
        <w:rPr>
          <w:rFonts w:eastAsia="Times New Roman" w:cs="Times New Roman"/>
          <w:color w:val="222222"/>
          <w:szCs w:val="24"/>
        </w:rPr>
        <w:t xml:space="preserve">continuously compounded </w:t>
      </w:r>
      <w:r w:rsidR="00C870F4">
        <w:rPr>
          <w:rFonts w:eastAsia="Times New Roman" w:cs="Times New Roman"/>
          <w:color w:val="222222"/>
          <w:szCs w:val="24"/>
        </w:rPr>
        <w:t>growth rate of capital between 1928 and 1941</w:t>
      </w:r>
      <w:r w:rsidR="00887E6C">
        <w:rPr>
          <w:rFonts w:eastAsia="Times New Roman" w:cs="Times New Roman"/>
          <w:color w:val="222222"/>
          <w:szCs w:val="24"/>
        </w:rPr>
        <w:t xml:space="preserve">. </w:t>
      </w:r>
      <w:r w:rsidR="00C870F4">
        <w:rPr>
          <w:rFonts w:eastAsia="Times New Roman" w:cs="Times New Roman"/>
          <w:color w:val="222222"/>
          <w:szCs w:val="24"/>
        </w:rPr>
        <w:t xml:space="preserve"> Assuming a capital share of .3, this ad</w:t>
      </w:r>
      <w:r w:rsidR="00E03401">
        <w:rPr>
          <w:rFonts w:eastAsia="Times New Roman" w:cs="Times New Roman"/>
          <w:color w:val="222222"/>
          <w:szCs w:val="24"/>
        </w:rPr>
        <w:t>j</w:t>
      </w:r>
      <w:r w:rsidR="00B66C6F">
        <w:rPr>
          <w:rFonts w:eastAsia="Times New Roman" w:cs="Times New Roman"/>
          <w:color w:val="222222"/>
          <w:szCs w:val="24"/>
        </w:rPr>
        <w:t>ustment would chop .</w:t>
      </w:r>
      <w:r w:rsidR="00D75437">
        <w:rPr>
          <w:rFonts w:eastAsia="Times New Roman" w:cs="Times New Roman"/>
          <w:color w:val="222222"/>
          <w:szCs w:val="24"/>
        </w:rPr>
        <w:t>48</w:t>
      </w:r>
      <w:r w:rsidR="00E03401">
        <w:rPr>
          <w:rFonts w:eastAsia="Times New Roman" w:cs="Times New Roman"/>
          <w:color w:val="222222"/>
          <w:szCs w:val="24"/>
        </w:rPr>
        <w:t xml:space="preserve"> </w:t>
      </w:r>
      <w:r w:rsidR="00FB28D2">
        <w:rPr>
          <w:rFonts w:eastAsia="Times New Roman" w:cs="Times New Roman"/>
          <w:color w:val="222222"/>
          <w:szCs w:val="24"/>
        </w:rPr>
        <w:t>percentage points off my</w:t>
      </w:r>
      <w:r w:rsidR="009175C3">
        <w:rPr>
          <w:rFonts w:eastAsia="Times New Roman" w:cs="Times New Roman"/>
          <w:color w:val="222222"/>
          <w:szCs w:val="24"/>
        </w:rPr>
        <w:t xml:space="preserve"> estimate of 3.29</w:t>
      </w:r>
      <w:r w:rsidR="00C870F4">
        <w:rPr>
          <w:rFonts w:eastAsia="Times New Roman" w:cs="Times New Roman"/>
          <w:color w:val="222222"/>
          <w:szCs w:val="24"/>
        </w:rPr>
        <w:t xml:space="preserve"> percent per year between 1929 an</w:t>
      </w:r>
      <w:r w:rsidR="0024351C">
        <w:rPr>
          <w:rFonts w:eastAsia="Times New Roman" w:cs="Times New Roman"/>
          <w:color w:val="222222"/>
          <w:szCs w:val="24"/>
        </w:rPr>
        <w:t>d 1941, bringing it down to 2.</w:t>
      </w:r>
      <w:r w:rsidR="009175C3">
        <w:rPr>
          <w:rFonts w:eastAsia="Times New Roman" w:cs="Times New Roman"/>
          <w:color w:val="222222"/>
          <w:szCs w:val="24"/>
        </w:rPr>
        <w:t>81</w:t>
      </w:r>
      <w:r w:rsidR="00003196">
        <w:rPr>
          <w:rFonts w:eastAsia="Times New Roman" w:cs="Times New Roman"/>
          <w:color w:val="222222"/>
          <w:szCs w:val="24"/>
        </w:rPr>
        <w:t>.</w:t>
      </w:r>
    </w:p>
    <w:p w14:paraId="18C717FB" w14:textId="5EF4F665" w:rsidR="00C870F4" w:rsidRDefault="00B255A0" w:rsidP="005C0A7B">
      <w:pPr>
        <w:shd w:val="clear" w:color="auto" w:fill="FFFFFF"/>
        <w:spacing w:line="480" w:lineRule="auto"/>
        <w:ind w:firstLine="576"/>
        <w:rPr>
          <w:rFonts w:eastAsia="Times New Roman" w:cs="Times New Roman"/>
          <w:color w:val="222222"/>
          <w:szCs w:val="24"/>
        </w:rPr>
      </w:pPr>
      <w:r>
        <w:rPr>
          <w:rFonts w:eastAsia="Times New Roman" w:cs="Times New Roman"/>
          <w:color w:val="222222"/>
          <w:szCs w:val="24"/>
        </w:rPr>
        <w:t xml:space="preserve">The adjustments also raise capital growth </w:t>
      </w:r>
      <w:r w:rsidR="00C80A45">
        <w:rPr>
          <w:rFonts w:eastAsia="Times New Roman" w:cs="Times New Roman"/>
          <w:color w:val="222222"/>
          <w:szCs w:val="24"/>
        </w:rPr>
        <w:t xml:space="preserve">rates </w:t>
      </w:r>
      <w:r>
        <w:rPr>
          <w:rFonts w:eastAsia="Times New Roman" w:cs="Times New Roman"/>
          <w:color w:val="222222"/>
          <w:szCs w:val="24"/>
        </w:rPr>
        <w:t>for the period 1941 to 1950, but not by nearly as much</w:t>
      </w:r>
      <w:r w:rsidR="00003196">
        <w:rPr>
          <w:rFonts w:eastAsia="Times New Roman" w:cs="Times New Roman"/>
          <w:color w:val="222222"/>
          <w:szCs w:val="24"/>
        </w:rPr>
        <w:t xml:space="preserve">.  </w:t>
      </w:r>
      <w:r w:rsidR="00126893">
        <w:rPr>
          <w:rFonts w:eastAsia="Times New Roman" w:cs="Times New Roman"/>
          <w:color w:val="222222"/>
          <w:szCs w:val="24"/>
        </w:rPr>
        <w:t>Official BEA capital increases 18 log points</w:t>
      </w:r>
      <w:r w:rsidR="008C11EE">
        <w:rPr>
          <w:rFonts w:eastAsia="Times New Roman" w:cs="Times New Roman"/>
          <w:color w:val="222222"/>
          <w:szCs w:val="24"/>
        </w:rPr>
        <w:t xml:space="preserve">, whereas the adjusted series goes up </w:t>
      </w:r>
      <w:r w:rsidR="000E10DE">
        <w:rPr>
          <w:rFonts w:eastAsia="Times New Roman" w:cs="Times New Roman"/>
          <w:color w:val="222222"/>
          <w:szCs w:val="24"/>
        </w:rPr>
        <w:t>21.2 points</w:t>
      </w:r>
      <w:r>
        <w:rPr>
          <w:rFonts w:eastAsia="Times New Roman" w:cs="Times New Roman"/>
          <w:color w:val="222222"/>
          <w:szCs w:val="24"/>
        </w:rPr>
        <w:t>, a 3.2 log point differen</w:t>
      </w:r>
      <w:r w:rsidR="00636911">
        <w:rPr>
          <w:rFonts w:eastAsia="Times New Roman" w:cs="Times New Roman"/>
          <w:color w:val="222222"/>
          <w:szCs w:val="24"/>
        </w:rPr>
        <w:t>ce</w:t>
      </w:r>
      <w:r w:rsidR="00D612E7">
        <w:rPr>
          <w:rFonts w:eastAsia="Times New Roman" w:cs="Times New Roman"/>
          <w:color w:val="222222"/>
          <w:szCs w:val="24"/>
        </w:rPr>
        <w:t>, which, dividing by 9, would add</w:t>
      </w:r>
      <w:r w:rsidR="00891821">
        <w:rPr>
          <w:rFonts w:eastAsia="Times New Roman" w:cs="Times New Roman"/>
          <w:color w:val="222222"/>
          <w:szCs w:val="24"/>
        </w:rPr>
        <w:t xml:space="preserve"> .36 percentage points per year to the continuously compounded growth rate of capital between 1941 and 1950.  </w:t>
      </w:r>
      <w:r w:rsidR="008C11EE">
        <w:rPr>
          <w:rFonts w:eastAsia="Times New Roman" w:cs="Times New Roman"/>
          <w:color w:val="222222"/>
          <w:szCs w:val="24"/>
        </w:rPr>
        <w:t xml:space="preserve"> </w:t>
      </w:r>
      <w:r w:rsidR="00636911">
        <w:rPr>
          <w:rFonts w:eastAsia="Times New Roman" w:cs="Times New Roman"/>
          <w:color w:val="222222"/>
          <w:szCs w:val="24"/>
        </w:rPr>
        <w:t>Again</w:t>
      </w:r>
      <w:r w:rsidR="0026493A">
        <w:rPr>
          <w:rFonts w:eastAsia="Times New Roman" w:cs="Times New Roman"/>
          <w:color w:val="222222"/>
          <w:szCs w:val="24"/>
        </w:rPr>
        <w:t xml:space="preserve"> using .3 for capital’s share,</w:t>
      </w:r>
      <w:r w:rsidR="00815DB0">
        <w:rPr>
          <w:rFonts w:eastAsia="Times New Roman" w:cs="Times New Roman"/>
          <w:color w:val="222222"/>
          <w:szCs w:val="24"/>
        </w:rPr>
        <w:t xml:space="preserve"> and assuming Gordon’s revised capital growth rate between 1941 and 19</w:t>
      </w:r>
      <w:r w:rsidR="009175C3">
        <w:rPr>
          <w:rFonts w:eastAsia="Times New Roman" w:cs="Times New Roman"/>
          <w:color w:val="222222"/>
          <w:szCs w:val="24"/>
        </w:rPr>
        <w:t>50</w:t>
      </w:r>
      <w:r w:rsidR="00815DB0">
        <w:rPr>
          <w:rFonts w:eastAsia="Times New Roman" w:cs="Times New Roman"/>
          <w:color w:val="222222"/>
          <w:szCs w:val="24"/>
        </w:rPr>
        <w:t xml:space="preserve"> would look similar to that between 1941 and 19</w:t>
      </w:r>
      <w:r w:rsidR="009175C3">
        <w:rPr>
          <w:rFonts w:eastAsia="Times New Roman" w:cs="Times New Roman"/>
          <w:color w:val="222222"/>
          <w:szCs w:val="24"/>
        </w:rPr>
        <w:t>48</w:t>
      </w:r>
      <w:r w:rsidR="00815DB0">
        <w:rPr>
          <w:rFonts w:eastAsia="Times New Roman" w:cs="Times New Roman"/>
          <w:color w:val="222222"/>
          <w:szCs w:val="24"/>
        </w:rPr>
        <w:t xml:space="preserve">, </w:t>
      </w:r>
      <w:r w:rsidR="0026493A">
        <w:rPr>
          <w:rFonts w:eastAsia="Times New Roman" w:cs="Times New Roman"/>
          <w:color w:val="222222"/>
          <w:szCs w:val="24"/>
        </w:rPr>
        <w:t>this wo</w:t>
      </w:r>
      <w:r w:rsidR="002815CC">
        <w:rPr>
          <w:rFonts w:eastAsia="Times New Roman" w:cs="Times New Roman"/>
          <w:color w:val="222222"/>
          <w:szCs w:val="24"/>
        </w:rPr>
        <w:t xml:space="preserve">uld </w:t>
      </w:r>
      <w:r w:rsidR="00B26733">
        <w:rPr>
          <w:rFonts w:eastAsia="Times New Roman" w:cs="Times New Roman"/>
          <w:color w:val="222222"/>
          <w:szCs w:val="24"/>
        </w:rPr>
        <w:t xml:space="preserve">reduce my </w:t>
      </w:r>
      <w:r w:rsidR="00792AC0">
        <w:rPr>
          <w:rFonts w:eastAsia="Times New Roman" w:cs="Times New Roman"/>
          <w:color w:val="222222"/>
          <w:szCs w:val="24"/>
        </w:rPr>
        <w:t>estimate of TFP growth</w:t>
      </w:r>
      <w:r w:rsidR="00B26733">
        <w:rPr>
          <w:rFonts w:eastAsia="Times New Roman" w:cs="Times New Roman"/>
          <w:color w:val="222222"/>
          <w:szCs w:val="24"/>
        </w:rPr>
        <w:t xml:space="preserve"> </w:t>
      </w:r>
      <w:r w:rsidR="00714C55">
        <w:rPr>
          <w:rFonts w:eastAsia="Times New Roman" w:cs="Times New Roman"/>
          <w:color w:val="222222"/>
          <w:szCs w:val="24"/>
        </w:rPr>
        <w:t xml:space="preserve">between 1941 and 1948 </w:t>
      </w:r>
      <w:r w:rsidR="00B26733">
        <w:rPr>
          <w:rFonts w:eastAsia="Times New Roman" w:cs="Times New Roman"/>
          <w:color w:val="222222"/>
          <w:szCs w:val="24"/>
        </w:rPr>
        <w:t>by .11 percentage point</w:t>
      </w:r>
      <w:r w:rsidR="00FF70C7">
        <w:rPr>
          <w:rFonts w:eastAsia="Times New Roman" w:cs="Times New Roman"/>
          <w:color w:val="222222"/>
          <w:szCs w:val="24"/>
        </w:rPr>
        <w:t xml:space="preserve">s, bringing it down from </w:t>
      </w:r>
      <w:r w:rsidR="006B78F2">
        <w:rPr>
          <w:rFonts w:eastAsia="Times New Roman" w:cs="Times New Roman"/>
          <w:color w:val="222222"/>
          <w:szCs w:val="24"/>
        </w:rPr>
        <w:t>1.</w:t>
      </w:r>
      <w:r w:rsidR="00837C5D">
        <w:rPr>
          <w:rFonts w:eastAsia="Times New Roman" w:cs="Times New Roman"/>
          <w:color w:val="222222"/>
          <w:szCs w:val="24"/>
        </w:rPr>
        <w:t>80</w:t>
      </w:r>
      <w:r w:rsidR="009F34EC">
        <w:rPr>
          <w:rFonts w:eastAsia="Times New Roman" w:cs="Times New Roman"/>
          <w:color w:val="222222"/>
          <w:szCs w:val="24"/>
        </w:rPr>
        <w:t xml:space="preserve"> percent estimate</w:t>
      </w:r>
      <w:r w:rsidR="00FF70C7">
        <w:rPr>
          <w:rFonts w:eastAsia="Times New Roman" w:cs="Times New Roman"/>
          <w:color w:val="222222"/>
          <w:szCs w:val="24"/>
        </w:rPr>
        <w:t xml:space="preserve"> per year</w:t>
      </w:r>
      <w:r w:rsidR="006B78F2">
        <w:rPr>
          <w:rFonts w:eastAsia="Times New Roman" w:cs="Times New Roman"/>
          <w:color w:val="222222"/>
          <w:szCs w:val="24"/>
        </w:rPr>
        <w:t xml:space="preserve"> to 1.6</w:t>
      </w:r>
      <w:r w:rsidR="00837C5D">
        <w:rPr>
          <w:rFonts w:eastAsia="Times New Roman" w:cs="Times New Roman"/>
          <w:color w:val="222222"/>
          <w:szCs w:val="24"/>
        </w:rPr>
        <w:t>9</w:t>
      </w:r>
      <w:r w:rsidR="009175C3">
        <w:rPr>
          <w:rFonts w:eastAsia="Times New Roman" w:cs="Times New Roman"/>
          <w:color w:val="222222"/>
          <w:szCs w:val="24"/>
        </w:rPr>
        <w:t>, as compared with 2.81</w:t>
      </w:r>
      <w:r w:rsidR="00A15EA3">
        <w:rPr>
          <w:rFonts w:eastAsia="Times New Roman" w:cs="Times New Roman"/>
          <w:color w:val="222222"/>
          <w:szCs w:val="24"/>
        </w:rPr>
        <w:t xml:space="preserve"> across the Depression years (1929-41)</w:t>
      </w:r>
      <w:r w:rsidR="004C10BE">
        <w:rPr>
          <w:rFonts w:eastAsia="Times New Roman" w:cs="Times New Roman"/>
          <w:color w:val="222222"/>
          <w:szCs w:val="24"/>
        </w:rPr>
        <w:t>.</w:t>
      </w:r>
      <w:r w:rsidR="003875D1">
        <w:rPr>
          <w:rFonts w:eastAsia="Times New Roman" w:cs="Times New Roman"/>
          <w:color w:val="222222"/>
          <w:szCs w:val="24"/>
        </w:rPr>
        <w:t xml:space="preserve"> </w:t>
      </w:r>
      <w:r w:rsidR="005E46B3">
        <w:rPr>
          <w:rFonts w:eastAsia="Times New Roman" w:cs="Times New Roman"/>
          <w:color w:val="222222"/>
          <w:szCs w:val="24"/>
        </w:rPr>
        <w:t>W</w:t>
      </w:r>
      <w:r w:rsidR="009E0DFD">
        <w:rPr>
          <w:rFonts w:eastAsia="Times New Roman" w:cs="Times New Roman"/>
          <w:color w:val="222222"/>
          <w:szCs w:val="24"/>
        </w:rPr>
        <w:t>hatever their merits</w:t>
      </w:r>
      <w:r w:rsidR="00D55FC4">
        <w:rPr>
          <w:rFonts w:eastAsia="Times New Roman" w:cs="Times New Roman"/>
          <w:color w:val="222222"/>
          <w:szCs w:val="24"/>
        </w:rPr>
        <w:t xml:space="preserve">, </w:t>
      </w:r>
      <w:r w:rsidR="005E46B3">
        <w:rPr>
          <w:rFonts w:eastAsia="Times New Roman" w:cs="Times New Roman"/>
          <w:color w:val="222222"/>
          <w:szCs w:val="24"/>
        </w:rPr>
        <w:t xml:space="preserve">these adjustments </w:t>
      </w:r>
      <w:r w:rsidR="001335F4">
        <w:rPr>
          <w:rFonts w:eastAsia="Times New Roman" w:cs="Times New Roman"/>
          <w:color w:val="222222"/>
          <w:szCs w:val="24"/>
        </w:rPr>
        <w:t>are not likely to</w:t>
      </w:r>
      <w:r w:rsidR="009E0DFD">
        <w:rPr>
          <w:rFonts w:eastAsia="Times New Roman" w:cs="Times New Roman"/>
          <w:color w:val="222222"/>
          <w:szCs w:val="24"/>
        </w:rPr>
        <w:t xml:space="preserve"> </w:t>
      </w:r>
      <w:r w:rsidR="00A15EA3">
        <w:rPr>
          <w:rFonts w:eastAsia="Times New Roman" w:cs="Times New Roman"/>
          <w:color w:val="222222"/>
          <w:szCs w:val="24"/>
        </w:rPr>
        <w:t>reve</w:t>
      </w:r>
      <w:r w:rsidR="004C10BE">
        <w:rPr>
          <w:rFonts w:eastAsia="Times New Roman" w:cs="Times New Roman"/>
          <w:color w:val="222222"/>
          <w:szCs w:val="24"/>
        </w:rPr>
        <w:t>rse the conclusion that economy-</w:t>
      </w:r>
      <w:r w:rsidR="00A15EA3">
        <w:rPr>
          <w:rFonts w:eastAsia="Times New Roman" w:cs="Times New Roman"/>
          <w:color w:val="222222"/>
          <w:szCs w:val="24"/>
        </w:rPr>
        <w:t xml:space="preserve">wide </w:t>
      </w:r>
      <w:r w:rsidR="004C10BE">
        <w:rPr>
          <w:rFonts w:eastAsia="Times New Roman" w:cs="Times New Roman"/>
          <w:color w:val="222222"/>
          <w:szCs w:val="24"/>
        </w:rPr>
        <w:t xml:space="preserve">TFP growth was substantially </w:t>
      </w:r>
      <w:r w:rsidR="00A15EA3">
        <w:rPr>
          <w:rFonts w:eastAsia="Times New Roman" w:cs="Times New Roman"/>
          <w:color w:val="222222"/>
          <w:szCs w:val="24"/>
        </w:rPr>
        <w:t xml:space="preserve">higher across the </w:t>
      </w:r>
      <w:r w:rsidR="0066331B">
        <w:rPr>
          <w:rFonts w:eastAsia="Times New Roman" w:cs="Times New Roman"/>
          <w:color w:val="222222"/>
          <w:szCs w:val="24"/>
        </w:rPr>
        <w:t xml:space="preserve">1929-41 period </w:t>
      </w:r>
      <w:r w:rsidR="00A15EA3">
        <w:rPr>
          <w:rFonts w:eastAsia="Times New Roman" w:cs="Times New Roman"/>
          <w:color w:val="222222"/>
          <w:szCs w:val="24"/>
        </w:rPr>
        <w:t xml:space="preserve">than it was between </w:t>
      </w:r>
      <w:r w:rsidR="0066331B">
        <w:rPr>
          <w:rFonts w:eastAsia="Times New Roman" w:cs="Times New Roman"/>
          <w:color w:val="222222"/>
          <w:szCs w:val="24"/>
        </w:rPr>
        <w:t>1941-48 or 1941-50</w:t>
      </w:r>
      <w:r w:rsidR="00A15EA3">
        <w:rPr>
          <w:rFonts w:eastAsia="Times New Roman" w:cs="Times New Roman"/>
          <w:color w:val="222222"/>
          <w:szCs w:val="24"/>
        </w:rPr>
        <w:t>.</w:t>
      </w:r>
    </w:p>
    <w:p w14:paraId="28EFCA3B" w14:textId="64FAD877" w:rsidR="00C870F4" w:rsidRDefault="00B31A2F" w:rsidP="00B31A2F">
      <w:pPr>
        <w:shd w:val="clear" w:color="auto" w:fill="FFFFFF"/>
        <w:spacing w:line="480" w:lineRule="auto"/>
        <w:rPr>
          <w:rFonts w:eastAsia="Times New Roman" w:cs="Times New Roman"/>
          <w:color w:val="222222"/>
          <w:szCs w:val="24"/>
        </w:rPr>
      </w:pPr>
      <w:r>
        <w:rPr>
          <w:rFonts w:eastAsia="Times New Roman" w:cs="Times New Roman"/>
          <w:color w:val="222222"/>
          <w:szCs w:val="24"/>
        </w:rPr>
        <w:t xml:space="preserve">           </w:t>
      </w:r>
      <w:r w:rsidR="00C870F4">
        <w:rPr>
          <w:rFonts w:eastAsia="Times New Roman" w:cs="Times New Roman"/>
          <w:color w:val="222222"/>
          <w:szCs w:val="24"/>
        </w:rPr>
        <w:t>T</w:t>
      </w:r>
      <w:r w:rsidR="00C870F4" w:rsidRPr="000F79DD">
        <w:rPr>
          <w:rFonts w:eastAsia="Times New Roman" w:cs="Times New Roman"/>
          <w:color w:val="222222"/>
          <w:szCs w:val="24"/>
        </w:rPr>
        <w:t xml:space="preserve">hese are not just games with numbers.  They </w:t>
      </w:r>
      <w:r w:rsidR="00213F51">
        <w:rPr>
          <w:rFonts w:eastAsia="Times New Roman" w:cs="Times New Roman"/>
          <w:color w:val="222222"/>
          <w:szCs w:val="24"/>
        </w:rPr>
        <w:t xml:space="preserve">can </w:t>
      </w:r>
      <w:r w:rsidR="00C870F4" w:rsidRPr="000F79DD">
        <w:rPr>
          <w:rFonts w:eastAsia="Times New Roman" w:cs="Times New Roman"/>
          <w:color w:val="222222"/>
          <w:szCs w:val="24"/>
        </w:rPr>
        <w:t>fundamentally influence our interpretation of the economic consequences of the war.</w:t>
      </w:r>
      <w:r w:rsidR="00C870F4">
        <w:rPr>
          <w:rFonts w:eastAsia="Times New Roman" w:cs="Times New Roman"/>
          <w:color w:val="222222"/>
          <w:szCs w:val="24"/>
        </w:rPr>
        <w:t xml:space="preserve">  </w:t>
      </w:r>
      <w:r w:rsidR="002D5811">
        <w:rPr>
          <w:rFonts w:eastAsia="Times New Roman" w:cs="Times New Roman"/>
          <w:color w:val="222222"/>
          <w:szCs w:val="24"/>
        </w:rPr>
        <w:t xml:space="preserve">Gordon’s figure 16.5 is the </w:t>
      </w:r>
      <w:r w:rsidR="00C870F4" w:rsidRPr="000F79DD">
        <w:rPr>
          <w:rFonts w:eastAsia="Times New Roman" w:cs="Times New Roman"/>
          <w:color w:val="222222"/>
          <w:szCs w:val="24"/>
        </w:rPr>
        <w:t xml:space="preserve">statistical underpinning of his interpretation of the Second World War.  It is </w:t>
      </w:r>
      <w:r w:rsidR="00C870F4">
        <w:rPr>
          <w:rFonts w:eastAsia="Times New Roman" w:cs="Times New Roman"/>
          <w:color w:val="222222"/>
          <w:szCs w:val="24"/>
        </w:rPr>
        <w:t>deeply</w:t>
      </w:r>
      <w:r w:rsidR="00E1728E">
        <w:rPr>
          <w:rFonts w:eastAsia="Times New Roman" w:cs="Times New Roman"/>
          <w:color w:val="222222"/>
          <w:szCs w:val="24"/>
        </w:rPr>
        <w:t xml:space="preserve"> misleading insofar as it suggests a very high trend growth rate of TFP across the war years.</w:t>
      </w:r>
      <w:r w:rsidR="00C870F4" w:rsidRPr="000F79DD">
        <w:rPr>
          <w:rFonts w:eastAsia="Times New Roman" w:cs="Times New Roman"/>
          <w:color w:val="222222"/>
          <w:szCs w:val="24"/>
        </w:rPr>
        <w:t xml:space="preserve"> </w:t>
      </w:r>
      <w:r w:rsidR="00F32718">
        <w:rPr>
          <w:rFonts w:eastAsia="Times New Roman" w:cs="Times New Roman"/>
          <w:color w:val="222222"/>
          <w:szCs w:val="24"/>
        </w:rPr>
        <w:t>Mobilization</w:t>
      </w:r>
      <w:r w:rsidR="00C870F4">
        <w:rPr>
          <w:rFonts w:eastAsia="Times New Roman" w:cs="Times New Roman"/>
          <w:color w:val="222222"/>
          <w:szCs w:val="24"/>
        </w:rPr>
        <w:t xml:space="preserve"> introduced </w:t>
      </w:r>
      <w:r w:rsidR="00C870F4">
        <w:rPr>
          <w:rFonts w:eastAsia="Times New Roman" w:cs="Times New Roman"/>
          <w:color w:val="222222"/>
          <w:szCs w:val="24"/>
        </w:rPr>
        <w:lastRenderedPageBreak/>
        <w:t xml:space="preserve">temporary and quite wrenching changes in the economy’s product mix and in the explicit and implicit factor prices producers faced.  </w:t>
      </w:r>
      <w:r w:rsidR="00C870F4" w:rsidRPr="000F79DD">
        <w:rPr>
          <w:rFonts w:eastAsia="Times New Roman" w:cs="Times New Roman"/>
          <w:color w:val="222222"/>
          <w:szCs w:val="24"/>
        </w:rPr>
        <w:t xml:space="preserve">From the standpoint of aggregate supply, </w:t>
      </w:r>
      <w:r w:rsidR="00C870F4">
        <w:rPr>
          <w:rFonts w:eastAsia="Times New Roman" w:cs="Times New Roman"/>
          <w:color w:val="222222"/>
          <w:szCs w:val="24"/>
        </w:rPr>
        <w:t xml:space="preserve">it </w:t>
      </w:r>
      <w:r w:rsidR="00C870F4" w:rsidRPr="000F79DD">
        <w:rPr>
          <w:rFonts w:eastAsia="Times New Roman" w:cs="Times New Roman"/>
          <w:color w:val="222222"/>
          <w:szCs w:val="24"/>
        </w:rPr>
        <w:t xml:space="preserve">was </w:t>
      </w:r>
      <w:r w:rsidR="00C870F4">
        <w:rPr>
          <w:rFonts w:eastAsia="Times New Roman" w:cs="Times New Roman"/>
          <w:color w:val="222222"/>
          <w:szCs w:val="24"/>
        </w:rPr>
        <w:t xml:space="preserve">highly disruptive.  It produced technological advance in the form of both process innovation and learning by doing, but much of this was irrelevant in the postwar period.  </w:t>
      </w:r>
      <w:r w:rsidR="002F266E" w:rsidRPr="000F79DD">
        <w:rPr>
          <w:rFonts w:eastAsia="Times New Roman" w:cs="Times New Roman"/>
          <w:color w:val="222222"/>
          <w:szCs w:val="24"/>
        </w:rPr>
        <w:t>Gordon quote</w:t>
      </w:r>
      <w:r w:rsidR="002F266E">
        <w:rPr>
          <w:rFonts w:eastAsia="Times New Roman" w:cs="Times New Roman"/>
          <w:color w:val="222222"/>
          <w:szCs w:val="24"/>
        </w:rPr>
        <w:t>d</w:t>
      </w:r>
      <w:r w:rsidR="002F266E" w:rsidRPr="000F79DD">
        <w:rPr>
          <w:rFonts w:eastAsia="Times New Roman" w:cs="Times New Roman"/>
          <w:color w:val="222222"/>
          <w:szCs w:val="24"/>
        </w:rPr>
        <w:t xml:space="preserve"> </w:t>
      </w:r>
      <w:r w:rsidR="002F266E">
        <w:rPr>
          <w:rFonts w:eastAsia="Times New Roman" w:cs="Times New Roman"/>
          <w:color w:val="222222"/>
          <w:szCs w:val="24"/>
        </w:rPr>
        <w:t xml:space="preserve">this pessimistic evaluation by </w:t>
      </w:r>
      <w:r w:rsidR="002F266E" w:rsidRPr="000F79DD">
        <w:rPr>
          <w:rFonts w:eastAsia="Times New Roman" w:cs="Times New Roman"/>
          <w:color w:val="222222"/>
          <w:szCs w:val="24"/>
        </w:rPr>
        <w:t>Abramovitz and David: “the war … imposed restrictions on civilian investment, caused a serious reduction in private capital accumulation and retarded normal productivity growth.” (p. 547).   Gordon state</w:t>
      </w:r>
      <w:r w:rsidR="002F266E">
        <w:rPr>
          <w:rFonts w:eastAsia="Times New Roman" w:cs="Times New Roman"/>
          <w:color w:val="222222"/>
          <w:szCs w:val="24"/>
        </w:rPr>
        <w:t>d</w:t>
      </w:r>
      <w:r w:rsidR="002F266E" w:rsidRPr="000F79DD">
        <w:rPr>
          <w:rFonts w:eastAsia="Times New Roman" w:cs="Times New Roman"/>
          <w:color w:val="222222"/>
          <w:szCs w:val="24"/>
        </w:rPr>
        <w:t xml:space="preserve"> that because of his ‘new’ interpretation, that view </w:t>
      </w:r>
      <w:r w:rsidR="002F266E">
        <w:rPr>
          <w:rFonts w:eastAsia="Times New Roman" w:cs="Times New Roman"/>
          <w:color w:val="222222"/>
          <w:szCs w:val="24"/>
        </w:rPr>
        <w:t>was</w:t>
      </w:r>
      <w:r w:rsidR="002F266E" w:rsidRPr="000F79DD">
        <w:rPr>
          <w:rFonts w:eastAsia="Times New Roman" w:cs="Times New Roman"/>
          <w:color w:val="222222"/>
          <w:szCs w:val="24"/>
        </w:rPr>
        <w:t xml:space="preserve"> “called into question.”</w:t>
      </w:r>
      <w:r w:rsidR="002F266E">
        <w:rPr>
          <w:rStyle w:val="FootnoteReference"/>
          <w:rFonts w:eastAsia="Times New Roman" w:cs="Times New Roman"/>
          <w:color w:val="222222"/>
          <w:szCs w:val="24"/>
        </w:rPr>
        <w:footnoteReference w:id="13"/>
      </w:r>
      <w:r w:rsidR="002F266E">
        <w:rPr>
          <w:rFonts w:eastAsia="Times New Roman" w:cs="Times New Roman"/>
          <w:color w:val="222222"/>
          <w:szCs w:val="24"/>
        </w:rPr>
        <w:t xml:space="preserve">  It is not.</w:t>
      </w:r>
    </w:p>
    <w:p w14:paraId="122E0F4E" w14:textId="1BE773EF" w:rsidR="00C870F4" w:rsidRDefault="00C870F4" w:rsidP="00C870F4">
      <w:pPr>
        <w:shd w:val="clear" w:color="auto" w:fill="FFFFFF"/>
        <w:spacing w:line="480" w:lineRule="auto"/>
        <w:rPr>
          <w:rFonts w:eastAsia="Times New Roman" w:cs="Times New Roman"/>
          <w:color w:val="222222"/>
          <w:szCs w:val="24"/>
        </w:rPr>
      </w:pPr>
      <w:r>
        <w:rPr>
          <w:rFonts w:eastAsia="Times New Roman" w:cs="Times New Roman"/>
          <w:b/>
          <w:color w:val="222222"/>
          <w:szCs w:val="24"/>
        </w:rPr>
        <w:t>Learning by Doing</w:t>
      </w:r>
    </w:p>
    <w:p w14:paraId="0AE270A2" w14:textId="2CCD2479" w:rsidR="00C870F4" w:rsidRPr="000F79DD" w:rsidRDefault="00AD20DF" w:rsidP="00690BF3">
      <w:pPr>
        <w:spacing w:line="480" w:lineRule="auto"/>
        <w:rPr>
          <w:rFonts w:eastAsia="Times New Roman" w:cs="Times New Roman"/>
          <w:color w:val="222222"/>
          <w:szCs w:val="24"/>
        </w:rPr>
      </w:pPr>
      <w:r>
        <w:rPr>
          <w:rFonts w:eastAsiaTheme="minorEastAsia"/>
          <w:color w:val="000000" w:themeColor="text1"/>
          <w:kern w:val="24"/>
        </w:rPr>
        <w:t xml:space="preserve">       </w:t>
      </w:r>
      <w:r w:rsidR="00690BF3">
        <w:rPr>
          <w:rFonts w:eastAsiaTheme="minorEastAsia"/>
          <w:color w:val="000000" w:themeColor="text1"/>
          <w:kern w:val="24"/>
        </w:rPr>
        <w:t xml:space="preserve">  To </w:t>
      </w:r>
      <w:r w:rsidR="00995B75">
        <w:rPr>
          <w:rFonts w:eastAsiaTheme="minorEastAsia"/>
          <w:color w:val="000000" w:themeColor="text1"/>
          <w:kern w:val="24"/>
        </w:rPr>
        <w:t>understand the limitations of</w:t>
      </w:r>
      <w:r w:rsidR="00690BF3">
        <w:rPr>
          <w:rFonts w:eastAsiaTheme="minorEastAsia"/>
          <w:color w:val="000000" w:themeColor="text1"/>
          <w:kern w:val="24"/>
        </w:rPr>
        <w:t xml:space="preserve"> th</w:t>
      </w:r>
      <w:r w:rsidR="008F733C">
        <w:rPr>
          <w:rFonts w:eastAsiaTheme="minorEastAsia"/>
          <w:color w:val="000000" w:themeColor="text1"/>
          <w:kern w:val="24"/>
        </w:rPr>
        <w:t xml:space="preserve">e learning by doing </w:t>
      </w:r>
      <w:r w:rsidR="00690BF3">
        <w:rPr>
          <w:rFonts w:eastAsiaTheme="minorEastAsia"/>
          <w:color w:val="000000" w:themeColor="text1"/>
          <w:kern w:val="24"/>
        </w:rPr>
        <w:t xml:space="preserve">narrative, </w:t>
      </w:r>
      <w:r w:rsidR="00C870F4" w:rsidRPr="000F79DD">
        <w:rPr>
          <w:rFonts w:eastAsia="Times New Roman" w:cs="Times New Roman"/>
          <w:color w:val="222222"/>
          <w:szCs w:val="24"/>
        </w:rPr>
        <w:t>we must identify where the technological progress is alleged</w:t>
      </w:r>
      <w:r w:rsidR="00C870F4">
        <w:rPr>
          <w:rFonts w:eastAsia="Times New Roman" w:cs="Times New Roman"/>
          <w:color w:val="222222"/>
          <w:szCs w:val="24"/>
        </w:rPr>
        <w:t xml:space="preserve"> to have been most concentrated, and</w:t>
      </w:r>
      <w:r w:rsidR="00DD554F">
        <w:rPr>
          <w:rFonts w:eastAsia="Times New Roman" w:cs="Times New Roman"/>
          <w:color w:val="222222"/>
          <w:szCs w:val="24"/>
        </w:rPr>
        <w:t xml:space="preserve"> consider</w:t>
      </w:r>
      <w:r w:rsidR="00C870F4">
        <w:rPr>
          <w:rFonts w:eastAsia="Times New Roman" w:cs="Times New Roman"/>
          <w:color w:val="222222"/>
          <w:szCs w:val="24"/>
        </w:rPr>
        <w:t xml:space="preserve"> whether it is likely to have benefited production in the postwar period. </w:t>
      </w:r>
      <w:r w:rsidR="00C870F4" w:rsidRPr="000F79DD">
        <w:rPr>
          <w:rFonts w:eastAsia="Times New Roman" w:cs="Times New Roman"/>
          <w:color w:val="222222"/>
          <w:szCs w:val="24"/>
        </w:rPr>
        <w:t xml:space="preserve">  The most </w:t>
      </w:r>
      <w:r w:rsidR="00C870F4">
        <w:rPr>
          <w:rFonts w:eastAsia="Times New Roman" w:cs="Times New Roman"/>
          <w:color w:val="222222"/>
          <w:szCs w:val="24"/>
        </w:rPr>
        <w:t>frequently cited examples of such</w:t>
      </w:r>
      <w:r w:rsidR="00C870F4" w:rsidRPr="000F79DD">
        <w:rPr>
          <w:rFonts w:eastAsia="Times New Roman" w:cs="Times New Roman"/>
          <w:color w:val="222222"/>
          <w:szCs w:val="24"/>
        </w:rPr>
        <w:t xml:space="preserve"> success involve stories of the declining cost per unit of ships</w:t>
      </w:r>
      <w:r w:rsidR="00C870F4">
        <w:rPr>
          <w:rFonts w:eastAsia="Times New Roman" w:cs="Times New Roman"/>
          <w:color w:val="222222"/>
          <w:szCs w:val="24"/>
        </w:rPr>
        <w:t xml:space="preserve">, planes, tanks, and other ordnance.  </w:t>
      </w:r>
      <w:r w:rsidR="00C870F4" w:rsidRPr="000F79DD">
        <w:rPr>
          <w:rFonts w:eastAsia="Times New Roman" w:cs="Times New Roman"/>
          <w:color w:val="222222"/>
          <w:szCs w:val="24"/>
        </w:rPr>
        <w:t xml:space="preserve">The </w:t>
      </w:r>
      <w:r w:rsidR="00C870F4">
        <w:rPr>
          <w:rFonts w:eastAsia="Times New Roman" w:cs="Times New Roman"/>
          <w:color w:val="222222"/>
          <w:szCs w:val="24"/>
        </w:rPr>
        <w:t>‘</w:t>
      </w:r>
      <w:r w:rsidR="00C870F4" w:rsidRPr="000F79DD">
        <w:rPr>
          <w:rFonts w:eastAsia="Times New Roman" w:cs="Times New Roman"/>
          <w:color w:val="222222"/>
          <w:szCs w:val="24"/>
        </w:rPr>
        <w:t>miraculous</w:t>
      </w:r>
      <w:r w:rsidR="00C870F4">
        <w:rPr>
          <w:rFonts w:eastAsia="Times New Roman" w:cs="Times New Roman"/>
          <w:color w:val="222222"/>
          <w:szCs w:val="24"/>
        </w:rPr>
        <w:t>’</w:t>
      </w:r>
      <w:r w:rsidR="00C870F4" w:rsidRPr="000F79DD">
        <w:rPr>
          <w:rFonts w:eastAsia="Times New Roman" w:cs="Times New Roman"/>
          <w:color w:val="222222"/>
          <w:szCs w:val="24"/>
        </w:rPr>
        <w:t xml:space="preserve"> effects of learning by doing during the war </w:t>
      </w:r>
      <w:r w:rsidR="00C870F4">
        <w:rPr>
          <w:rFonts w:eastAsia="Times New Roman" w:cs="Times New Roman"/>
          <w:color w:val="222222"/>
          <w:szCs w:val="24"/>
        </w:rPr>
        <w:t>are well known to economists</w:t>
      </w:r>
      <w:r w:rsidR="009B3504">
        <w:rPr>
          <w:rFonts w:eastAsia="Times New Roman" w:cs="Times New Roman"/>
          <w:color w:val="222222"/>
          <w:szCs w:val="24"/>
        </w:rPr>
        <w:t>,</w:t>
      </w:r>
      <w:r w:rsidR="00C870F4" w:rsidRPr="000F79DD">
        <w:rPr>
          <w:rFonts w:eastAsia="Times New Roman" w:cs="Times New Roman"/>
          <w:color w:val="222222"/>
          <w:szCs w:val="24"/>
        </w:rPr>
        <w:t xml:space="preserve"> </w:t>
      </w:r>
      <w:r w:rsidR="00C870F4">
        <w:rPr>
          <w:rFonts w:eastAsia="Times New Roman" w:cs="Times New Roman"/>
          <w:color w:val="222222"/>
          <w:szCs w:val="24"/>
        </w:rPr>
        <w:t xml:space="preserve">largely as the result of </w:t>
      </w:r>
      <w:r w:rsidR="00C870F4" w:rsidRPr="000F79DD">
        <w:rPr>
          <w:rFonts w:eastAsia="Times New Roman" w:cs="Times New Roman"/>
          <w:color w:val="222222"/>
          <w:szCs w:val="24"/>
        </w:rPr>
        <w:t>Kenneth Arrow’s 1962 ar</w:t>
      </w:r>
      <w:r w:rsidR="00C870F4">
        <w:rPr>
          <w:rFonts w:eastAsia="Times New Roman" w:cs="Times New Roman"/>
          <w:color w:val="222222"/>
          <w:szCs w:val="24"/>
        </w:rPr>
        <w:t xml:space="preserve">ticle </w:t>
      </w:r>
      <w:r w:rsidR="00C870F4" w:rsidRPr="000F79DD">
        <w:rPr>
          <w:rFonts w:eastAsia="Times New Roman" w:cs="Times New Roman"/>
          <w:color w:val="222222"/>
          <w:szCs w:val="24"/>
        </w:rPr>
        <w:t xml:space="preserve">in the </w:t>
      </w:r>
      <w:r w:rsidR="00C870F4" w:rsidRPr="000F79DD">
        <w:rPr>
          <w:rFonts w:eastAsia="Times New Roman" w:cs="Times New Roman"/>
          <w:color w:val="222222"/>
          <w:szCs w:val="24"/>
          <w:u w:val="single"/>
        </w:rPr>
        <w:t>Review of Economic Studies</w:t>
      </w:r>
      <w:r w:rsidR="00C870F4">
        <w:rPr>
          <w:rFonts w:eastAsia="Times New Roman" w:cs="Times New Roman"/>
          <w:color w:val="222222"/>
          <w:szCs w:val="24"/>
        </w:rPr>
        <w:t xml:space="preserve"> </w:t>
      </w:r>
      <w:r w:rsidR="00C870F4" w:rsidRPr="000F79DD">
        <w:rPr>
          <w:rFonts w:eastAsia="Times New Roman" w:cs="Times New Roman"/>
          <w:color w:val="222222"/>
          <w:szCs w:val="24"/>
        </w:rPr>
        <w:t xml:space="preserve">and Armen Alchian’s 1963 article in </w:t>
      </w:r>
      <w:r w:rsidR="00C870F4" w:rsidRPr="008F48FC">
        <w:rPr>
          <w:rFonts w:eastAsia="Times New Roman" w:cs="Times New Roman"/>
          <w:color w:val="222222"/>
          <w:szCs w:val="24"/>
          <w:u w:val="single"/>
        </w:rPr>
        <w:t>Econometrica</w:t>
      </w:r>
      <w:r w:rsidR="00C870F4">
        <w:rPr>
          <w:rFonts w:eastAsia="Times New Roman" w:cs="Times New Roman"/>
          <w:color w:val="222222"/>
          <w:szCs w:val="24"/>
        </w:rPr>
        <w:t>.</w:t>
      </w:r>
      <w:r w:rsidR="00C870F4" w:rsidRPr="000F79DD">
        <w:rPr>
          <w:rFonts w:eastAsia="Times New Roman" w:cs="Times New Roman"/>
          <w:color w:val="222222"/>
          <w:szCs w:val="24"/>
        </w:rPr>
        <w:t xml:space="preserve">  Citing work by Wright, Verdoorn, and Lundberg, Arrow noted that it was well established that the number of labor hours required to complete an airframe dropped predictably with the number of previously completed airframes, that the Horndal iron works in Sweden had experienced a 2 percent annual increase in labor </w:t>
      </w:r>
      <w:r w:rsidR="00C870F4" w:rsidRPr="000F79DD">
        <w:rPr>
          <w:rFonts w:eastAsia="Times New Roman" w:cs="Times New Roman"/>
          <w:color w:val="222222"/>
          <w:szCs w:val="24"/>
        </w:rPr>
        <w:lastRenderedPageBreak/>
        <w:t>productivity over a fifteen</w:t>
      </w:r>
      <w:r w:rsidR="00E63A56">
        <w:rPr>
          <w:rFonts w:eastAsia="Times New Roman" w:cs="Times New Roman"/>
          <w:color w:val="222222"/>
          <w:szCs w:val="24"/>
        </w:rPr>
        <w:t>-</w:t>
      </w:r>
      <w:r w:rsidR="00C870F4" w:rsidRPr="000F79DD">
        <w:rPr>
          <w:rFonts w:eastAsia="Times New Roman" w:cs="Times New Roman"/>
          <w:color w:val="222222"/>
          <w:szCs w:val="24"/>
        </w:rPr>
        <w:t xml:space="preserve">year period in the absence of any new physical investment.  </w:t>
      </w:r>
      <w:r w:rsidR="00C870F4">
        <w:rPr>
          <w:rFonts w:eastAsia="Times New Roman" w:cs="Times New Roman"/>
          <w:color w:val="222222"/>
          <w:szCs w:val="24"/>
        </w:rPr>
        <w:t>He then explored the t</w:t>
      </w:r>
      <w:r w:rsidR="004E546B">
        <w:rPr>
          <w:rFonts w:eastAsia="Times New Roman" w:cs="Times New Roman"/>
          <w:color w:val="222222"/>
          <w:szCs w:val="24"/>
        </w:rPr>
        <w:t>heoretical implications of these observations</w:t>
      </w:r>
      <w:r w:rsidR="00F75AAE">
        <w:rPr>
          <w:rFonts w:eastAsia="Times New Roman" w:cs="Times New Roman"/>
          <w:color w:val="222222"/>
          <w:szCs w:val="24"/>
        </w:rPr>
        <w:t>.</w:t>
      </w:r>
      <w:r w:rsidR="00C870F4">
        <w:rPr>
          <w:rFonts w:eastAsia="Times New Roman" w:cs="Times New Roman"/>
          <w:color w:val="222222"/>
          <w:szCs w:val="24"/>
        </w:rPr>
        <w:t xml:space="preserve">  </w:t>
      </w:r>
      <w:r w:rsidR="00C870F4" w:rsidRPr="000F79DD">
        <w:rPr>
          <w:rFonts w:eastAsia="Times New Roman" w:cs="Times New Roman"/>
          <w:color w:val="222222"/>
          <w:szCs w:val="24"/>
        </w:rPr>
        <w:t xml:space="preserve">Alchian </w:t>
      </w:r>
      <w:r w:rsidR="00C870F4">
        <w:rPr>
          <w:rFonts w:eastAsia="Times New Roman" w:cs="Times New Roman"/>
          <w:color w:val="222222"/>
          <w:szCs w:val="24"/>
        </w:rPr>
        <w:t xml:space="preserve">also took the effects of learning by doing as well established, and </w:t>
      </w:r>
      <w:r w:rsidR="00C870F4" w:rsidRPr="000F79DD">
        <w:rPr>
          <w:rFonts w:eastAsia="Times New Roman" w:cs="Times New Roman"/>
          <w:color w:val="222222"/>
          <w:szCs w:val="24"/>
        </w:rPr>
        <w:t xml:space="preserve">explored how reliable were statistically estimated learning parameters in </w:t>
      </w:r>
      <w:r w:rsidR="001B7FBD">
        <w:rPr>
          <w:rFonts w:eastAsia="Times New Roman" w:cs="Times New Roman"/>
          <w:color w:val="222222"/>
          <w:szCs w:val="24"/>
        </w:rPr>
        <w:t>airframe pr</w:t>
      </w:r>
      <w:r w:rsidR="0023120C">
        <w:rPr>
          <w:rFonts w:eastAsia="Times New Roman" w:cs="Times New Roman"/>
          <w:color w:val="222222"/>
          <w:szCs w:val="24"/>
        </w:rPr>
        <w:t>odu</w:t>
      </w:r>
      <w:r w:rsidR="001B7FBD">
        <w:rPr>
          <w:rFonts w:eastAsia="Times New Roman" w:cs="Times New Roman"/>
          <w:color w:val="222222"/>
          <w:szCs w:val="24"/>
        </w:rPr>
        <w:t xml:space="preserve">ction in </w:t>
      </w:r>
      <w:r w:rsidR="00C870F4" w:rsidRPr="000F79DD">
        <w:rPr>
          <w:rFonts w:eastAsia="Times New Roman" w:cs="Times New Roman"/>
          <w:color w:val="222222"/>
          <w:szCs w:val="24"/>
        </w:rPr>
        <w:t xml:space="preserve">predicting the decline in </w:t>
      </w:r>
      <w:r w:rsidR="00C870F4">
        <w:rPr>
          <w:rFonts w:eastAsia="Times New Roman" w:cs="Times New Roman"/>
          <w:color w:val="222222"/>
          <w:szCs w:val="24"/>
        </w:rPr>
        <w:t xml:space="preserve">labor requirements per pound </w:t>
      </w:r>
      <w:r w:rsidR="009213E4">
        <w:rPr>
          <w:rFonts w:eastAsia="Times New Roman" w:cs="Times New Roman"/>
          <w:color w:val="222222"/>
          <w:szCs w:val="24"/>
        </w:rPr>
        <w:t xml:space="preserve">of aircraft </w:t>
      </w:r>
      <w:r w:rsidR="00C870F4">
        <w:rPr>
          <w:rFonts w:eastAsia="Times New Roman" w:cs="Times New Roman"/>
          <w:color w:val="222222"/>
          <w:szCs w:val="24"/>
        </w:rPr>
        <w:t>as a function of cumul</w:t>
      </w:r>
      <w:r w:rsidR="00C870F4" w:rsidRPr="000F79DD">
        <w:rPr>
          <w:rFonts w:eastAsia="Times New Roman" w:cs="Times New Roman"/>
          <w:color w:val="222222"/>
          <w:szCs w:val="24"/>
        </w:rPr>
        <w:t>ated output</w:t>
      </w:r>
      <w:r w:rsidR="001B7FBD">
        <w:rPr>
          <w:rFonts w:eastAsia="Times New Roman" w:cs="Times New Roman"/>
          <w:color w:val="222222"/>
          <w:szCs w:val="24"/>
        </w:rPr>
        <w:t>.</w:t>
      </w:r>
    </w:p>
    <w:p w14:paraId="2C07B139" w14:textId="05DAFFD9" w:rsidR="00C870F4" w:rsidRPr="000F79DD" w:rsidRDefault="003F0813" w:rsidP="00C870F4">
      <w:pPr>
        <w:shd w:val="clear" w:color="auto" w:fill="FFFFFF"/>
        <w:spacing w:line="480" w:lineRule="auto"/>
        <w:ind w:firstLine="576"/>
        <w:rPr>
          <w:rFonts w:eastAsia="Times New Roman" w:cs="Times New Roman"/>
          <w:color w:val="222222"/>
          <w:szCs w:val="24"/>
        </w:rPr>
      </w:pPr>
      <w:r>
        <w:rPr>
          <w:rFonts w:eastAsia="Times New Roman" w:cs="Times New Roman"/>
          <w:color w:val="222222"/>
          <w:szCs w:val="24"/>
        </w:rPr>
        <w:t xml:space="preserve">The </w:t>
      </w:r>
      <w:r w:rsidR="00D03EFF">
        <w:rPr>
          <w:rFonts w:eastAsia="Times New Roman" w:cs="Times New Roman"/>
          <w:color w:val="222222"/>
          <w:szCs w:val="24"/>
        </w:rPr>
        <w:t xml:space="preserve">labor </w:t>
      </w:r>
      <w:r w:rsidR="00C870F4" w:rsidRPr="000F79DD">
        <w:rPr>
          <w:rFonts w:eastAsia="Times New Roman" w:cs="Times New Roman"/>
          <w:color w:val="222222"/>
          <w:szCs w:val="24"/>
        </w:rPr>
        <w:t xml:space="preserve">productivity gains experienced in the </w:t>
      </w:r>
      <w:r w:rsidR="00C870F4">
        <w:rPr>
          <w:rFonts w:eastAsia="Times New Roman" w:cs="Times New Roman"/>
          <w:color w:val="222222"/>
          <w:szCs w:val="24"/>
        </w:rPr>
        <w:t>manufacture</w:t>
      </w:r>
      <w:r w:rsidR="00C870F4" w:rsidRPr="000F79DD">
        <w:rPr>
          <w:rFonts w:eastAsia="Times New Roman" w:cs="Times New Roman"/>
          <w:color w:val="222222"/>
          <w:szCs w:val="24"/>
        </w:rPr>
        <w:t xml:space="preserve"> of military goods – not just airframes but also Liberty Ships, Oerlikon antiaircraft g</w:t>
      </w:r>
      <w:r w:rsidR="00C870F4">
        <w:rPr>
          <w:rFonts w:eastAsia="Times New Roman" w:cs="Times New Roman"/>
          <w:color w:val="222222"/>
          <w:szCs w:val="24"/>
        </w:rPr>
        <w:t>uns, and other ordnance</w:t>
      </w:r>
      <w:r>
        <w:rPr>
          <w:rFonts w:eastAsia="Times New Roman" w:cs="Times New Roman"/>
          <w:color w:val="222222"/>
          <w:szCs w:val="24"/>
        </w:rPr>
        <w:t>, were important for the war effort</w:t>
      </w:r>
      <w:r w:rsidR="00C870F4">
        <w:rPr>
          <w:rFonts w:eastAsia="Times New Roman" w:cs="Times New Roman"/>
          <w:color w:val="222222"/>
          <w:szCs w:val="24"/>
        </w:rPr>
        <w:t>.  Let’s</w:t>
      </w:r>
      <w:r w:rsidR="00995B75">
        <w:rPr>
          <w:rFonts w:eastAsia="Times New Roman" w:cs="Times New Roman"/>
          <w:color w:val="222222"/>
          <w:szCs w:val="24"/>
        </w:rPr>
        <w:t xml:space="preserve"> begin with aircraft production, which absorbed a </w:t>
      </w:r>
      <w:r w:rsidR="00652D5E">
        <w:rPr>
          <w:rFonts w:eastAsia="Times New Roman" w:cs="Times New Roman"/>
          <w:color w:val="222222"/>
          <w:szCs w:val="24"/>
        </w:rPr>
        <w:t xml:space="preserve">full </w:t>
      </w:r>
      <w:r w:rsidR="00995B75">
        <w:rPr>
          <w:rFonts w:eastAsia="Times New Roman" w:cs="Times New Roman"/>
          <w:color w:val="222222"/>
          <w:szCs w:val="24"/>
        </w:rPr>
        <w:t xml:space="preserve">quarter </w:t>
      </w:r>
      <w:r w:rsidR="008F733C">
        <w:rPr>
          <w:rFonts w:eastAsia="Times New Roman" w:cs="Times New Roman"/>
          <w:color w:val="222222"/>
          <w:szCs w:val="24"/>
        </w:rPr>
        <w:t xml:space="preserve">of all </w:t>
      </w:r>
      <w:r w:rsidR="00995B75">
        <w:rPr>
          <w:rFonts w:eastAsia="Times New Roman" w:cs="Times New Roman"/>
          <w:color w:val="222222"/>
          <w:szCs w:val="24"/>
        </w:rPr>
        <w:t xml:space="preserve">military spending during the war </w:t>
      </w:r>
      <w:r w:rsidR="008F733C">
        <w:rPr>
          <w:rFonts w:eastAsia="Times New Roman" w:cs="Times New Roman"/>
          <w:color w:val="222222"/>
          <w:szCs w:val="24"/>
        </w:rPr>
        <w:t xml:space="preserve">($45 billion) </w:t>
      </w:r>
      <w:r w:rsidR="00995B75">
        <w:rPr>
          <w:rFonts w:eastAsia="Times New Roman" w:cs="Times New Roman"/>
          <w:color w:val="222222"/>
          <w:szCs w:val="24"/>
        </w:rPr>
        <w:t>(Koistinen, 2004, p. 38).</w:t>
      </w:r>
      <w:r w:rsidR="00C870F4">
        <w:rPr>
          <w:rFonts w:eastAsia="Times New Roman" w:cs="Times New Roman"/>
          <w:color w:val="222222"/>
          <w:szCs w:val="24"/>
        </w:rPr>
        <w:t xml:space="preserve"> Learning by doing might </w:t>
      </w:r>
      <w:r w:rsidR="00995B75">
        <w:rPr>
          <w:rFonts w:eastAsia="Times New Roman" w:cs="Times New Roman"/>
          <w:color w:val="222222"/>
          <w:szCs w:val="24"/>
        </w:rPr>
        <w:t xml:space="preserve">have </w:t>
      </w:r>
      <w:r w:rsidR="00C870F4">
        <w:rPr>
          <w:rFonts w:eastAsia="Times New Roman" w:cs="Times New Roman"/>
          <w:color w:val="222222"/>
          <w:szCs w:val="24"/>
        </w:rPr>
        <w:t>generate</w:t>
      </w:r>
      <w:r w:rsidR="008F733C">
        <w:rPr>
          <w:rFonts w:eastAsia="Times New Roman" w:cs="Times New Roman"/>
          <w:color w:val="222222"/>
          <w:szCs w:val="24"/>
        </w:rPr>
        <w:t>d</w:t>
      </w:r>
      <w:r w:rsidR="00C870F4">
        <w:rPr>
          <w:rFonts w:eastAsia="Times New Roman" w:cs="Times New Roman"/>
          <w:color w:val="222222"/>
          <w:szCs w:val="24"/>
        </w:rPr>
        <w:t xml:space="preserve"> t</w:t>
      </w:r>
      <w:r w:rsidR="00C870F4" w:rsidRPr="000F79DD">
        <w:rPr>
          <w:rFonts w:eastAsia="Times New Roman" w:cs="Times New Roman"/>
          <w:color w:val="222222"/>
          <w:szCs w:val="24"/>
        </w:rPr>
        <w:t xml:space="preserve">hree types of </w:t>
      </w:r>
      <w:r w:rsidR="00C870F4">
        <w:rPr>
          <w:rFonts w:eastAsia="Times New Roman" w:cs="Times New Roman"/>
          <w:color w:val="222222"/>
          <w:szCs w:val="24"/>
        </w:rPr>
        <w:t>a</w:t>
      </w:r>
      <w:r w:rsidR="00440DE7">
        <w:rPr>
          <w:rFonts w:eastAsia="Times New Roman" w:cs="Times New Roman"/>
          <w:color w:val="222222"/>
          <w:szCs w:val="24"/>
        </w:rPr>
        <w:t xml:space="preserve">dvance that </w:t>
      </w:r>
      <w:r w:rsidR="008F733C">
        <w:rPr>
          <w:rFonts w:eastAsia="Times New Roman" w:cs="Times New Roman"/>
          <w:color w:val="222222"/>
          <w:szCs w:val="24"/>
        </w:rPr>
        <w:t xml:space="preserve">could have </w:t>
      </w:r>
      <w:r w:rsidR="00690BF3">
        <w:rPr>
          <w:rFonts w:eastAsia="Times New Roman" w:cs="Times New Roman"/>
          <w:color w:val="222222"/>
          <w:szCs w:val="24"/>
        </w:rPr>
        <w:t>contribute</w:t>
      </w:r>
      <w:r w:rsidR="00995B75">
        <w:rPr>
          <w:rFonts w:eastAsia="Times New Roman" w:cs="Times New Roman"/>
          <w:color w:val="222222"/>
          <w:szCs w:val="24"/>
        </w:rPr>
        <w:t>d</w:t>
      </w:r>
      <w:r w:rsidR="00690BF3">
        <w:rPr>
          <w:rFonts w:eastAsia="Times New Roman" w:cs="Times New Roman"/>
          <w:color w:val="222222"/>
          <w:szCs w:val="24"/>
        </w:rPr>
        <w:t xml:space="preserve"> to a </w:t>
      </w:r>
      <w:r w:rsidR="00C870F4">
        <w:rPr>
          <w:rFonts w:eastAsia="Times New Roman" w:cs="Times New Roman"/>
          <w:color w:val="222222"/>
          <w:szCs w:val="24"/>
        </w:rPr>
        <w:t xml:space="preserve">residual </w:t>
      </w:r>
      <w:r w:rsidR="00B44DAE">
        <w:rPr>
          <w:rFonts w:eastAsia="Times New Roman" w:cs="Times New Roman"/>
          <w:color w:val="222222"/>
          <w:szCs w:val="24"/>
        </w:rPr>
        <w:t xml:space="preserve">measuring </w:t>
      </w:r>
      <w:r w:rsidR="00C870F4">
        <w:rPr>
          <w:rFonts w:eastAsia="Times New Roman" w:cs="Times New Roman"/>
          <w:color w:val="222222"/>
          <w:szCs w:val="24"/>
        </w:rPr>
        <w:t>‘technological’ progress</w:t>
      </w:r>
      <w:r w:rsidR="004F429E">
        <w:rPr>
          <w:rFonts w:eastAsia="Times New Roman" w:cs="Times New Roman"/>
          <w:color w:val="222222"/>
          <w:szCs w:val="24"/>
        </w:rPr>
        <w:t xml:space="preserve"> in manufacturing between 1941 and 1948</w:t>
      </w:r>
      <w:r w:rsidR="00C870F4" w:rsidRPr="000F79DD">
        <w:rPr>
          <w:rFonts w:eastAsia="Times New Roman" w:cs="Times New Roman"/>
          <w:color w:val="222222"/>
          <w:szCs w:val="24"/>
        </w:rPr>
        <w:t xml:space="preserve">: 1) gains in producing </w:t>
      </w:r>
      <w:r w:rsidR="00C870F4">
        <w:rPr>
          <w:rFonts w:eastAsia="Times New Roman" w:cs="Times New Roman"/>
          <w:color w:val="222222"/>
          <w:szCs w:val="24"/>
        </w:rPr>
        <w:t xml:space="preserve">a </w:t>
      </w:r>
      <w:r w:rsidR="00C870F4" w:rsidRPr="000F79DD">
        <w:rPr>
          <w:rFonts w:eastAsia="Times New Roman" w:cs="Times New Roman"/>
          <w:color w:val="222222"/>
          <w:szCs w:val="24"/>
        </w:rPr>
        <w:t xml:space="preserve">particular type or model of aircraft; 2) </w:t>
      </w:r>
      <w:r w:rsidR="00C870F4">
        <w:rPr>
          <w:rFonts w:eastAsia="Times New Roman" w:cs="Times New Roman"/>
          <w:color w:val="222222"/>
          <w:szCs w:val="24"/>
        </w:rPr>
        <w:t xml:space="preserve">broader </w:t>
      </w:r>
      <w:r w:rsidR="00C870F4" w:rsidRPr="000F79DD">
        <w:rPr>
          <w:rFonts w:eastAsia="Times New Roman" w:cs="Times New Roman"/>
          <w:color w:val="222222"/>
          <w:szCs w:val="24"/>
        </w:rPr>
        <w:t>gains in the understanding of how to produce large quantities of aircraft</w:t>
      </w:r>
      <w:r w:rsidR="00571D5F">
        <w:rPr>
          <w:rFonts w:eastAsia="Times New Roman" w:cs="Times New Roman"/>
          <w:color w:val="222222"/>
          <w:szCs w:val="24"/>
        </w:rPr>
        <w:t xml:space="preserve"> within a very short time fra</w:t>
      </w:r>
      <w:r w:rsidR="00352C03">
        <w:rPr>
          <w:rFonts w:eastAsia="Times New Roman" w:cs="Times New Roman"/>
          <w:color w:val="222222"/>
          <w:szCs w:val="24"/>
        </w:rPr>
        <w:t>me</w:t>
      </w:r>
      <w:r w:rsidR="00C870F4" w:rsidRPr="000F79DD">
        <w:rPr>
          <w:rFonts w:eastAsia="Times New Roman" w:cs="Times New Roman"/>
          <w:color w:val="222222"/>
          <w:szCs w:val="24"/>
        </w:rPr>
        <w:t>, and 3) gains that might have applicability to manufacturing more generally.</w:t>
      </w:r>
    </w:p>
    <w:p w14:paraId="3E269E4A" w14:textId="46CD741D" w:rsidR="00C870F4" w:rsidRPr="000F79DD" w:rsidRDefault="00C870F4" w:rsidP="00C870F4">
      <w:pPr>
        <w:shd w:val="clear" w:color="auto" w:fill="FFFFFF"/>
        <w:spacing w:line="480" w:lineRule="auto"/>
        <w:ind w:firstLine="576"/>
        <w:rPr>
          <w:rFonts w:eastAsia="Times New Roman" w:cs="Times New Roman"/>
          <w:color w:val="222222"/>
          <w:szCs w:val="24"/>
        </w:rPr>
      </w:pPr>
      <w:r>
        <w:rPr>
          <w:rFonts w:eastAsia="Times New Roman" w:cs="Times New Roman"/>
          <w:color w:val="222222"/>
          <w:szCs w:val="24"/>
        </w:rPr>
        <w:t xml:space="preserve">It is uncontroversial that gains in </w:t>
      </w:r>
      <w:r w:rsidRPr="000F79DD">
        <w:rPr>
          <w:rFonts w:eastAsia="Times New Roman" w:cs="Times New Roman"/>
          <w:color w:val="222222"/>
          <w:szCs w:val="24"/>
        </w:rPr>
        <w:t>category 1</w:t>
      </w:r>
      <w:r w:rsidR="00C94D38">
        <w:rPr>
          <w:rFonts w:eastAsia="Times New Roman" w:cs="Times New Roman"/>
          <w:color w:val="222222"/>
          <w:szCs w:val="24"/>
        </w:rPr>
        <w:t xml:space="preserve"> were</w:t>
      </w:r>
      <w:r>
        <w:rPr>
          <w:rFonts w:eastAsia="Times New Roman" w:cs="Times New Roman"/>
          <w:color w:val="222222"/>
          <w:szCs w:val="24"/>
        </w:rPr>
        <w:t xml:space="preserve"> </w:t>
      </w:r>
      <w:r w:rsidR="00E63A56">
        <w:rPr>
          <w:rFonts w:eastAsia="Times New Roman" w:cs="Times New Roman"/>
          <w:color w:val="222222"/>
          <w:szCs w:val="24"/>
        </w:rPr>
        <w:t>large</w:t>
      </w:r>
      <w:r w:rsidRPr="000F79DD">
        <w:rPr>
          <w:rFonts w:eastAsia="Times New Roman" w:cs="Times New Roman"/>
          <w:color w:val="222222"/>
          <w:szCs w:val="24"/>
        </w:rPr>
        <w:t xml:space="preserve">.  </w:t>
      </w:r>
      <w:r>
        <w:rPr>
          <w:rFonts w:eastAsia="Times New Roman" w:cs="Times New Roman"/>
          <w:color w:val="222222"/>
          <w:szCs w:val="24"/>
        </w:rPr>
        <w:t xml:space="preserve">The United States produced </w:t>
      </w:r>
      <w:r w:rsidR="00E63A56">
        <w:rPr>
          <w:rFonts w:eastAsia="Times New Roman" w:cs="Times New Roman"/>
          <w:color w:val="222222"/>
          <w:szCs w:val="24"/>
        </w:rPr>
        <w:t xml:space="preserve">approximately </w:t>
      </w:r>
      <w:r>
        <w:rPr>
          <w:rFonts w:eastAsia="Times New Roman" w:cs="Times New Roman"/>
          <w:color w:val="222222"/>
          <w:szCs w:val="24"/>
        </w:rPr>
        <w:t>276,000 aircraft between 1942 and 1945</w:t>
      </w:r>
      <w:r w:rsidR="00111FBE">
        <w:rPr>
          <w:rFonts w:eastAsia="Times New Roman" w:cs="Times New Roman"/>
          <w:color w:val="222222"/>
          <w:szCs w:val="24"/>
        </w:rPr>
        <w:t xml:space="preserve">, and </w:t>
      </w:r>
      <w:r>
        <w:rPr>
          <w:rFonts w:eastAsia="Times New Roman" w:cs="Times New Roman"/>
          <w:color w:val="222222"/>
          <w:szCs w:val="24"/>
        </w:rPr>
        <w:t>ove</w:t>
      </w:r>
      <w:r w:rsidR="003F0497">
        <w:rPr>
          <w:rFonts w:eastAsia="Times New Roman" w:cs="Times New Roman"/>
          <w:color w:val="222222"/>
          <w:szCs w:val="24"/>
        </w:rPr>
        <w:t>r</w:t>
      </w:r>
      <w:r w:rsidR="00FA2DCC">
        <w:rPr>
          <w:rFonts w:eastAsia="Times New Roman" w:cs="Times New Roman"/>
          <w:color w:val="222222"/>
          <w:szCs w:val="24"/>
        </w:rPr>
        <w:t xml:space="preserve"> 300,000 between 1940 and 1945.  </w:t>
      </w:r>
      <w:r>
        <w:rPr>
          <w:rFonts w:eastAsia="Times New Roman" w:cs="Times New Roman"/>
          <w:color w:val="222222"/>
          <w:szCs w:val="24"/>
        </w:rPr>
        <w:t>The question is how much relevance this had for manufacturing – either civilian or military – after the war.    Wikipedia has compiled a list of most-produced aircraft, enumerating those with production runs</w:t>
      </w:r>
      <w:r w:rsidRPr="000F79DD">
        <w:rPr>
          <w:rFonts w:eastAsia="Times New Roman" w:cs="Times New Roman"/>
          <w:color w:val="222222"/>
          <w:szCs w:val="24"/>
        </w:rPr>
        <w:t xml:space="preserve"> greater than 5,000</w:t>
      </w:r>
      <w:r>
        <w:rPr>
          <w:rFonts w:eastAsia="Times New Roman" w:cs="Times New Roman"/>
          <w:color w:val="222222"/>
          <w:szCs w:val="24"/>
        </w:rPr>
        <w:t xml:space="preserve"> (Wikipedia, 2017a,c). Twenty</w:t>
      </w:r>
      <w:r w:rsidR="008F733C">
        <w:rPr>
          <w:rFonts w:eastAsia="Times New Roman" w:cs="Times New Roman"/>
          <w:color w:val="222222"/>
          <w:szCs w:val="24"/>
        </w:rPr>
        <w:t>-</w:t>
      </w:r>
      <w:r>
        <w:rPr>
          <w:rFonts w:eastAsia="Times New Roman" w:cs="Times New Roman"/>
          <w:color w:val="222222"/>
          <w:szCs w:val="24"/>
        </w:rPr>
        <w:t>one</w:t>
      </w:r>
      <w:r w:rsidRPr="000F79DD">
        <w:rPr>
          <w:rFonts w:eastAsia="Times New Roman" w:cs="Times New Roman"/>
          <w:color w:val="222222"/>
          <w:szCs w:val="24"/>
        </w:rPr>
        <w:t xml:space="preserve"> World War II aircraft</w:t>
      </w:r>
      <w:r>
        <w:rPr>
          <w:rFonts w:eastAsia="Times New Roman" w:cs="Times New Roman"/>
          <w:color w:val="222222"/>
          <w:szCs w:val="24"/>
        </w:rPr>
        <w:t xml:space="preserve"> in the United States </w:t>
      </w:r>
      <w:r w:rsidR="00E63A56">
        <w:rPr>
          <w:rFonts w:eastAsia="Times New Roman" w:cs="Times New Roman"/>
          <w:color w:val="222222"/>
          <w:szCs w:val="24"/>
        </w:rPr>
        <w:t>meet</w:t>
      </w:r>
      <w:r w:rsidRPr="000F79DD">
        <w:rPr>
          <w:rFonts w:eastAsia="Times New Roman" w:cs="Times New Roman"/>
          <w:color w:val="222222"/>
          <w:szCs w:val="24"/>
        </w:rPr>
        <w:t xml:space="preserve"> this criterion:  five bombers (two heavy, two medium, one light), eight fighters, three dive or torpedo bombers, three trainers, a transport aircraft, and a glider. These are described below, with production totals in parentheses, along with information on </w:t>
      </w:r>
      <w:r>
        <w:rPr>
          <w:rFonts w:eastAsia="Times New Roman" w:cs="Times New Roman"/>
          <w:color w:val="222222"/>
          <w:szCs w:val="24"/>
        </w:rPr>
        <w:t>the year in which p</w:t>
      </w:r>
      <w:r w:rsidRPr="000F79DD">
        <w:rPr>
          <w:rFonts w:eastAsia="Times New Roman" w:cs="Times New Roman"/>
          <w:color w:val="222222"/>
          <w:szCs w:val="24"/>
        </w:rPr>
        <w:t>roduction ceased</w:t>
      </w:r>
      <w:r>
        <w:rPr>
          <w:rFonts w:eastAsia="Times New Roman" w:cs="Times New Roman"/>
          <w:color w:val="222222"/>
          <w:szCs w:val="24"/>
        </w:rPr>
        <w:t>.</w:t>
      </w:r>
    </w:p>
    <w:p w14:paraId="6A935AC4" w14:textId="60B2BF70" w:rsidR="00C870F4" w:rsidRPr="000F79DD" w:rsidRDefault="00C870F4" w:rsidP="00C870F4">
      <w:pPr>
        <w:shd w:val="clear" w:color="auto" w:fill="FFFFFF"/>
        <w:spacing w:line="480" w:lineRule="auto"/>
        <w:ind w:firstLine="576"/>
        <w:rPr>
          <w:rFonts w:eastAsia="Times New Roman" w:cs="Times New Roman"/>
          <w:color w:val="222222"/>
          <w:szCs w:val="24"/>
        </w:rPr>
      </w:pPr>
      <w:r w:rsidRPr="000F79DD">
        <w:rPr>
          <w:rFonts w:eastAsia="Times New Roman" w:cs="Times New Roman"/>
          <w:color w:val="222222"/>
          <w:szCs w:val="24"/>
        </w:rPr>
        <w:lastRenderedPageBreak/>
        <w:t>The two heavy bombers were the Boeing B-17 Flying Fortress (12,731) and the Conso</w:t>
      </w:r>
      <w:r w:rsidR="00540BD1">
        <w:rPr>
          <w:rFonts w:eastAsia="Times New Roman" w:cs="Times New Roman"/>
          <w:color w:val="222222"/>
          <w:szCs w:val="24"/>
        </w:rPr>
        <w:t>lidated B-24 Liberator (18,482). The</w:t>
      </w:r>
      <w:r w:rsidRPr="000F79DD">
        <w:rPr>
          <w:rFonts w:eastAsia="Times New Roman" w:cs="Times New Roman"/>
          <w:color w:val="222222"/>
          <w:szCs w:val="24"/>
        </w:rPr>
        <w:t xml:space="preserve"> two medium bombers were the North American Mitchell</w:t>
      </w:r>
      <w:r w:rsidR="00F75AAE">
        <w:rPr>
          <w:rFonts w:eastAsia="Times New Roman" w:cs="Times New Roman"/>
          <w:color w:val="222222"/>
          <w:szCs w:val="24"/>
        </w:rPr>
        <w:t xml:space="preserve"> B-25</w:t>
      </w:r>
      <w:r w:rsidRPr="000F79DD">
        <w:rPr>
          <w:rFonts w:eastAsia="Times New Roman" w:cs="Times New Roman"/>
          <w:color w:val="222222"/>
          <w:szCs w:val="24"/>
        </w:rPr>
        <w:t xml:space="preserve"> (9,984), and the Martin B-26 Marauder (5,288). The light bomber/intruder aircraft was the Douglas DB7 (A-20 Havoc) (7,478).  Production of </w:t>
      </w:r>
      <w:r>
        <w:rPr>
          <w:rFonts w:eastAsia="Times New Roman" w:cs="Times New Roman"/>
          <w:color w:val="222222"/>
          <w:szCs w:val="24"/>
        </w:rPr>
        <w:t>all</w:t>
      </w:r>
      <w:r w:rsidRPr="000F79DD">
        <w:rPr>
          <w:rFonts w:eastAsia="Times New Roman" w:cs="Times New Roman"/>
          <w:color w:val="222222"/>
          <w:szCs w:val="24"/>
        </w:rPr>
        <w:t xml:space="preserve"> </w:t>
      </w:r>
      <w:r w:rsidR="00E63A56">
        <w:rPr>
          <w:rFonts w:eastAsia="Times New Roman" w:cs="Times New Roman"/>
          <w:color w:val="222222"/>
          <w:szCs w:val="24"/>
        </w:rPr>
        <w:t>o</w:t>
      </w:r>
      <w:r w:rsidRPr="000F79DD">
        <w:rPr>
          <w:rFonts w:eastAsia="Times New Roman" w:cs="Times New Roman"/>
          <w:color w:val="222222"/>
          <w:szCs w:val="24"/>
        </w:rPr>
        <w:t xml:space="preserve">f these </w:t>
      </w:r>
      <w:r>
        <w:rPr>
          <w:rFonts w:eastAsia="Times New Roman" w:cs="Times New Roman"/>
          <w:color w:val="222222"/>
          <w:szCs w:val="24"/>
        </w:rPr>
        <w:t>aircraft</w:t>
      </w:r>
      <w:r w:rsidRPr="000F79DD">
        <w:rPr>
          <w:rFonts w:eastAsia="Times New Roman" w:cs="Times New Roman"/>
          <w:color w:val="222222"/>
          <w:szCs w:val="24"/>
        </w:rPr>
        <w:t xml:space="preserve"> ceased in 1945, with the exception of the Douglas, for which production ceased in 1944.  </w:t>
      </w:r>
      <w:r>
        <w:rPr>
          <w:rFonts w:eastAsia="Times New Roman" w:cs="Times New Roman"/>
          <w:color w:val="222222"/>
          <w:szCs w:val="24"/>
        </w:rPr>
        <w:t>Each of these aircraft had b</w:t>
      </w:r>
      <w:r w:rsidR="00440DE7">
        <w:rPr>
          <w:rFonts w:eastAsia="Times New Roman" w:cs="Times New Roman"/>
          <w:color w:val="222222"/>
          <w:szCs w:val="24"/>
        </w:rPr>
        <w:t>een fully</w:t>
      </w:r>
      <w:r>
        <w:rPr>
          <w:rFonts w:eastAsia="Times New Roman" w:cs="Times New Roman"/>
          <w:color w:val="222222"/>
          <w:szCs w:val="24"/>
        </w:rPr>
        <w:t xml:space="preserve"> designed, tested, and flown prior to Pearl Harbor (Wilson, 2016, p. 58).</w:t>
      </w:r>
      <w:r>
        <w:rPr>
          <w:rStyle w:val="FootnoteReference"/>
          <w:rFonts w:eastAsia="Times New Roman" w:cs="Times New Roman"/>
          <w:color w:val="222222"/>
          <w:szCs w:val="24"/>
        </w:rPr>
        <w:footnoteReference w:id="14"/>
      </w:r>
      <w:r w:rsidR="00462ACB">
        <w:rPr>
          <w:rFonts w:eastAsia="Times New Roman" w:cs="Times New Roman"/>
          <w:color w:val="222222"/>
          <w:szCs w:val="24"/>
        </w:rPr>
        <w:t xml:space="preserve">  These bomber production runs </w:t>
      </w:r>
      <w:r w:rsidR="00616F53">
        <w:rPr>
          <w:rFonts w:eastAsia="Times New Roman" w:cs="Times New Roman"/>
          <w:color w:val="222222"/>
          <w:szCs w:val="24"/>
        </w:rPr>
        <w:t xml:space="preserve">exceeded by two orders of magnitude those </w:t>
      </w:r>
      <w:r w:rsidR="00462ACB">
        <w:rPr>
          <w:rFonts w:eastAsia="Times New Roman" w:cs="Times New Roman"/>
          <w:color w:val="222222"/>
          <w:szCs w:val="24"/>
        </w:rPr>
        <w:t>common in the postwar period</w:t>
      </w:r>
      <w:r w:rsidR="00440DE7">
        <w:rPr>
          <w:rFonts w:eastAsia="Times New Roman" w:cs="Times New Roman"/>
          <w:color w:val="222222"/>
          <w:szCs w:val="24"/>
        </w:rPr>
        <w:t>.</w:t>
      </w:r>
      <w:r w:rsidR="00440DE7">
        <w:rPr>
          <w:rStyle w:val="FootnoteReference"/>
          <w:rFonts w:eastAsia="Times New Roman" w:cs="Times New Roman"/>
          <w:color w:val="222222"/>
          <w:szCs w:val="24"/>
        </w:rPr>
        <w:footnoteReference w:id="15"/>
      </w:r>
      <w:r w:rsidR="00462ACB">
        <w:rPr>
          <w:rFonts w:eastAsia="Times New Roman" w:cs="Times New Roman"/>
          <w:color w:val="222222"/>
          <w:szCs w:val="24"/>
        </w:rPr>
        <w:t xml:space="preserve">  </w:t>
      </w:r>
    </w:p>
    <w:p w14:paraId="320E01E5" w14:textId="77777777" w:rsidR="00C870F4" w:rsidRPr="000F79DD" w:rsidRDefault="00C870F4" w:rsidP="00C870F4">
      <w:pPr>
        <w:shd w:val="clear" w:color="auto" w:fill="FFFFFF"/>
        <w:spacing w:line="480" w:lineRule="auto"/>
        <w:ind w:firstLine="576"/>
        <w:rPr>
          <w:rFonts w:eastAsia="Times New Roman" w:cs="Times New Roman"/>
          <w:color w:val="222222"/>
          <w:szCs w:val="24"/>
        </w:rPr>
      </w:pPr>
      <w:r w:rsidRPr="000F79DD">
        <w:rPr>
          <w:rFonts w:eastAsia="Times New Roman" w:cs="Times New Roman"/>
          <w:color w:val="222222"/>
          <w:szCs w:val="24"/>
        </w:rPr>
        <w:t xml:space="preserve">Eight World War II fighters had production runs of more than 5,000:  the Grumman F4F Wildcat (~7,800), the Curtiss P-40 Warhawk (13,738), the </w:t>
      </w:r>
      <w:r>
        <w:rPr>
          <w:rFonts w:eastAsia="Times New Roman" w:cs="Times New Roman"/>
          <w:color w:val="222222"/>
          <w:szCs w:val="24"/>
        </w:rPr>
        <w:t>Chance-</w:t>
      </w:r>
      <w:r w:rsidRPr="000F79DD">
        <w:rPr>
          <w:rFonts w:eastAsia="Times New Roman" w:cs="Times New Roman"/>
          <w:color w:val="222222"/>
          <w:szCs w:val="24"/>
        </w:rPr>
        <w:t xml:space="preserve">Vought F4U Corsair (12,571), the Grumman F6F Hellcat (12,275), the Lockheed P-38 Lightning (10,037), the Republic P-47 Thunderbolt (15,660), the North American P-51 Mustang (15,586), and the Bell P-39 Airacobra (9,584).  Production of all of these aircraft had ceased by the end of 1945, with the exception of the Mustang and the Corsair, which remained in production until 1951 and 1952 respectively. </w:t>
      </w:r>
      <w:r>
        <w:rPr>
          <w:rFonts w:eastAsia="Times New Roman" w:cs="Times New Roman"/>
          <w:color w:val="222222"/>
          <w:szCs w:val="24"/>
        </w:rPr>
        <w:t>All of these aircraft had been designed before the war.  With the exception of the P-47, F4U, and F6F, all had flown prior to Pearl Harbor.</w:t>
      </w:r>
    </w:p>
    <w:p w14:paraId="5E6B8F39" w14:textId="77777777" w:rsidR="00C870F4" w:rsidRPr="000F79DD" w:rsidRDefault="00C870F4" w:rsidP="00C870F4">
      <w:pPr>
        <w:shd w:val="clear" w:color="auto" w:fill="FFFFFF"/>
        <w:spacing w:line="480" w:lineRule="auto"/>
        <w:ind w:firstLine="576"/>
        <w:rPr>
          <w:rFonts w:eastAsia="Times New Roman" w:cs="Times New Roman"/>
          <w:color w:val="222222"/>
          <w:szCs w:val="24"/>
        </w:rPr>
      </w:pPr>
      <w:r w:rsidRPr="000F79DD">
        <w:rPr>
          <w:rFonts w:eastAsia="Times New Roman" w:cs="Times New Roman"/>
          <w:color w:val="222222"/>
          <w:szCs w:val="24"/>
        </w:rPr>
        <w:t>The Douglas SBD Dauntless dive bomber (5,936) and the Curtiss SB2C Helldiver (7,140) ceased production in 1945; the Grumman TBF Avenger torpedo bomber (9,837) in 1944.</w:t>
      </w:r>
      <w:r>
        <w:rPr>
          <w:rFonts w:eastAsia="Times New Roman" w:cs="Times New Roman"/>
          <w:color w:val="222222"/>
          <w:szCs w:val="24"/>
        </w:rPr>
        <w:t xml:space="preserve">  All three had flown prior to Pearl Harbor.</w:t>
      </w:r>
    </w:p>
    <w:p w14:paraId="5F626029" w14:textId="0640DA25" w:rsidR="00C870F4" w:rsidRPr="000F79DD" w:rsidRDefault="00BD6CD8" w:rsidP="00C870F4">
      <w:pPr>
        <w:shd w:val="clear" w:color="auto" w:fill="FFFFFF"/>
        <w:spacing w:line="480" w:lineRule="auto"/>
        <w:ind w:firstLine="576"/>
        <w:rPr>
          <w:rFonts w:eastAsia="Times New Roman" w:cs="Times New Roman"/>
          <w:color w:val="222222"/>
          <w:szCs w:val="24"/>
        </w:rPr>
      </w:pPr>
      <w:r>
        <w:rPr>
          <w:rFonts w:eastAsia="Times New Roman" w:cs="Times New Roman"/>
          <w:color w:val="222222"/>
          <w:szCs w:val="24"/>
        </w:rPr>
        <w:lastRenderedPageBreak/>
        <w:t>The Douglas</w:t>
      </w:r>
      <w:r w:rsidR="00C870F4" w:rsidRPr="000F79DD">
        <w:rPr>
          <w:rFonts w:eastAsia="Times New Roman" w:cs="Times New Roman"/>
          <w:color w:val="222222"/>
          <w:szCs w:val="24"/>
        </w:rPr>
        <w:t xml:space="preserve"> C-47, the military transport version of the DC</w:t>
      </w:r>
      <w:r w:rsidR="00915302">
        <w:rPr>
          <w:rFonts w:eastAsia="Times New Roman" w:cs="Times New Roman"/>
          <w:color w:val="222222"/>
          <w:szCs w:val="24"/>
        </w:rPr>
        <w:t>-</w:t>
      </w:r>
      <w:r w:rsidR="00C870F4" w:rsidRPr="000F79DD">
        <w:rPr>
          <w:rFonts w:eastAsia="Times New Roman" w:cs="Times New Roman"/>
          <w:color w:val="222222"/>
          <w:szCs w:val="24"/>
        </w:rPr>
        <w:t>3, remained in production until 1952, but the rate of production slowed greatly after the war.  Total p</w:t>
      </w:r>
      <w:r w:rsidR="00C870F4">
        <w:rPr>
          <w:rFonts w:eastAsia="Times New Roman" w:cs="Times New Roman"/>
          <w:color w:val="222222"/>
          <w:szCs w:val="24"/>
        </w:rPr>
        <w:t>roduction was 16,079, including</w:t>
      </w:r>
      <w:r w:rsidR="00C870F4" w:rsidRPr="000F79DD">
        <w:rPr>
          <w:rFonts w:eastAsia="Times New Roman" w:cs="Times New Roman"/>
          <w:color w:val="222222"/>
          <w:szCs w:val="24"/>
        </w:rPr>
        <w:t xml:space="preserve"> 607 civilian versions (DC</w:t>
      </w:r>
      <w:r w:rsidR="00915302">
        <w:rPr>
          <w:rFonts w:eastAsia="Times New Roman" w:cs="Times New Roman"/>
          <w:color w:val="222222"/>
          <w:szCs w:val="24"/>
        </w:rPr>
        <w:t>-</w:t>
      </w:r>
      <w:r w:rsidR="00C870F4" w:rsidRPr="000F79DD">
        <w:rPr>
          <w:rFonts w:eastAsia="Times New Roman" w:cs="Times New Roman"/>
          <w:color w:val="222222"/>
          <w:szCs w:val="24"/>
        </w:rPr>
        <w:t>3s completed in 1942 or earlier)</w:t>
      </w:r>
      <w:r w:rsidR="00C870F4">
        <w:rPr>
          <w:rFonts w:eastAsia="Times New Roman" w:cs="Times New Roman"/>
          <w:color w:val="222222"/>
          <w:szCs w:val="24"/>
        </w:rPr>
        <w:t xml:space="preserve">, </w:t>
      </w:r>
      <w:r w:rsidR="00C870F4" w:rsidRPr="000F79DD">
        <w:rPr>
          <w:rFonts w:eastAsia="Times New Roman" w:cs="Times New Roman"/>
          <w:color w:val="222222"/>
          <w:szCs w:val="24"/>
        </w:rPr>
        <w:t xml:space="preserve">10,048 C-47’s built in the United States during the war, </w:t>
      </w:r>
      <w:r w:rsidR="00C870F4">
        <w:rPr>
          <w:rFonts w:eastAsia="Times New Roman" w:cs="Times New Roman"/>
          <w:color w:val="222222"/>
          <w:szCs w:val="24"/>
        </w:rPr>
        <w:t xml:space="preserve">and </w:t>
      </w:r>
      <w:r w:rsidR="00C870F4" w:rsidRPr="000F79DD">
        <w:rPr>
          <w:rFonts w:eastAsia="Times New Roman" w:cs="Times New Roman"/>
          <w:color w:val="222222"/>
          <w:szCs w:val="24"/>
        </w:rPr>
        <w:t>4,937 under license by the Soviets.</w:t>
      </w:r>
    </w:p>
    <w:p w14:paraId="70C700EA" w14:textId="77777777" w:rsidR="00AD45FD" w:rsidRDefault="00C870F4" w:rsidP="00C870F4">
      <w:pPr>
        <w:shd w:val="clear" w:color="auto" w:fill="FFFFFF"/>
        <w:spacing w:line="480" w:lineRule="auto"/>
        <w:ind w:firstLine="576"/>
        <w:rPr>
          <w:rFonts w:eastAsia="Times New Roman" w:cs="Times New Roman"/>
          <w:color w:val="222222"/>
          <w:szCs w:val="24"/>
        </w:rPr>
      </w:pPr>
      <w:r w:rsidRPr="000F79DD">
        <w:rPr>
          <w:rFonts w:eastAsia="Times New Roman" w:cs="Times New Roman"/>
          <w:color w:val="222222"/>
          <w:szCs w:val="24"/>
        </w:rPr>
        <w:t>Three small training aircraft also continued</w:t>
      </w:r>
      <w:r>
        <w:rPr>
          <w:rFonts w:eastAsia="Times New Roman" w:cs="Times New Roman"/>
          <w:color w:val="222222"/>
          <w:szCs w:val="24"/>
        </w:rPr>
        <w:t xml:space="preserve"> to be built</w:t>
      </w:r>
      <w:r w:rsidRPr="000F79DD">
        <w:rPr>
          <w:rFonts w:eastAsia="Times New Roman" w:cs="Times New Roman"/>
          <w:color w:val="222222"/>
          <w:szCs w:val="24"/>
        </w:rPr>
        <w:t xml:space="preserve"> after the war.  The North American T-6 Texan (15,495) remained in production into the 1950s.  The Vultee BT13 Valiant (11,537) ceased production in 1947, and the Fairchild PT-19 (~7,700) in 1948.</w:t>
      </w:r>
      <w:r>
        <w:rPr>
          <w:rFonts w:eastAsia="Times New Roman" w:cs="Times New Roman"/>
          <w:color w:val="222222"/>
          <w:szCs w:val="24"/>
        </w:rPr>
        <w:t xml:space="preserve"> </w:t>
      </w:r>
      <w:r w:rsidRPr="000F79DD">
        <w:rPr>
          <w:rFonts w:eastAsia="Times New Roman" w:cs="Times New Roman"/>
          <w:color w:val="222222"/>
          <w:szCs w:val="24"/>
        </w:rPr>
        <w:t>Finally, ~ 13,900 Waco CG-4 gliders were produced, with production ceasing in 1945</w:t>
      </w:r>
      <w:r>
        <w:rPr>
          <w:rFonts w:eastAsia="Times New Roman" w:cs="Times New Roman"/>
          <w:color w:val="222222"/>
          <w:szCs w:val="24"/>
        </w:rPr>
        <w:t>.</w:t>
      </w:r>
      <w:r>
        <w:rPr>
          <w:rStyle w:val="FootnoteReference"/>
          <w:rFonts w:eastAsia="Times New Roman" w:cs="Times New Roman"/>
          <w:color w:val="222222"/>
          <w:szCs w:val="24"/>
        </w:rPr>
        <w:footnoteReference w:id="16"/>
      </w:r>
      <w:r w:rsidRPr="00C870F4">
        <w:rPr>
          <w:rFonts w:eastAsia="Times New Roman" w:cs="Times New Roman"/>
          <w:color w:val="222222"/>
          <w:szCs w:val="24"/>
        </w:rPr>
        <w:t xml:space="preserve"> </w:t>
      </w:r>
    </w:p>
    <w:p w14:paraId="5C0FF8A8" w14:textId="08B735C6" w:rsidR="00C870F4" w:rsidRDefault="00C870F4" w:rsidP="00C870F4">
      <w:pPr>
        <w:shd w:val="clear" w:color="auto" w:fill="FFFFFF"/>
        <w:spacing w:line="480" w:lineRule="auto"/>
        <w:ind w:firstLine="576"/>
        <w:rPr>
          <w:rFonts w:eastAsia="Times New Roman" w:cs="Times New Roman"/>
          <w:color w:val="222222"/>
          <w:szCs w:val="24"/>
        </w:rPr>
      </w:pPr>
      <w:r>
        <w:rPr>
          <w:rFonts w:eastAsia="Times New Roman" w:cs="Times New Roman"/>
          <w:color w:val="222222"/>
          <w:szCs w:val="24"/>
        </w:rPr>
        <w:t xml:space="preserve">Constructing </w:t>
      </w:r>
      <w:r w:rsidR="00995B75">
        <w:rPr>
          <w:rFonts w:eastAsia="Times New Roman" w:cs="Times New Roman"/>
          <w:color w:val="222222"/>
          <w:szCs w:val="24"/>
        </w:rPr>
        <w:t>so many aircraft in s</w:t>
      </w:r>
      <w:r w:rsidR="005F2596">
        <w:rPr>
          <w:rFonts w:eastAsia="Times New Roman" w:cs="Times New Roman"/>
          <w:color w:val="222222"/>
          <w:szCs w:val="24"/>
        </w:rPr>
        <w:t>uch a short</w:t>
      </w:r>
      <w:r w:rsidR="00995B75">
        <w:rPr>
          <w:rFonts w:eastAsia="Times New Roman" w:cs="Times New Roman"/>
          <w:color w:val="222222"/>
          <w:szCs w:val="24"/>
        </w:rPr>
        <w:t xml:space="preserve"> period </w:t>
      </w:r>
      <w:r w:rsidR="00BD6CD8">
        <w:rPr>
          <w:rFonts w:eastAsia="Times New Roman" w:cs="Times New Roman"/>
          <w:color w:val="222222"/>
          <w:szCs w:val="24"/>
        </w:rPr>
        <w:t xml:space="preserve">was </w:t>
      </w:r>
      <w:r w:rsidR="00915302">
        <w:rPr>
          <w:rFonts w:eastAsia="Times New Roman" w:cs="Times New Roman"/>
          <w:color w:val="222222"/>
          <w:szCs w:val="24"/>
        </w:rPr>
        <w:t>a</w:t>
      </w:r>
      <w:r w:rsidR="001D6180">
        <w:rPr>
          <w:rFonts w:eastAsia="Times New Roman" w:cs="Times New Roman"/>
          <w:color w:val="222222"/>
          <w:szCs w:val="24"/>
        </w:rPr>
        <w:t>n extraordinary</w:t>
      </w:r>
      <w:r w:rsidR="00B74132">
        <w:rPr>
          <w:rFonts w:eastAsia="Times New Roman" w:cs="Times New Roman"/>
          <w:color w:val="222222"/>
          <w:szCs w:val="24"/>
        </w:rPr>
        <w:t xml:space="preserve"> </w:t>
      </w:r>
      <w:r>
        <w:rPr>
          <w:rFonts w:eastAsia="Times New Roman" w:cs="Times New Roman"/>
          <w:color w:val="222222"/>
          <w:szCs w:val="24"/>
        </w:rPr>
        <w:t>achievement</w:t>
      </w:r>
      <w:r w:rsidR="00B74132">
        <w:rPr>
          <w:rFonts w:eastAsia="Times New Roman" w:cs="Times New Roman"/>
          <w:color w:val="222222"/>
          <w:szCs w:val="24"/>
        </w:rPr>
        <w:t xml:space="preserve">. </w:t>
      </w:r>
      <w:r>
        <w:rPr>
          <w:rFonts w:eastAsia="Times New Roman" w:cs="Times New Roman"/>
          <w:color w:val="222222"/>
          <w:szCs w:val="24"/>
        </w:rPr>
        <w:t xml:space="preserve">During </w:t>
      </w:r>
      <w:r w:rsidRPr="000F79DD">
        <w:rPr>
          <w:rFonts w:eastAsia="Times New Roman" w:cs="Times New Roman"/>
          <w:color w:val="222222"/>
          <w:szCs w:val="24"/>
        </w:rPr>
        <w:t xml:space="preserve">1944, the United States completed an airplane </w:t>
      </w:r>
      <w:r>
        <w:rPr>
          <w:rFonts w:eastAsia="Times New Roman" w:cs="Times New Roman"/>
          <w:color w:val="222222"/>
          <w:szCs w:val="24"/>
        </w:rPr>
        <w:t xml:space="preserve">on average once </w:t>
      </w:r>
      <w:r w:rsidRPr="000F79DD">
        <w:rPr>
          <w:rFonts w:eastAsia="Times New Roman" w:cs="Times New Roman"/>
          <w:color w:val="222222"/>
          <w:szCs w:val="24"/>
        </w:rPr>
        <w:t xml:space="preserve">every five </w:t>
      </w:r>
      <w:r>
        <w:rPr>
          <w:rFonts w:eastAsia="Times New Roman" w:cs="Times New Roman"/>
          <w:color w:val="222222"/>
          <w:szCs w:val="24"/>
        </w:rPr>
        <w:t xml:space="preserve">and a half </w:t>
      </w:r>
      <w:r w:rsidRPr="000F79DD">
        <w:rPr>
          <w:rFonts w:eastAsia="Times New Roman" w:cs="Times New Roman"/>
          <w:color w:val="222222"/>
          <w:szCs w:val="24"/>
        </w:rPr>
        <w:t>minutes (Walton, 1956, p. 540).</w:t>
      </w:r>
      <w:r>
        <w:rPr>
          <w:rStyle w:val="FootnoteReference"/>
          <w:rFonts w:eastAsia="Times New Roman" w:cs="Times New Roman"/>
          <w:color w:val="222222"/>
          <w:szCs w:val="24"/>
        </w:rPr>
        <w:footnoteReference w:id="17"/>
      </w:r>
      <w:r w:rsidRPr="000F79DD">
        <w:rPr>
          <w:rFonts w:eastAsia="Times New Roman" w:cs="Times New Roman"/>
          <w:color w:val="222222"/>
          <w:szCs w:val="24"/>
        </w:rPr>
        <w:t xml:space="preserve">  But </w:t>
      </w:r>
      <w:r w:rsidR="00995B75">
        <w:rPr>
          <w:rFonts w:eastAsia="Times New Roman" w:cs="Times New Roman"/>
          <w:color w:val="222222"/>
          <w:szCs w:val="24"/>
        </w:rPr>
        <w:t xml:space="preserve">the war had not effected a dramatic acceleration of the design process. </w:t>
      </w:r>
      <w:r>
        <w:rPr>
          <w:rFonts w:eastAsia="Times New Roman" w:cs="Times New Roman"/>
          <w:color w:val="222222"/>
          <w:szCs w:val="24"/>
        </w:rPr>
        <w:t xml:space="preserve">Every military aircraft experiencing significant World War II deployment had been fully designed prior to the war, and, as noted, all but four (the B-29 and the three fighters mentioned above) had been flight tested or were already in active service prior to Pearl Harbor. </w:t>
      </w:r>
      <w:r w:rsidR="005F2596">
        <w:rPr>
          <w:rFonts w:eastAsia="Times New Roman" w:cs="Times New Roman"/>
          <w:color w:val="222222"/>
          <w:szCs w:val="24"/>
        </w:rPr>
        <w:t>N</w:t>
      </w:r>
      <w:r w:rsidR="005F2596" w:rsidRPr="000F79DD">
        <w:rPr>
          <w:rFonts w:eastAsia="Times New Roman" w:cs="Times New Roman"/>
          <w:color w:val="222222"/>
          <w:szCs w:val="24"/>
        </w:rPr>
        <w:t xml:space="preserve">one of the experience </w:t>
      </w:r>
      <w:r w:rsidR="005F2596">
        <w:rPr>
          <w:rFonts w:eastAsia="Times New Roman" w:cs="Times New Roman"/>
          <w:color w:val="222222"/>
          <w:szCs w:val="24"/>
        </w:rPr>
        <w:t>acquired</w:t>
      </w:r>
      <w:r w:rsidR="005F2596" w:rsidRPr="000F79DD">
        <w:rPr>
          <w:rFonts w:eastAsia="Times New Roman" w:cs="Times New Roman"/>
          <w:color w:val="222222"/>
          <w:szCs w:val="24"/>
        </w:rPr>
        <w:t xml:space="preserve"> in producing </w:t>
      </w:r>
      <w:r w:rsidR="005F2596">
        <w:rPr>
          <w:rFonts w:eastAsia="Times New Roman" w:cs="Times New Roman"/>
          <w:color w:val="222222"/>
          <w:szCs w:val="24"/>
        </w:rPr>
        <w:t xml:space="preserve">these </w:t>
      </w:r>
      <w:r w:rsidR="005F2596" w:rsidRPr="000F79DD">
        <w:rPr>
          <w:rFonts w:eastAsia="Times New Roman" w:cs="Times New Roman"/>
          <w:color w:val="222222"/>
          <w:szCs w:val="24"/>
        </w:rPr>
        <w:t xml:space="preserve">models can have had much </w:t>
      </w:r>
      <w:r w:rsidR="005F2596">
        <w:rPr>
          <w:rFonts w:eastAsia="Times New Roman" w:cs="Times New Roman"/>
          <w:color w:val="222222"/>
          <w:szCs w:val="24"/>
        </w:rPr>
        <w:t xml:space="preserve">direct </w:t>
      </w:r>
      <w:r w:rsidR="005F2596" w:rsidRPr="000F79DD">
        <w:rPr>
          <w:rFonts w:eastAsia="Times New Roman" w:cs="Times New Roman"/>
          <w:color w:val="222222"/>
          <w:szCs w:val="24"/>
        </w:rPr>
        <w:t>bearing on US productivity levels and growth in the postwar period, because production of almost all ceased prior to or shortly after the end of the war.</w:t>
      </w:r>
    </w:p>
    <w:p w14:paraId="6BC33738" w14:textId="3380F501" w:rsidR="00C870F4" w:rsidRPr="000F79DD" w:rsidRDefault="00C870F4" w:rsidP="00C870F4">
      <w:pPr>
        <w:shd w:val="clear" w:color="auto" w:fill="FFFFFF"/>
        <w:spacing w:line="480" w:lineRule="auto"/>
        <w:ind w:firstLine="576"/>
        <w:rPr>
          <w:rFonts w:eastAsia="Times New Roman" w:cs="Times New Roman"/>
          <w:color w:val="222222"/>
          <w:szCs w:val="24"/>
        </w:rPr>
      </w:pPr>
      <w:r w:rsidRPr="000F79DD">
        <w:rPr>
          <w:rFonts w:eastAsia="Times New Roman" w:cs="Times New Roman"/>
          <w:color w:val="222222"/>
          <w:szCs w:val="24"/>
        </w:rPr>
        <w:t>What about category</w:t>
      </w:r>
      <w:r>
        <w:rPr>
          <w:rFonts w:eastAsia="Times New Roman" w:cs="Times New Roman"/>
          <w:color w:val="222222"/>
          <w:szCs w:val="24"/>
        </w:rPr>
        <w:t xml:space="preserve"> 2</w:t>
      </w:r>
      <w:r w:rsidR="00AD4BF5">
        <w:rPr>
          <w:rFonts w:eastAsia="Times New Roman" w:cs="Times New Roman"/>
          <w:color w:val="222222"/>
          <w:szCs w:val="24"/>
        </w:rPr>
        <w:t xml:space="preserve"> </w:t>
      </w:r>
      <w:r w:rsidRPr="000F79DD">
        <w:rPr>
          <w:rFonts w:eastAsia="Times New Roman" w:cs="Times New Roman"/>
          <w:color w:val="222222"/>
          <w:szCs w:val="24"/>
        </w:rPr>
        <w:t>–</w:t>
      </w:r>
      <w:r>
        <w:rPr>
          <w:rFonts w:eastAsia="Times New Roman" w:cs="Times New Roman"/>
          <w:color w:val="222222"/>
          <w:szCs w:val="24"/>
        </w:rPr>
        <w:t xml:space="preserve"> gains </w:t>
      </w:r>
      <w:r w:rsidRPr="000F79DD">
        <w:rPr>
          <w:rFonts w:eastAsia="Times New Roman" w:cs="Times New Roman"/>
          <w:color w:val="222222"/>
          <w:szCs w:val="24"/>
        </w:rPr>
        <w:t xml:space="preserve">relevant perhaps not to </w:t>
      </w:r>
      <w:r>
        <w:rPr>
          <w:rFonts w:eastAsia="Times New Roman" w:cs="Times New Roman"/>
          <w:color w:val="222222"/>
          <w:szCs w:val="24"/>
        </w:rPr>
        <w:t>the</w:t>
      </w:r>
      <w:r w:rsidR="00C94D38">
        <w:rPr>
          <w:rFonts w:eastAsia="Times New Roman" w:cs="Times New Roman"/>
          <w:color w:val="222222"/>
          <w:szCs w:val="24"/>
        </w:rPr>
        <w:t xml:space="preserve"> </w:t>
      </w:r>
      <w:r w:rsidRPr="000F79DD">
        <w:rPr>
          <w:rFonts w:eastAsia="Times New Roman" w:cs="Times New Roman"/>
          <w:color w:val="222222"/>
          <w:szCs w:val="24"/>
        </w:rPr>
        <w:t>manufactu</w:t>
      </w:r>
      <w:r>
        <w:rPr>
          <w:rFonts w:eastAsia="Times New Roman" w:cs="Times New Roman"/>
          <w:color w:val="222222"/>
          <w:szCs w:val="24"/>
        </w:rPr>
        <w:t>re of specific aircraft</w:t>
      </w:r>
      <w:r w:rsidRPr="000F79DD">
        <w:rPr>
          <w:rFonts w:eastAsia="Times New Roman" w:cs="Times New Roman"/>
          <w:color w:val="222222"/>
          <w:szCs w:val="24"/>
        </w:rPr>
        <w:t xml:space="preserve"> per se, but to the manufacture of aircraft more generally?  </w:t>
      </w:r>
      <w:r w:rsidR="00C94D38">
        <w:rPr>
          <w:rFonts w:eastAsia="Times New Roman" w:cs="Times New Roman"/>
          <w:color w:val="222222"/>
          <w:szCs w:val="24"/>
        </w:rPr>
        <w:t>This was, after all, an industry in which the United States beca</w:t>
      </w:r>
      <w:r w:rsidR="00915302">
        <w:rPr>
          <w:rFonts w:eastAsia="Times New Roman" w:cs="Times New Roman"/>
          <w:color w:val="222222"/>
          <w:szCs w:val="24"/>
        </w:rPr>
        <w:t xml:space="preserve">me a world leader after the war, with consequences that transformed </w:t>
      </w:r>
      <w:r w:rsidR="00915302">
        <w:rPr>
          <w:rFonts w:eastAsia="Times New Roman" w:cs="Times New Roman"/>
          <w:color w:val="222222"/>
          <w:szCs w:val="24"/>
        </w:rPr>
        <w:lastRenderedPageBreak/>
        <w:t>regional economies, particularly in the West.</w:t>
      </w:r>
      <w:r w:rsidR="00C94D38">
        <w:rPr>
          <w:rFonts w:eastAsia="Times New Roman" w:cs="Times New Roman"/>
          <w:color w:val="222222"/>
          <w:szCs w:val="24"/>
        </w:rPr>
        <w:t xml:space="preserve">  </w:t>
      </w:r>
      <w:r>
        <w:rPr>
          <w:rFonts w:eastAsia="Times New Roman" w:cs="Times New Roman"/>
          <w:color w:val="222222"/>
          <w:szCs w:val="24"/>
        </w:rPr>
        <w:t>I</w:t>
      </w:r>
      <w:r w:rsidRPr="000F79DD">
        <w:rPr>
          <w:rFonts w:eastAsia="Times New Roman" w:cs="Times New Roman"/>
          <w:color w:val="222222"/>
          <w:szCs w:val="24"/>
        </w:rPr>
        <w:t>t is important</w:t>
      </w:r>
      <w:r w:rsidR="00BD6CD8">
        <w:rPr>
          <w:rFonts w:eastAsia="Times New Roman" w:cs="Times New Roman"/>
          <w:color w:val="222222"/>
          <w:szCs w:val="24"/>
        </w:rPr>
        <w:t xml:space="preserve"> in this regard</w:t>
      </w:r>
      <w:r w:rsidRPr="000F79DD">
        <w:rPr>
          <w:rFonts w:eastAsia="Times New Roman" w:cs="Times New Roman"/>
          <w:color w:val="222222"/>
          <w:szCs w:val="24"/>
        </w:rPr>
        <w:t xml:space="preserve"> to </w:t>
      </w:r>
      <w:r>
        <w:rPr>
          <w:rFonts w:eastAsia="Times New Roman" w:cs="Times New Roman"/>
          <w:color w:val="222222"/>
          <w:szCs w:val="24"/>
        </w:rPr>
        <w:t>appreciate</w:t>
      </w:r>
      <w:r w:rsidRPr="000F79DD">
        <w:rPr>
          <w:rFonts w:eastAsia="Times New Roman" w:cs="Times New Roman"/>
          <w:color w:val="222222"/>
          <w:szCs w:val="24"/>
        </w:rPr>
        <w:t xml:space="preserve"> the </w:t>
      </w:r>
      <w:r w:rsidR="0087530C">
        <w:rPr>
          <w:rFonts w:eastAsia="Times New Roman" w:cs="Times New Roman"/>
          <w:color w:val="222222"/>
          <w:szCs w:val="24"/>
        </w:rPr>
        <w:t xml:space="preserve">unusual and indeed </w:t>
      </w:r>
      <w:r w:rsidRPr="000F79DD">
        <w:rPr>
          <w:rFonts w:eastAsia="Times New Roman" w:cs="Times New Roman"/>
          <w:color w:val="222222"/>
          <w:szCs w:val="24"/>
        </w:rPr>
        <w:t xml:space="preserve">unique </w:t>
      </w:r>
      <w:r>
        <w:rPr>
          <w:rFonts w:eastAsia="Times New Roman" w:cs="Times New Roman"/>
          <w:color w:val="222222"/>
          <w:szCs w:val="24"/>
        </w:rPr>
        <w:t>characteristics</w:t>
      </w:r>
      <w:r w:rsidRPr="000F79DD">
        <w:rPr>
          <w:rFonts w:eastAsia="Times New Roman" w:cs="Times New Roman"/>
          <w:color w:val="222222"/>
          <w:szCs w:val="24"/>
        </w:rPr>
        <w:t xml:space="preserve"> of World War II aircraft manufacture.  </w:t>
      </w:r>
      <w:r w:rsidR="00C94D38">
        <w:rPr>
          <w:rFonts w:eastAsia="Times New Roman" w:cs="Times New Roman"/>
          <w:color w:val="222222"/>
          <w:szCs w:val="24"/>
        </w:rPr>
        <w:t xml:space="preserve">The country – indeed the world – never again produced such </w:t>
      </w:r>
      <w:r w:rsidR="00810ED7">
        <w:rPr>
          <w:rFonts w:eastAsia="Times New Roman" w:cs="Times New Roman"/>
          <w:color w:val="222222"/>
          <w:szCs w:val="24"/>
        </w:rPr>
        <w:t xml:space="preserve">vast </w:t>
      </w:r>
      <w:r w:rsidR="00C94D38">
        <w:rPr>
          <w:rFonts w:eastAsia="Times New Roman" w:cs="Times New Roman"/>
          <w:color w:val="222222"/>
          <w:szCs w:val="24"/>
        </w:rPr>
        <w:t xml:space="preserve">quantities in a </w:t>
      </w:r>
      <w:r w:rsidR="005F2596">
        <w:rPr>
          <w:rFonts w:eastAsia="Times New Roman" w:cs="Times New Roman"/>
          <w:color w:val="222222"/>
          <w:szCs w:val="24"/>
        </w:rPr>
        <w:t xml:space="preserve">similarly </w:t>
      </w:r>
      <w:r w:rsidR="00C94D38">
        <w:rPr>
          <w:rFonts w:eastAsia="Times New Roman" w:cs="Times New Roman"/>
          <w:color w:val="222222"/>
          <w:szCs w:val="24"/>
        </w:rPr>
        <w:t xml:space="preserve">compressed time frame.  </w:t>
      </w:r>
      <w:r w:rsidRPr="000F79DD">
        <w:rPr>
          <w:rFonts w:eastAsia="Times New Roman" w:cs="Times New Roman"/>
          <w:color w:val="222222"/>
          <w:szCs w:val="24"/>
        </w:rPr>
        <w:t xml:space="preserve">In the postwar period, </w:t>
      </w:r>
      <w:r>
        <w:rPr>
          <w:rFonts w:eastAsia="Times New Roman" w:cs="Times New Roman"/>
          <w:color w:val="222222"/>
          <w:szCs w:val="24"/>
        </w:rPr>
        <w:t xml:space="preserve">a very small number of </w:t>
      </w:r>
      <w:r w:rsidRPr="000F79DD">
        <w:rPr>
          <w:rFonts w:eastAsia="Times New Roman" w:cs="Times New Roman"/>
          <w:color w:val="222222"/>
          <w:szCs w:val="24"/>
        </w:rPr>
        <w:t xml:space="preserve">aircraft models </w:t>
      </w:r>
      <w:r w:rsidR="0087530C">
        <w:rPr>
          <w:rFonts w:eastAsia="Times New Roman" w:cs="Times New Roman"/>
          <w:color w:val="222222"/>
          <w:szCs w:val="24"/>
        </w:rPr>
        <w:t xml:space="preserve">have </w:t>
      </w:r>
      <w:r w:rsidRPr="000F79DD">
        <w:rPr>
          <w:rFonts w:eastAsia="Times New Roman" w:cs="Times New Roman"/>
          <w:color w:val="222222"/>
          <w:szCs w:val="24"/>
        </w:rPr>
        <w:t>approached or exceeded cumu</w:t>
      </w:r>
      <w:r>
        <w:rPr>
          <w:rFonts w:eastAsia="Times New Roman" w:cs="Times New Roman"/>
          <w:color w:val="222222"/>
          <w:szCs w:val="24"/>
        </w:rPr>
        <w:t>lative production runs of 5,000, and most of those that did we</w:t>
      </w:r>
      <w:r w:rsidRPr="000F79DD">
        <w:rPr>
          <w:rFonts w:eastAsia="Times New Roman" w:cs="Times New Roman"/>
          <w:color w:val="222222"/>
          <w:szCs w:val="24"/>
        </w:rPr>
        <w:t xml:space="preserve">re small single engine aircraft </w:t>
      </w:r>
      <w:r>
        <w:rPr>
          <w:rFonts w:eastAsia="Times New Roman" w:cs="Times New Roman"/>
          <w:color w:val="222222"/>
          <w:szCs w:val="24"/>
        </w:rPr>
        <w:t xml:space="preserve">produced </w:t>
      </w:r>
      <w:r w:rsidRPr="000F79DD">
        <w:rPr>
          <w:rFonts w:eastAsia="Times New Roman" w:cs="Times New Roman"/>
          <w:color w:val="222222"/>
          <w:szCs w:val="24"/>
        </w:rPr>
        <w:t>for the general aviation market:  Beechcraft, Cessnas, Pipers, and Aeroncas.</w:t>
      </w:r>
    </w:p>
    <w:p w14:paraId="3B2A58A7" w14:textId="083E017A" w:rsidR="00C870F4" w:rsidRPr="000F79DD" w:rsidRDefault="00C870F4" w:rsidP="00C870F4">
      <w:pPr>
        <w:shd w:val="clear" w:color="auto" w:fill="FFFFFF"/>
        <w:spacing w:line="480" w:lineRule="auto"/>
        <w:ind w:firstLine="576"/>
        <w:rPr>
          <w:rFonts w:eastAsia="Times New Roman" w:cs="Times New Roman"/>
          <w:color w:val="222222"/>
          <w:szCs w:val="24"/>
        </w:rPr>
      </w:pPr>
      <w:r>
        <w:rPr>
          <w:rFonts w:eastAsia="Times New Roman" w:cs="Times New Roman"/>
          <w:color w:val="222222"/>
          <w:szCs w:val="24"/>
        </w:rPr>
        <w:t>After World War II, o</w:t>
      </w:r>
      <w:r w:rsidRPr="000F79DD">
        <w:rPr>
          <w:rFonts w:eastAsia="Times New Roman" w:cs="Times New Roman"/>
          <w:color w:val="222222"/>
          <w:szCs w:val="24"/>
        </w:rPr>
        <w:t>nly four military aircraft experienced production runs greater than 5,000:  the North American F-86 Sabre (9,860, 1947-56), the Republic F-84 Thunde</w:t>
      </w:r>
      <w:r>
        <w:rPr>
          <w:rFonts w:eastAsia="Times New Roman" w:cs="Times New Roman"/>
          <w:color w:val="222222"/>
          <w:szCs w:val="24"/>
        </w:rPr>
        <w:t>rjet (7,524; 1946-53), t</w:t>
      </w:r>
      <w:r w:rsidRPr="000F79DD">
        <w:rPr>
          <w:rFonts w:eastAsia="Times New Roman" w:cs="Times New Roman"/>
          <w:color w:val="222222"/>
          <w:szCs w:val="24"/>
        </w:rPr>
        <w:t>he McDonnel</w:t>
      </w:r>
      <w:r>
        <w:rPr>
          <w:rFonts w:eastAsia="Times New Roman" w:cs="Times New Roman"/>
          <w:color w:val="222222"/>
          <w:szCs w:val="24"/>
        </w:rPr>
        <w:t>l</w:t>
      </w:r>
      <w:r w:rsidRPr="000F79DD">
        <w:rPr>
          <w:rFonts w:eastAsia="Times New Roman" w:cs="Times New Roman"/>
          <w:color w:val="222222"/>
          <w:szCs w:val="24"/>
        </w:rPr>
        <w:t xml:space="preserve">-Douglas F-4 Phantom II (5,195; 1958-81) and the Lockheed T-33 Shooting Star jet trainer (6,557; 1948-59).  </w:t>
      </w:r>
      <w:r>
        <w:rPr>
          <w:rFonts w:eastAsia="Times New Roman" w:cs="Times New Roman"/>
          <w:color w:val="222222"/>
          <w:szCs w:val="24"/>
        </w:rPr>
        <w:t>More typical</w:t>
      </w:r>
      <w:r w:rsidR="00E779AC">
        <w:rPr>
          <w:rFonts w:eastAsia="Times New Roman" w:cs="Times New Roman"/>
          <w:color w:val="222222"/>
          <w:szCs w:val="24"/>
        </w:rPr>
        <w:t>, as noted,</w:t>
      </w:r>
      <w:r>
        <w:rPr>
          <w:rFonts w:eastAsia="Times New Roman" w:cs="Times New Roman"/>
          <w:color w:val="222222"/>
          <w:szCs w:val="24"/>
        </w:rPr>
        <w:t xml:space="preserve"> was the subsonic heavy bomber, the B-52, originally built between 1954 and 1963, with a cumulative production run of 742.  Only one </w:t>
      </w:r>
      <w:r w:rsidRPr="000F79DD">
        <w:rPr>
          <w:rFonts w:eastAsia="Times New Roman" w:cs="Times New Roman"/>
          <w:color w:val="222222"/>
          <w:szCs w:val="24"/>
        </w:rPr>
        <w:t xml:space="preserve">US commercial </w:t>
      </w:r>
      <w:r w:rsidR="00682870">
        <w:rPr>
          <w:rFonts w:eastAsia="Times New Roman" w:cs="Times New Roman"/>
          <w:color w:val="222222"/>
          <w:szCs w:val="24"/>
        </w:rPr>
        <w:t>aircraft</w:t>
      </w:r>
      <w:r w:rsidRPr="000F79DD">
        <w:rPr>
          <w:rFonts w:eastAsia="Times New Roman" w:cs="Times New Roman"/>
          <w:color w:val="222222"/>
          <w:szCs w:val="24"/>
        </w:rPr>
        <w:t xml:space="preserve"> has exceeded cumulated output of more than 5,000</w:t>
      </w:r>
      <w:r w:rsidR="00E754EB">
        <w:rPr>
          <w:rFonts w:eastAsia="Times New Roman" w:cs="Times New Roman"/>
          <w:color w:val="222222"/>
          <w:szCs w:val="24"/>
        </w:rPr>
        <w:t xml:space="preserve"> in the postwar period.  </w:t>
      </w:r>
      <w:r w:rsidR="005F2596">
        <w:rPr>
          <w:rFonts w:eastAsia="Times New Roman" w:cs="Times New Roman"/>
          <w:color w:val="222222"/>
          <w:szCs w:val="24"/>
        </w:rPr>
        <w:t>P</w:t>
      </w:r>
      <w:r w:rsidRPr="000F79DD">
        <w:rPr>
          <w:rFonts w:eastAsia="Times New Roman" w:cs="Times New Roman"/>
          <w:color w:val="222222"/>
          <w:szCs w:val="24"/>
        </w:rPr>
        <w:t xml:space="preserve">roduction </w:t>
      </w:r>
      <w:r w:rsidR="00431CD1">
        <w:rPr>
          <w:rFonts w:eastAsia="Times New Roman" w:cs="Times New Roman"/>
          <w:color w:val="222222"/>
          <w:szCs w:val="24"/>
        </w:rPr>
        <w:t>of the Boeing 737</w:t>
      </w:r>
      <w:r w:rsidR="00FA52DF">
        <w:rPr>
          <w:rFonts w:eastAsia="Times New Roman" w:cs="Times New Roman"/>
          <w:color w:val="222222"/>
          <w:szCs w:val="24"/>
        </w:rPr>
        <w:t xml:space="preserve"> </w:t>
      </w:r>
      <w:r w:rsidR="00D959AC">
        <w:rPr>
          <w:rFonts w:eastAsia="Times New Roman" w:cs="Times New Roman"/>
          <w:color w:val="222222"/>
          <w:szCs w:val="24"/>
        </w:rPr>
        <w:t xml:space="preserve">began in 1967 and </w:t>
      </w:r>
      <w:r w:rsidR="00FA52DF">
        <w:rPr>
          <w:rFonts w:eastAsia="Times New Roman" w:cs="Times New Roman"/>
          <w:color w:val="222222"/>
          <w:szCs w:val="24"/>
        </w:rPr>
        <w:t xml:space="preserve">as of August 2017 </w:t>
      </w:r>
      <w:r w:rsidR="0056023E">
        <w:rPr>
          <w:rFonts w:eastAsia="Times New Roman" w:cs="Times New Roman"/>
          <w:color w:val="222222"/>
          <w:szCs w:val="24"/>
        </w:rPr>
        <w:t>appr</w:t>
      </w:r>
      <w:r w:rsidR="00D959AC">
        <w:rPr>
          <w:rFonts w:eastAsia="Times New Roman" w:cs="Times New Roman"/>
          <w:color w:val="222222"/>
          <w:szCs w:val="24"/>
        </w:rPr>
        <w:t>oached</w:t>
      </w:r>
      <w:r w:rsidR="0056023E">
        <w:rPr>
          <w:rFonts w:eastAsia="Times New Roman" w:cs="Times New Roman"/>
          <w:color w:val="222222"/>
          <w:szCs w:val="24"/>
        </w:rPr>
        <w:t xml:space="preserve"> 9,7</w:t>
      </w:r>
      <w:r>
        <w:rPr>
          <w:rFonts w:eastAsia="Times New Roman" w:cs="Times New Roman"/>
          <w:color w:val="222222"/>
          <w:szCs w:val="24"/>
        </w:rPr>
        <w:t>00</w:t>
      </w:r>
      <w:r w:rsidR="00E32A37">
        <w:rPr>
          <w:rFonts w:eastAsia="Times New Roman" w:cs="Times New Roman"/>
          <w:color w:val="222222"/>
          <w:szCs w:val="24"/>
        </w:rPr>
        <w:t>.  That cumulative output, however,</w:t>
      </w:r>
      <w:r w:rsidR="00FA52DF">
        <w:rPr>
          <w:rFonts w:eastAsia="Times New Roman" w:cs="Times New Roman"/>
          <w:color w:val="222222"/>
          <w:szCs w:val="24"/>
        </w:rPr>
        <w:t xml:space="preserve"> has taken place over half a century</w:t>
      </w:r>
      <w:r w:rsidR="00422B0F">
        <w:rPr>
          <w:rFonts w:eastAsia="Times New Roman" w:cs="Times New Roman"/>
          <w:color w:val="222222"/>
          <w:szCs w:val="24"/>
        </w:rPr>
        <w:t>, not two or three years.</w:t>
      </w:r>
    </w:p>
    <w:p w14:paraId="6297DB81" w14:textId="2EF6F329" w:rsidR="00DE1A00" w:rsidRDefault="00690BF3" w:rsidP="00DE1A00">
      <w:pPr>
        <w:shd w:val="clear" w:color="auto" w:fill="FFFFFF"/>
        <w:spacing w:line="480" w:lineRule="auto"/>
        <w:ind w:firstLine="576"/>
        <w:rPr>
          <w:rFonts w:eastAsia="Times New Roman" w:cs="Times New Roman"/>
          <w:color w:val="222222"/>
          <w:szCs w:val="24"/>
        </w:rPr>
      </w:pPr>
      <w:r>
        <w:rPr>
          <w:rFonts w:eastAsia="Times New Roman" w:cs="Times New Roman"/>
          <w:color w:val="222222"/>
          <w:szCs w:val="24"/>
        </w:rPr>
        <w:t>S</w:t>
      </w:r>
      <w:r w:rsidR="007777D3">
        <w:rPr>
          <w:rFonts w:eastAsia="Times New Roman" w:cs="Times New Roman"/>
          <w:color w:val="222222"/>
          <w:szCs w:val="24"/>
        </w:rPr>
        <w:t>ome c</w:t>
      </w:r>
      <w:r w:rsidR="00810ED7">
        <w:rPr>
          <w:rFonts w:eastAsia="Times New Roman" w:cs="Times New Roman"/>
          <w:color w:val="222222"/>
          <w:szCs w:val="24"/>
        </w:rPr>
        <w:t>ompromise</w:t>
      </w:r>
      <w:r w:rsidR="00F75AAE">
        <w:rPr>
          <w:rFonts w:eastAsia="Times New Roman" w:cs="Times New Roman"/>
          <w:color w:val="222222"/>
          <w:szCs w:val="24"/>
        </w:rPr>
        <w:t>s</w:t>
      </w:r>
      <w:r w:rsidR="005F2596">
        <w:rPr>
          <w:rFonts w:eastAsia="Times New Roman" w:cs="Times New Roman"/>
          <w:color w:val="222222"/>
          <w:szCs w:val="24"/>
        </w:rPr>
        <w:t>, moreover,</w:t>
      </w:r>
      <w:r w:rsidR="00810ED7">
        <w:rPr>
          <w:rFonts w:eastAsia="Times New Roman" w:cs="Times New Roman"/>
          <w:color w:val="222222"/>
          <w:szCs w:val="24"/>
        </w:rPr>
        <w:t xml:space="preserve"> </w:t>
      </w:r>
      <w:r w:rsidR="00FF1943">
        <w:rPr>
          <w:rFonts w:eastAsia="Times New Roman" w:cs="Times New Roman"/>
          <w:color w:val="222222"/>
          <w:szCs w:val="24"/>
        </w:rPr>
        <w:t xml:space="preserve">had </w:t>
      </w:r>
      <w:r>
        <w:rPr>
          <w:rFonts w:eastAsia="Times New Roman" w:cs="Times New Roman"/>
          <w:color w:val="222222"/>
          <w:szCs w:val="24"/>
        </w:rPr>
        <w:t xml:space="preserve">to be made </w:t>
      </w:r>
      <w:r w:rsidR="00E32A37">
        <w:rPr>
          <w:rFonts w:eastAsia="Times New Roman" w:cs="Times New Roman"/>
          <w:color w:val="222222"/>
          <w:szCs w:val="24"/>
        </w:rPr>
        <w:t>to enable the</w:t>
      </w:r>
      <w:r w:rsidR="00FD09CE">
        <w:rPr>
          <w:rFonts w:eastAsia="Times New Roman" w:cs="Times New Roman"/>
          <w:color w:val="222222"/>
          <w:szCs w:val="24"/>
        </w:rPr>
        <w:t xml:space="preserve"> extraordinary</w:t>
      </w:r>
      <w:r w:rsidR="008F4F75">
        <w:rPr>
          <w:rFonts w:eastAsia="Times New Roman" w:cs="Times New Roman"/>
          <w:color w:val="222222"/>
          <w:szCs w:val="24"/>
        </w:rPr>
        <w:t xml:space="preserve"> </w:t>
      </w:r>
      <w:r w:rsidR="00810ED7">
        <w:rPr>
          <w:rFonts w:eastAsia="Times New Roman" w:cs="Times New Roman"/>
          <w:color w:val="222222"/>
          <w:szCs w:val="24"/>
        </w:rPr>
        <w:t xml:space="preserve">wartime </w:t>
      </w:r>
      <w:r w:rsidR="00FD09CE">
        <w:rPr>
          <w:rFonts w:eastAsia="Times New Roman" w:cs="Times New Roman"/>
          <w:color w:val="222222"/>
          <w:szCs w:val="24"/>
        </w:rPr>
        <w:t xml:space="preserve">rate of </w:t>
      </w:r>
      <w:r w:rsidR="008F4F75">
        <w:rPr>
          <w:rFonts w:eastAsia="Times New Roman" w:cs="Times New Roman"/>
          <w:color w:val="222222"/>
          <w:szCs w:val="24"/>
        </w:rPr>
        <w:t>throughput</w:t>
      </w:r>
      <w:r w:rsidR="00FF1943">
        <w:rPr>
          <w:rFonts w:eastAsia="Times New Roman" w:cs="Times New Roman"/>
          <w:color w:val="222222"/>
          <w:szCs w:val="24"/>
        </w:rPr>
        <w:t xml:space="preserve">. </w:t>
      </w:r>
      <w:r w:rsidR="00652D5E">
        <w:rPr>
          <w:rFonts w:eastAsia="Times New Roman" w:cs="Times New Roman"/>
          <w:color w:val="222222"/>
          <w:szCs w:val="24"/>
        </w:rPr>
        <w:t xml:space="preserve"> </w:t>
      </w:r>
      <w:r w:rsidR="00FD09CE">
        <w:rPr>
          <w:rFonts w:eastAsia="Times New Roman" w:cs="Times New Roman"/>
          <w:color w:val="222222"/>
          <w:szCs w:val="24"/>
        </w:rPr>
        <w:t>M</w:t>
      </w:r>
      <w:r w:rsidR="00DE1A00">
        <w:t>ass producers of aircraft from the automobile industry, particularly Ford at the huge and problem-plagued Willow Run facility, pushed back against the military’s steady stream of change orders</w:t>
      </w:r>
      <w:r w:rsidR="0013294A">
        <w:t xml:space="preserve"> and</w:t>
      </w:r>
      <w:r w:rsidR="00810ED7">
        <w:t xml:space="preserve"> </w:t>
      </w:r>
      <w:r w:rsidR="00FD09CE">
        <w:t xml:space="preserve">eventually </w:t>
      </w:r>
      <w:r w:rsidR="0013294A">
        <w:t>refused</w:t>
      </w:r>
      <w:r w:rsidR="00810ED7">
        <w:t xml:space="preserve"> to accommodate</w:t>
      </w:r>
      <w:r w:rsidR="0013294A">
        <w:t xml:space="preserve"> more of</w:t>
      </w:r>
      <w:r w:rsidR="00810ED7">
        <w:t xml:space="preserve"> them</w:t>
      </w:r>
      <w:r w:rsidR="00FD09CE">
        <w:t>.  A consequence was that</w:t>
      </w:r>
      <w:r w:rsidR="00DE1A00">
        <w:t xml:space="preserve"> thousands of aircraft rolled off the production line and </w:t>
      </w:r>
      <w:r w:rsidR="008F4F75">
        <w:t>were then flown</w:t>
      </w:r>
      <w:r w:rsidR="00DE1A00">
        <w:t xml:space="preserve"> immediately to one of 19 modification centers</w:t>
      </w:r>
      <w:r w:rsidR="001D6180">
        <w:t xml:space="preserve"> run by the Army Air Force</w:t>
      </w:r>
      <w:r w:rsidR="00DE1A00">
        <w:t xml:space="preserve">. Newly installed equipment was ripped out and replaced, and other changes made, some that customized the aircraft for its intended theatre of </w:t>
      </w:r>
      <w:r w:rsidR="00DE1A00">
        <w:lastRenderedPageBreak/>
        <w:t>operations (Walton, 1956, p. 249), but many because mass manufacture was simply not compatible with the frequency of change requests desired by the military.</w:t>
      </w:r>
      <w:r w:rsidR="00DE1A00">
        <w:rPr>
          <w:rStyle w:val="FootnoteReference"/>
        </w:rPr>
        <w:footnoteReference w:id="18"/>
      </w:r>
      <w:r w:rsidR="00F7301C">
        <w:t xml:space="preserve">  </w:t>
      </w:r>
    </w:p>
    <w:p w14:paraId="3674D54D" w14:textId="2790ECFD" w:rsidR="002F39EA" w:rsidRDefault="00DE1A00" w:rsidP="00DE1A00">
      <w:pPr>
        <w:shd w:val="clear" w:color="auto" w:fill="FFFFFF"/>
        <w:spacing w:line="480" w:lineRule="auto"/>
        <w:ind w:firstLine="576"/>
        <w:rPr>
          <w:rFonts w:eastAsia="Times New Roman" w:cs="Times New Roman"/>
          <w:color w:val="222222"/>
          <w:szCs w:val="24"/>
        </w:rPr>
      </w:pPr>
      <w:r>
        <w:rPr>
          <w:rFonts w:eastAsia="Times New Roman" w:cs="Times New Roman"/>
          <w:color w:val="222222"/>
          <w:szCs w:val="24"/>
        </w:rPr>
        <w:t>The story is similar in the case of ship production.  Betwe</w:t>
      </w:r>
      <w:r w:rsidRPr="000F79DD">
        <w:rPr>
          <w:rFonts w:eastAsia="Times New Roman" w:cs="Times New Roman"/>
          <w:color w:val="222222"/>
          <w:szCs w:val="24"/>
        </w:rPr>
        <w:t xml:space="preserve">en 1941 and 1945 eighteen shipyards in the United States </w:t>
      </w:r>
      <w:r w:rsidR="008F4F75">
        <w:rPr>
          <w:rFonts w:eastAsia="Times New Roman" w:cs="Times New Roman"/>
          <w:color w:val="222222"/>
          <w:szCs w:val="24"/>
        </w:rPr>
        <w:t>produced</w:t>
      </w:r>
      <w:r w:rsidR="007F3C5D">
        <w:rPr>
          <w:rFonts w:eastAsia="Times New Roman" w:cs="Times New Roman"/>
          <w:color w:val="222222"/>
          <w:szCs w:val="24"/>
        </w:rPr>
        <w:t xml:space="preserve"> </w:t>
      </w:r>
      <w:r w:rsidR="00284B33">
        <w:rPr>
          <w:rFonts w:eastAsia="Times New Roman" w:cs="Times New Roman"/>
          <w:color w:val="222222"/>
          <w:szCs w:val="24"/>
        </w:rPr>
        <w:t>2,710 Liberty ships</w:t>
      </w:r>
      <w:r w:rsidR="0013294A">
        <w:rPr>
          <w:rFonts w:eastAsia="Times New Roman" w:cs="Times New Roman"/>
          <w:color w:val="222222"/>
          <w:szCs w:val="24"/>
        </w:rPr>
        <w:t>.</w:t>
      </w:r>
      <w:r w:rsidR="00810ED7">
        <w:rPr>
          <w:rFonts w:eastAsia="Times New Roman" w:cs="Times New Roman"/>
          <w:color w:val="222222"/>
          <w:szCs w:val="24"/>
        </w:rPr>
        <w:t xml:space="preserve"> </w:t>
      </w:r>
      <w:r w:rsidRPr="000F79DD">
        <w:rPr>
          <w:rFonts w:eastAsia="Times New Roman" w:cs="Times New Roman"/>
          <w:color w:val="222222"/>
          <w:szCs w:val="24"/>
        </w:rPr>
        <w:t xml:space="preserve">No other ship </w:t>
      </w:r>
      <w:r>
        <w:rPr>
          <w:rFonts w:eastAsia="Times New Roman" w:cs="Times New Roman"/>
          <w:color w:val="222222"/>
          <w:szCs w:val="24"/>
        </w:rPr>
        <w:t>model before or since has ever approached this record of</w:t>
      </w:r>
      <w:r w:rsidRPr="000F79DD">
        <w:rPr>
          <w:rFonts w:eastAsia="Times New Roman" w:cs="Times New Roman"/>
          <w:color w:val="222222"/>
          <w:szCs w:val="24"/>
        </w:rPr>
        <w:t xml:space="preserve"> cumulated output</w:t>
      </w:r>
      <w:r w:rsidR="0013294A">
        <w:rPr>
          <w:rFonts w:eastAsia="Times New Roman" w:cs="Times New Roman"/>
          <w:color w:val="222222"/>
          <w:szCs w:val="24"/>
        </w:rPr>
        <w:t xml:space="preserve"> (</w:t>
      </w:r>
      <w:r w:rsidR="005D0C1B">
        <w:rPr>
          <w:rFonts w:eastAsia="Times New Roman" w:cs="Times New Roman"/>
          <w:color w:val="222222"/>
          <w:szCs w:val="24"/>
        </w:rPr>
        <w:t>the ship was</w:t>
      </w:r>
      <w:r w:rsidR="0013294A">
        <w:rPr>
          <w:rFonts w:eastAsia="Times New Roman" w:cs="Times New Roman"/>
          <w:color w:val="222222"/>
          <w:szCs w:val="24"/>
        </w:rPr>
        <w:t xml:space="preserve"> b</w:t>
      </w:r>
      <w:r w:rsidR="005D0C1B">
        <w:rPr>
          <w:rFonts w:eastAsia="Times New Roman" w:cs="Times New Roman"/>
          <w:color w:val="222222"/>
          <w:szCs w:val="24"/>
        </w:rPr>
        <w:t>ased on an 1879 British design)</w:t>
      </w:r>
      <w:r>
        <w:rPr>
          <w:rFonts w:eastAsia="Times New Roman" w:cs="Times New Roman"/>
          <w:color w:val="222222"/>
          <w:szCs w:val="24"/>
        </w:rPr>
        <w:t xml:space="preserve">.  The </w:t>
      </w:r>
      <w:r w:rsidR="00810ED7">
        <w:rPr>
          <w:rFonts w:eastAsia="Times New Roman" w:cs="Times New Roman"/>
          <w:color w:val="222222"/>
          <w:szCs w:val="24"/>
        </w:rPr>
        <w:t>gain</w:t>
      </w:r>
      <w:r w:rsidR="007F3C5D">
        <w:rPr>
          <w:rFonts w:eastAsia="Times New Roman" w:cs="Times New Roman"/>
          <w:color w:val="222222"/>
          <w:szCs w:val="24"/>
        </w:rPr>
        <w:t>s in la</w:t>
      </w:r>
      <w:r w:rsidR="00F65C8A">
        <w:rPr>
          <w:rFonts w:eastAsia="Times New Roman" w:cs="Times New Roman"/>
          <w:color w:val="222222"/>
          <w:szCs w:val="24"/>
        </w:rPr>
        <w:t>bor productivity</w:t>
      </w:r>
      <w:r w:rsidR="007F3C5D">
        <w:rPr>
          <w:rFonts w:eastAsia="Times New Roman" w:cs="Times New Roman"/>
          <w:color w:val="222222"/>
          <w:szCs w:val="24"/>
        </w:rPr>
        <w:t xml:space="preserve"> were </w:t>
      </w:r>
      <w:r w:rsidR="00810ED7">
        <w:rPr>
          <w:rFonts w:eastAsia="Times New Roman" w:cs="Times New Roman"/>
          <w:color w:val="222222"/>
          <w:szCs w:val="24"/>
        </w:rPr>
        <w:t xml:space="preserve">partly enabled by replacing rivets with welds; the remainder has </w:t>
      </w:r>
      <w:r w:rsidR="007F3C5D">
        <w:rPr>
          <w:rFonts w:eastAsia="Times New Roman" w:cs="Times New Roman"/>
          <w:color w:val="222222"/>
          <w:szCs w:val="24"/>
        </w:rPr>
        <w:t>traditionally been attributed to more mundane le</w:t>
      </w:r>
      <w:r>
        <w:rPr>
          <w:rFonts w:eastAsia="Times New Roman" w:cs="Times New Roman"/>
          <w:color w:val="222222"/>
          <w:szCs w:val="24"/>
        </w:rPr>
        <w:t xml:space="preserve">arning by doing.  </w:t>
      </w:r>
      <w:r w:rsidR="00F75AAE">
        <w:rPr>
          <w:rFonts w:eastAsia="Times New Roman" w:cs="Times New Roman"/>
          <w:color w:val="222222"/>
          <w:szCs w:val="24"/>
        </w:rPr>
        <w:t>As</w:t>
      </w:r>
      <w:r w:rsidR="00F65C8A">
        <w:rPr>
          <w:rFonts w:eastAsia="Times New Roman" w:cs="Times New Roman"/>
          <w:color w:val="222222"/>
          <w:szCs w:val="24"/>
        </w:rPr>
        <w:t xml:space="preserve"> in the case of aircraft, </w:t>
      </w:r>
      <w:r w:rsidR="0097415B">
        <w:rPr>
          <w:rFonts w:eastAsia="Times New Roman" w:cs="Times New Roman"/>
          <w:color w:val="222222"/>
          <w:szCs w:val="24"/>
        </w:rPr>
        <w:t>we must</w:t>
      </w:r>
      <w:r w:rsidR="00F75AAE">
        <w:rPr>
          <w:rFonts w:eastAsia="Times New Roman" w:cs="Times New Roman"/>
          <w:color w:val="222222"/>
          <w:szCs w:val="24"/>
        </w:rPr>
        <w:t xml:space="preserve"> somewhat qualify our enthusiasm </w:t>
      </w:r>
      <w:r w:rsidR="0097415B">
        <w:rPr>
          <w:rFonts w:eastAsia="Times New Roman" w:cs="Times New Roman"/>
          <w:color w:val="222222"/>
          <w:szCs w:val="24"/>
        </w:rPr>
        <w:t xml:space="preserve">about production successes. </w:t>
      </w:r>
      <w:r w:rsidR="0097415B">
        <w:t xml:space="preserve">Thompson (2001) suggests that much of the measured labor productivity improvement over time was </w:t>
      </w:r>
      <w:r w:rsidR="00F75AAE">
        <w:t xml:space="preserve">attributable </w:t>
      </w:r>
      <w:r w:rsidR="0097415B">
        <w:t>to</w:t>
      </w:r>
      <w:r w:rsidR="00F65C8A">
        <w:t xml:space="preserve"> quality deter</w:t>
      </w:r>
      <w:r w:rsidR="005D0C1B">
        <w:t>ioration and</w:t>
      </w:r>
      <w:r w:rsidR="00F65C8A">
        <w:t xml:space="preserve"> </w:t>
      </w:r>
      <w:r w:rsidR="0097415B">
        <w:t>capital deepening</w:t>
      </w:r>
      <w:r w:rsidR="008F733C">
        <w:t>, rather than advance in TFP.</w:t>
      </w:r>
      <w:r w:rsidR="0097415B">
        <w:t xml:space="preserve"> </w:t>
      </w:r>
      <w:r w:rsidR="007F3C5D">
        <w:t xml:space="preserve">The quality deterioration </w:t>
      </w:r>
      <w:r w:rsidR="005D0C1B">
        <w:t xml:space="preserve">was evident </w:t>
      </w:r>
      <w:r w:rsidR="00F65C8A">
        <w:t xml:space="preserve">in the more </w:t>
      </w:r>
      <w:r w:rsidR="0097415B">
        <w:t xml:space="preserve">than 100 </w:t>
      </w:r>
      <w:r w:rsidR="00F65C8A">
        <w:t>Liberty ships that sank</w:t>
      </w:r>
      <w:r w:rsidR="0097415B">
        <w:t xml:space="preserve"> within ten years of </w:t>
      </w:r>
      <w:r w:rsidR="0013294A">
        <w:t>launch</w:t>
      </w:r>
      <w:r w:rsidR="0097415B">
        <w:t xml:space="preserve"> due to hull or deck fractu</w:t>
      </w:r>
      <w:r w:rsidR="00F65C8A">
        <w:t xml:space="preserve">res </w:t>
      </w:r>
      <w:r w:rsidR="00F75AAE">
        <w:t>resulting from</w:t>
      </w:r>
      <w:r w:rsidR="00F65C8A">
        <w:t xml:space="preserve"> poor welds</w:t>
      </w:r>
      <w:r w:rsidR="0097415B">
        <w:t>.  Even if we acknowledge significant learning by doing</w:t>
      </w:r>
      <w:r w:rsidR="00F65C8A">
        <w:t xml:space="preserve"> in producing these vessels</w:t>
      </w:r>
      <w:r w:rsidR="0097415B">
        <w:t>, such kn</w:t>
      </w:r>
      <w:r>
        <w:rPr>
          <w:rFonts w:eastAsia="Times New Roman" w:cs="Times New Roman"/>
          <w:color w:val="222222"/>
          <w:szCs w:val="24"/>
        </w:rPr>
        <w:t xml:space="preserve">owledge was of questionable relevance after the war because the US economy has never </w:t>
      </w:r>
      <w:r w:rsidR="002F39EA">
        <w:rPr>
          <w:rFonts w:eastAsia="Times New Roman" w:cs="Times New Roman"/>
          <w:color w:val="222222"/>
          <w:szCs w:val="24"/>
        </w:rPr>
        <w:t>been and likely never will</w:t>
      </w:r>
      <w:r>
        <w:rPr>
          <w:rFonts w:eastAsia="Times New Roman" w:cs="Times New Roman"/>
          <w:color w:val="222222"/>
          <w:szCs w:val="24"/>
        </w:rPr>
        <w:t xml:space="preserve"> be faced </w:t>
      </w:r>
      <w:r w:rsidR="002F39EA">
        <w:rPr>
          <w:rFonts w:eastAsia="Times New Roman" w:cs="Times New Roman"/>
          <w:color w:val="222222"/>
          <w:szCs w:val="24"/>
        </w:rPr>
        <w:t xml:space="preserve">again </w:t>
      </w:r>
      <w:r>
        <w:rPr>
          <w:rFonts w:eastAsia="Times New Roman" w:cs="Times New Roman"/>
          <w:color w:val="222222"/>
          <w:szCs w:val="24"/>
        </w:rPr>
        <w:t xml:space="preserve">with the challenge of producing so many similar ships in such a short period.  </w:t>
      </w:r>
    </w:p>
    <w:p w14:paraId="76CCBFB9" w14:textId="5BE99EF8" w:rsidR="00DE1A00" w:rsidRDefault="00DE1A00" w:rsidP="00DE1A00">
      <w:pPr>
        <w:shd w:val="clear" w:color="auto" w:fill="FFFFFF"/>
        <w:spacing w:line="480" w:lineRule="auto"/>
        <w:ind w:firstLine="576"/>
        <w:rPr>
          <w:rFonts w:eastAsia="Times New Roman" w:cs="Times New Roman"/>
          <w:color w:val="222222"/>
          <w:szCs w:val="24"/>
        </w:rPr>
      </w:pPr>
      <w:r>
        <w:rPr>
          <w:rFonts w:eastAsia="Times New Roman" w:cs="Times New Roman"/>
          <w:color w:val="222222"/>
          <w:szCs w:val="24"/>
        </w:rPr>
        <w:t xml:space="preserve">US shipyards, including those owned and operated by the US Navy, also </w:t>
      </w:r>
      <w:r w:rsidR="00950D57">
        <w:rPr>
          <w:rFonts w:eastAsia="Times New Roman" w:cs="Times New Roman"/>
          <w:color w:val="222222"/>
          <w:szCs w:val="24"/>
        </w:rPr>
        <w:t xml:space="preserve">produced a prodigious number of </w:t>
      </w:r>
      <w:r w:rsidR="002D7633">
        <w:rPr>
          <w:rFonts w:eastAsia="Times New Roman" w:cs="Times New Roman"/>
          <w:color w:val="222222"/>
          <w:szCs w:val="24"/>
        </w:rPr>
        <w:t xml:space="preserve">naval </w:t>
      </w:r>
      <w:r w:rsidR="00950D57">
        <w:rPr>
          <w:rFonts w:eastAsia="Times New Roman" w:cs="Times New Roman"/>
          <w:color w:val="222222"/>
          <w:szCs w:val="24"/>
        </w:rPr>
        <w:t>vessels between</w:t>
      </w:r>
      <w:r w:rsidR="00090E20">
        <w:rPr>
          <w:rFonts w:eastAsia="Times New Roman" w:cs="Times New Roman"/>
          <w:color w:val="222222"/>
          <w:szCs w:val="24"/>
        </w:rPr>
        <w:t xml:space="preserve"> 1941 and 1945 inclusive: </w:t>
      </w:r>
      <w:r>
        <w:rPr>
          <w:rFonts w:eastAsia="Times New Roman" w:cs="Times New Roman"/>
          <w:color w:val="222222"/>
          <w:szCs w:val="24"/>
        </w:rPr>
        <w:t xml:space="preserve"> </w:t>
      </w:r>
      <w:r w:rsidR="00ED4EAE">
        <w:rPr>
          <w:rFonts w:eastAsia="Times New Roman" w:cs="Times New Roman"/>
          <w:color w:val="222222"/>
          <w:szCs w:val="24"/>
        </w:rPr>
        <w:t>31</w:t>
      </w:r>
      <w:r>
        <w:rPr>
          <w:rFonts w:eastAsia="Times New Roman" w:cs="Times New Roman"/>
          <w:color w:val="222222"/>
          <w:szCs w:val="24"/>
        </w:rPr>
        <w:t xml:space="preserve"> aircraft carriers, </w:t>
      </w:r>
      <w:r w:rsidR="00090E20">
        <w:rPr>
          <w:rFonts w:eastAsia="Times New Roman" w:cs="Times New Roman"/>
          <w:color w:val="222222"/>
          <w:szCs w:val="24"/>
        </w:rPr>
        <w:t>6</w:t>
      </w:r>
      <w:r>
        <w:rPr>
          <w:rFonts w:eastAsia="Times New Roman" w:cs="Times New Roman"/>
          <w:color w:val="222222"/>
          <w:szCs w:val="24"/>
        </w:rPr>
        <w:t xml:space="preserve"> battleships, </w:t>
      </w:r>
      <w:r w:rsidR="00090E20">
        <w:rPr>
          <w:rFonts w:eastAsia="Times New Roman" w:cs="Times New Roman"/>
          <w:color w:val="222222"/>
          <w:szCs w:val="24"/>
        </w:rPr>
        <w:t xml:space="preserve">42 battle, heavy, and </w:t>
      </w:r>
      <w:r>
        <w:rPr>
          <w:rFonts w:eastAsia="Times New Roman" w:cs="Times New Roman"/>
          <w:color w:val="222222"/>
          <w:szCs w:val="24"/>
        </w:rPr>
        <w:t>light cruisers, 3</w:t>
      </w:r>
      <w:r w:rsidR="00090E20">
        <w:rPr>
          <w:rFonts w:eastAsia="Times New Roman" w:cs="Times New Roman"/>
          <w:color w:val="222222"/>
          <w:szCs w:val="24"/>
        </w:rPr>
        <w:t>02</w:t>
      </w:r>
      <w:r>
        <w:rPr>
          <w:rFonts w:eastAsia="Times New Roman" w:cs="Times New Roman"/>
          <w:color w:val="222222"/>
          <w:szCs w:val="24"/>
        </w:rPr>
        <w:t xml:space="preserve"> destroyers, </w:t>
      </w:r>
      <w:r w:rsidR="00090E20">
        <w:rPr>
          <w:rFonts w:eastAsia="Times New Roman" w:cs="Times New Roman"/>
          <w:color w:val="222222"/>
          <w:szCs w:val="24"/>
        </w:rPr>
        <w:t xml:space="preserve">191 submarines, </w:t>
      </w:r>
      <w:r>
        <w:rPr>
          <w:rFonts w:eastAsia="Times New Roman" w:cs="Times New Roman"/>
          <w:color w:val="222222"/>
          <w:szCs w:val="24"/>
        </w:rPr>
        <w:t xml:space="preserve">and </w:t>
      </w:r>
      <w:r w:rsidR="00090E20">
        <w:rPr>
          <w:rFonts w:eastAsia="Times New Roman" w:cs="Times New Roman"/>
          <w:color w:val="222222"/>
          <w:szCs w:val="24"/>
        </w:rPr>
        <w:t>78,242</w:t>
      </w:r>
      <w:r>
        <w:rPr>
          <w:rFonts w:eastAsia="Times New Roman" w:cs="Times New Roman"/>
          <w:color w:val="222222"/>
          <w:szCs w:val="24"/>
        </w:rPr>
        <w:t xml:space="preserve"> landing craft</w:t>
      </w:r>
      <w:r w:rsidR="00090E20">
        <w:rPr>
          <w:rFonts w:eastAsia="Times New Roman" w:cs="Times New Roman"/>
          <w:color w:val="222222"/>
          <w:szCs w:val="24"/>
        </w:rPr>
        <w:t xml:space="preserve"> (U.S. Department of Commerce, 1947, table 247, p. 222)</w:t>
      </w:r>
      <w:r>
        <w:rPr>
          <w:rFonts w:eastAsia="Times New Roman" w:cs="Times New Roman"/>
          <w:color w:val="222222"/>
          <w:szCs w:val="24"/>
        </w:rPr>
        <w:t xml:space="preserve">.  The relevance of this to </w:t>
      </w:r>
      <w:r>
        <w:rPr>
          <w:rFonts w:eastAsia="Times New Roman" w:cs="Times New Roman"/>
          <w:color w:val="222222"/>
          <w:szCs w:val="24"/>
        </w:rPr>
        <w:lastRenderedPageBreak/>
        <w:t>the postwar e</w:t>
      </w:r>
      <w:r w:rsidR="0013294A">
        <w:rPr>
          <w:rFonts w:eastAsia="Times New Roman" w:cs="Times New Roman"/>
          <w:color w:val="222222"/>
          <w:szCs w:val="24"/>
        </w:rPr>
        <w:t xml:space="preserve">conomy, civilian or military, is </w:t>
      </w:r>
      <w:r>
        <w:rPr>
          <w:rFonts w:eastAsia="Times New Roman" w:cs="Times New Roman"/>
          <w:color w:val="222222"/>
          <w:szCs w:val="24"/>
        </w:rPr>
        <w:t>also questionable.  As in the case of aircraft, in the postwar period the US built many fewer bu</w:t>
      </w:r>
      <w:r w:rsidR="00746900">
        <w:rPr>
          <w:rFonts w:eastAsia="Times New Roman" w:cs="Times New Roman"/>
          <w:color w:val="222222"/>
          <w:szCs w:val="24"/>
        </w:rPr>
        <w:t>t far more expensive combat vessel</w:t>
      </w:r>
      <w:r>
        <w:rPr>
          <w:rFonts w:eastAsia="Times New Roman" w:cs="Times New Roman"/>
          <w:color w:val="222222"/>
          <w:szCs w:val="24"/>
        </w:rPr>
        <w:t>s.</w:t>
      </w:r>
      <w:r w:rsidR="00090E20">
        <w:rPr>
          <w:rStyle w:val="FootnoteReference"/>
          <w:rFonts w:eastAsia="Times New Roman" w:cs="Times New Roman"/>
          <w:color w:val="222222"/>
          <w:szCs w:val="24"/>
        </w:rPr>
        <w:footnoteReference w:id="19"/>
      </w:r>
      <w:r>
        <w:rPr>
          <w:rFonts w:eastAsia="Times New Roman" w:cs="Times New Roman"/>
          <w:color w:val="222222"/>
          <w:szCs w:val="24"/>
        </w:rPr>
        <w:t xml:space="preserve">  </w:t>
      </w:r>
    </w:p>
    <w:p w14:paraId="27E41093" w14:textId="1E29428E" w:rsidR="00DE1A00" w:rsidRDefault="00A1638A" w:rsidP="00DE1A00">
      <w:pPr>
        <w:shd w:val="clear" w:color="auto" w:fill="FFFFFF"/>
        <w:spacing w:line="480" w:lineRule="auto"/>
        <w:ind w:firstLine="576"/>
        <w:rPr>
          <w:rFonts w:eastAsia="Times New Roman" w:cs="Times New Roman"/>
          <w:color w:val="222222"/>
          <w:szCs w:val="24"/>
        </w:rPr>
      </w:pPr>
      <w:r>
        <w:rPr>
          <w:rFonts w:eastAsia="Times New Roman" w:cs="Times New Roman"/>
          <w:color w:val="222222"/>
          <w:szCs w:val="24"/>
        </w:rPr>
        <w:t>We can conclude</w:t>
      </w:r>
      <w:r w:rsidR="00415056">
        <w:rPr>
          <w:rFonts w:eastAsia="Times New Roman" w:cs="Times New Roman"/>
          <w:color w:val="222222"/>
          <w:szCs w:val="24"/>
        </w:rPr>
        <w:t xml:space="preserve"> that the g</w:t>
      </w:r>
      <w:r w:rsidR="00BD6CD8">
        <w:rPr>
          <w:rFonts w:eastAsia="Times New Roman" w:cs="Times New Roman"/>
          <w:color w:val="222222"/>
          <w:szCs w:val="24"/>
        </w:rPr>
        <w:t>ains</w:t>
      </w:r>
      <w:r w:rsidR="00DE1A00" w:rsidRPr="000F79DD">
        <w:rPr>
          <w:rFonts w:eastAsia="Times New Roman" w:cs="Times New Roman"/>
          <w:color w:val="222222"/>
          <w:szCs w:val="24"/>
        </w:rPr>
        <w:t xml:space="preserve"> in category 1 were significant, in category 2, moderate, and in category 3 </w:t>
      </w:r>
      <w:r w:rsidR="00DE1A00">
        <w:rPr>
          <w:rFonts w:eastAsia="Times New Roman" w:cs="Times New Roman"/>
          <w:color w:val="222222"/>
          <w:szCs w:val="24"/>
        </w:rPr>
        <w:t xml:space="preserve">almost entirely </w:t>
      </w:r>
      <w:r w:rsidR="00DE1A00" w:rsidRPr="000F79DD">
        <w:rPr>
          <w:rFonts w:eastAsia="Times New Roman" w:cs="Times New Roman"/>
          <w:color w:val="222222"/>
          <w:szCs w:val="24"/>
        </w:rPr>
        <w:t>absent.  Gains in category 3 had the greatest potential for persistence and general applica</w:t>
      </w:r>
      <w:r w:rsidR="00746900">
        <w:rPr>
          <w:rFonts w:eastAsia="Times New Roman" w:cs="Times New Roman"/>
          <w:color w:val="222222"/>
          <w:szCs w:val="24"/>
        </w:rPr>
        <w:t xml:space="preserve">bility.  But there is </w:t>
      </w:r>
      <w:r w:rsidR="00D57D8C">
        <w:rPr>
          <w:rFonts w:eastAsia="Times New Roman" w:cs="Times New Roman"/>
          <w:color w:val="222222"/>
          <w:szCs w:val="24"/>
        </w:rPr>
        <w:t xml:space="preserve">scant </w:t>
      </w:r>
      <w:r w:rsidR="00DE1A00" w:rsidRPr="000F79DD">
        <w:rPr>
          <w:rFonts w:eastAsia="Times New Roman" w:cs="Times New Roman"/>
          <w:color w:val="222222"/>
          <w:szCs w:val="24"/>
        </w:rPr>
        <w:t xml:space="preserve">evidence that organizational breakthroughs during the war, which would show up in TFP, help explain success after it.  </w:t>
      </w:r>
      <w:r w:rsidR="00DE1A00">
        <w:rPr>
          <w:rFonts w:eastAsia="Times New Roman" w:cs="Times New Roman"/>
          <w:color w:val="222222"/>
          <w:szCs w:val="24"/>
        </w:rPr>
        <w:t xml:space="preserve"> We can get some perspective on this by examining the changing share of “other transportation equipment” (all transport equipment except automobiles) in US manufacturing. In 194</w:t>
      </w:r>
      <w:r w:rsidR="00746900">
        <w:rPr>
          <w:rFonts w:eastAsia="Times New Roman" w:cs="Times New Roman"/>
          <w:color w:val="222222"/>
          <w:szCs w:val="24"/>
        </w:rPr>
        <w:t>1, in spite of Lend Lease</w:t>
      </w:r>
      <w:r w:rsidR="004822BD">
        <w:rPr>
          <w:rFonts w:eastAsia="Times New Roman" w:cs="Times New Roman"/>
          <w:color w:val="222222"/>
          <w:szCs w:val="24"/>
        </w:rPr>
        <w:t>, foreign aircraft orders,</w:t>
      </w:r>
      <w:r w:rsidR="00DE1A00">
        <w:rPr>
          <w:rFonts w:eastAsia="Times New Roman" w:cs="Times New Roman"/>
          <w:color w:val="222222"/>
          <w:szCs w:val="24"/>
        </w:rPr>
        <w:t xml:space="preserve"> and pre-Pearl Harbor </w:t>
      </w:r>
      <w:r w:rsidR="00F65C8A">
        <w:rPr>
          <w:rFonts w:eastAsia="Times New Roman" w:cs="Times New Roman"/>
          <w:color w:val="222222"/>
          <w:szCs w:val="24"/>
        </w:rPr>
        <w:t>increases</w:t>
      </w:r>
      <w:r w:rsidR="004822BD">
        <w:rPr>
          <w:rFonts w:eastAsia="Times New Roman" w:cs="Times New Roman"/>
          <w:color w:val="222222"/>
          <w:szCs w:val="24"/>
        </w:rPr>
        <w:t xml:space="preserve"> in</w:t>
      </w:r>
      <w:r w:rsidR="00DE1A00">
        <w:rPr>
          <w:rFonts w:eastAsia="Times New Roman" w:cs="Times New Roman"/>
          <w:color w:val="222222"/>
          <w:szCs w:val="24"/>
        </w:rPr>
        <w:t xml:space="preserve"> military spending, th</w:t>
      </w:r>
      <w:r w:rsidR="00F65C8A">
        <w:rPr>
          <w:rFonts w:eastAsia="Times New Roman" w:cs="Times New Roman"/>
          <w:color w:val="222222"/>
          <w:szCs w:val="24"/>
        </w:rPr>
        <w:t>e</w:t>
      </w:r>
      <w:r w:rsidR="00DE1A00">
        <w:rPr>
          <w:rFonts w:eastAsia="Times New Roman" w:cs="Times New Roman"/>
          <w:color w:val="222222"/>
          <w:szCs w:val="24"/>
        </w:rPr>
        <w:t xml:space="preserve"> category comprised </w:t>
      </w:r>
      <w:r w:rsidR="00746900">
        <w:rPr>
          <w:rFonts w:eastAsia="Times New Roman" w:cs="Times New Roman"/>
          <w:color w:val="222222"/>
          <w:szCs w:val="24"/>
        </w:rPr>
        <w:t xml:space="preserve">just </w:t>
      </w:r>
      <w:r w:rsidR="00DE1A00">
        <w:rPr>
          <w:rFonts w:eastAsia="Times New Roman" w:cs="Times New Roman"/>
          <w:color w:val="222222"/>
          <w:szCs w:val="24"/>
        </w:rPr>
        <w:t xml:space="preserve">2.2 percent of total manufacturing </w:t>
      </w:r>
      <w:r w:rsidR="00746900">
        <w:rPr>
          <w:rFonts w:eastAsia="Times New Roman" w:cs="Times New Roman"/>
          <w:color w:val="222222"/>
          <w:szCs w:val="24"/>
        </w:rPr>
        <w:t>output.  At its peak in 1944 that</w:t>
      </w:r>
      <w:r w:rsidR="00DE1A00">
        <w:rPr>
          <w:rFonts w:eastAsia="Times New Roman" w:cs="Times New Roman"/>
          <w:color w:val="222222"/>
          <w:szCs w:val="24"/>
        </w:rPr>
        <w:t xml:space="preserve"> share had risen to 20.7 percent of a considerably expanded manufacturing sector. By 1948 it had fallen back to 2.7 percent (see also Field, 2011, tables 3.3 and 3.4).   Even at the height of the Korean War in 1953, the share rose only to 6.9 percent of manufacturing output, or 2.4 percent of the private nonfarm economy (U.S. Department of Commerce, 1966, Table 1.12, p. 19). </w:t>
      </w:r>
    </w:p>
    <w:p w14:paraId="735C8E52" w14:textId="7990D399" w:rsidR="00DE1A00" w:rsidRDefault="00DE1A00" w:rsidP="00DE1A00">
      <w:pPr>
        <w:shd w:val="clear" w:color="auto" w:fill="FFFFFF"/>
        <w:spacing w:line="480" w:lineRule="auto"/>
        <w:ind w:firstLine="576"/>
        <w:rPr>
          <w:rFonts w:eastAsia="Times New Roman" w:cs="Times New Roman"/>
          <w:color w:val="222222"/>
          <w:szCs w:val="24"/>
        </w:rPr>
      </w:pPr>
      <w:r>
        <w:rPr>
          <w:rFonts w:eastAsia="Times New Roman" w:cs="Times New Roman"/>
          <w:color w:val="222222"/>
          <w:szCs w:val="24"/>
        </w:rPr>
        <w:t>TFP in manufacturing had been growing rapidly between 1929 and 1941 – more rapidly than at any other period with the exception of 1919-1929.  Field (2011, table 2.3, p. 54) reported TFP growth in US manufacturing of 5.12 percent per year between 1919 and 1929, 2.76 percent per year between 1929 and 1941,</w:t>
      </w:r>
      <w:r w:rsidR="00746900">
        <w:rPr>
          <w:rFonts w:eastAsia="Times New Roman" w:cs="Times New Roman"/>
          <w:color w:val="222222"/>
          <w:szCs w:val="24"/>
        </w:rPr>
        <w:t xml:space="preserve"> and </w:t>
      </w:r>
      <w:r>
        <w:rPr>
          <w:rFonts w:eastAsia="Times New Roman" w:cs="Times New Roman"/>
          <w:color w:val="222222"/>
          <w:szCs w:val="24"/>
        </w:rPr>
        <w:t>-.35 percent between 1941 and 1948, reviving only to 1.49 percent during the golden age (194</w:t>
      </w:r>
      <w:r w:rsidR="00F84EF0">
        <w:rPr>
          <w:rFonts w:eastAsia="Times New Roman" w:cs="Times New Roman"/>
          <w:color w:val="222222"/>
          <w:szCs w:val="24"/>
        </w:rPr>
        <w:t>9</w:t>
      </w:r>
      <w:r>
        <w:rPr>
          <w:rFonts w:eastAsia="Times New Roman" w:cs="Times New Roman"/>
          <w:color w:val="222222"/>
          <w:szCs w:val="24"/>
        </w:rPr>
        <w:t>-73).  Recalculation of the 1941-48 rate, using slightly different data (</w:t>
      </w:r>
      <w:r w:rsidR="000A55BC">
        <w:rPr>
          <w:rFonts w:eastAsia="Times New Roman" w:cs="Times New Roman"/>
          <w:color w:val="222222"/>
          <w:szCs w:val="24"/>
        </w:rPr>
        <w:t>see the Appendix</w:t>
      </w:r>
      <w:r>
        <w:rPr>
          <w:rFonts w:eastAsia="Times New Roman" w:cs="Times New Roman"/>
          <w:color w:val="222222"/>
          <w:szCs w:val="24"/>
        </w:rPr>
        <w:t>) indicate</w:t>
      </w:r>
      <w:r w:rsidR="00746900">
        <w:rPr>
          <w:rFonts w:eastAsia="Times New Roman" w:cs="Times New Roman"/>
          <w:color w:val="222222"/>
          <w:szCs w:val="24"/>
        </w:rPr>
        <w:t>s</w:t>
      </w:r>
      <w:r>
        <w:rPr>
          <w:rFonts w:eastAsia="Times New Roman" w:cs="Times New Roman"/>
          <w:color w:val="222222"/>
          <w:szCs w:val="24"/>
        </w:rPr>
        <w:t xml:space="preserve"> a slightly more negative rate of advance</w:t>
      </w:r>
      <w:r w:rsidR="00F94522">
        <w:rPr>
          <w:rFonts w:eastAsia="Times New Roman" w:cs="Times New Roman"/>
          <w:color w:val="222222"/>
          <w:szCs w:val="24"/>
        </w:rPr>
        <w:t xml:space="preserve"> (-.</w:t>
      </w:r>
      <w:r w:rsidR="00EA1472">
        <w:rPr>
          <w:rFonts w:eastAsia="Times New Roman" w:cs="Times New Roman"/>
          <w:color w:val="222222"/>
          <w:szCs w:val="24"/>
        </w:rPr>
        <w:t xml:space="preserve">55 percent per year).  </w:t>
      </w:r>
      <w:r w:rsidR="00C75F4B">
        <w:rPr>
          <w:rFonts w:eastAsia="Times New Roman" w:cs="Times New Roman"/>
          <w:color w:val="222222"/>
          <w:szCs w:val="24"/>
        </w:rPr>
        <w:t>If Gordon is right, we would expect 1948 manufac</w:t>
      </w:r>
      <w:r w:rsidR="00F65C8A">
        <w:rPr>
          <w:rFonts w:eastAsia="Times New Roman" w:cs="Times New Roman"/>
          <w:color w:val="222222"/>
          <w:szCs w:val="24"/>
        </w:rPr>
        <w:t>turing TFP to have</w:t>
      </w:r>
      <w:r w:rsidR="00C75F4B">
        <w:rPr>
          <w:rFonts w:eastAsia="Times New Roman" w:cs="Times New Roman"/>
          <w:color w:val="222222"/>
          <w:szCs w:val="24"/>
        </w:rPr>
        <w:t xml:space="preserve"> exceeded its </w:t>
      </w:r>
      <w:r w:rsidR="00C75F4B">
        <w:rPr>
          <w:rFonts w:eastAsia="Times New Roman" w:cs="Times New Roman"/>
          <w:color w:val="222222"/>
          <w:szCs w:val="24"/>
        </w:rPr>
        <w:lastRenderedPageBreak/>
        <w:t>level in 1941</w:t>
      </w:r>
      <w:r w:rsidR="00F65C8A">
        <w:rPr>
          <w:rFonts w:eastAsia="Times New Roman" w:cs="Times New Roman"/>
          <w:color w:val="222222"/>
          <w:szCs w:val="24"/>
        </w:rPr>
        <w:t>, perhaps substantially</w:t>
      </w:r>
      <w:r w:rsidR="00C75F4B">
        <w:rPr>
          <w:rFonts w:eastAsia="Times New Roman" w:cs="Times New Roman"/>
          <w:color w:val="222222"/>
          <w:szCs w:val="24"/>
        </w:rPr>
        <w:t xml:space="preserve">.  </w:t>
      </w:r>
      <w:r>
        <w:rPr>
          <w:rFonts w:eastAsia="Times New Roman" w:cs="Times New Roman"/>
          <w:color w:val="222222"/>
          <w:szCs w:val="24"/>
        </w:rPr>
        <w:t>The decline in manufacturing TFP across the war years</w:t>
      </w:r>
      <w:r w:rsidR="00C35083">
        <w:rPr>
          <w:rFonts w:eastAsia="Times New Roman" w:cs="Times New Roman"/>
          <w:color w:val="222222"/>
          <w:szCs w:val="24"/>
        </w:rPr>
        <w:t xml:space="preserve"> and its slower rate of advance in the subsequent eight decades (see table 9) </w:t>
      </w:r>
      <w:r w:rsidR="00C95690">
        <w:rPr>
          <w:rFonts w:eastAsia="Times New Roman" w:cs="Times New Roman"/>
          <w:color w:val="222222"/>
          <w:szCs w:val="24"/>
        </w:rPr>
        <w:t>i</w:t>
      </w:r>
      <w:r w:rsidR="00C35083">
        <w:rPr>
          <w:rFonts w:eastAsia="Times New Roman" w:cs="Times New Roman"/>
          <w:color w:val="222222"/>
          <w:szCs w:val="24"/>
        </w:rPr>
        <w:t>s</w:t>
      </w:r>
      <w:r>
        <w:rPr>
          <w:rFonts w:eastAsia="Times New Roman" w:cs="Times New Roman"/>
          <w:color w:val="222222"/>
          <w:szCs w:val="24"/>
        </w:rPr>
        <w:t xml:space="preserve"> particularly compelling evidence against </w:t>
      </w:r>
      <w:r w:rsidR="00C75F4B">
        <w:rPr>
          <w:rFonts w:eastAsia="Times New Roman" w:cs="Times New Roman"/>
          <w:color w:val="222222"/>
          <w:szCs w:val="24"/>
        </w:rPr>
        <w:t xml:space="preserve">his </w:t>
      </w:r>
      <w:r w:rsidR="00B51623">
        <w:rPr>
          <w:rFonts w:eastAsia="Times New Roman" w:cs="Times New Roman"/>
          <w:color w:val="222222"/>
          <w:szCs w:val="24"/>
        </w:rPr>
        <w:t xml:space="preserve">views.  </w:t>
      </w:r>
    </w:p>
    <w:p w14:paraId="1875D650" w14:textId="77777777" w:rsidR="00DE1A00" w:rsidRDefault="00DE1A00" w:rsidP="00DE1A00">
      <w:pPr>
        <w:shd w:val="clear" w:color="auto" w:fill="FFFFFF"/>
        <w:spacing w:line="480" w:lineRule="auto"/>
        <w:rPr>
          <w:rFonts w:eastAsia="Times New Roman" w:cs="Times New Roman"/>
          <w:color w:val="222222"/>
          <w:szCs w:val="24"/>
        </w:rPr>
      </w:pPr>
      <w:r>
        <w:rPr>
          <w:rFonts w:eastAsia="Times New Roman" w:cs="Times New Roman"/>
          <w:b/>
          <w:color w:val="222222"/>
          <w:szCs w:val="24"/>
        </w:rPr>
        <w:t>The Legacy of Wartime Capital Accumulation</w:t>
      </w:r>
    </w:p>
    <w:p w14:paraId="16834867" w14:textId="0BBF3BF9" w:rsidR="00BB785D" w:rsidRDefault="00DE1A00" w:rsidP="00DE1A00">
      <w:pPr>
        <w:shd w:val="clear" w:color="auto" w:fill="FFFFFF"/>
        <w:spacing w:line="480" w:lineRule="auto"/>
        <w:rPr>
          <w:rFonts w:eastAsia="Times New Roman" w:cs="Times New Roman"/>
          <w:color w:val="222222"/>
          <w:szCs w:val="24"/>
        </w:rPr>
      </w:pPr>
      <w:r>
        <w:rPr>
          <w:rFonts w:eastAsia="Times New Roman" w:cs="Times New Roman"/>
          <w:b/>
          <w:color w:val="222222"/>
          <w:szCs w:val="24"/>
        </w:rPr>
        <w:t xml:space="preserve">          </w:t>
      </w:r>
      <w:r>
        <w:rPr>
          <w:rFonts w:eastAsia="Times New Roman" w:cs="Times New Roman"/>
          <w:color w:val="222222"/>
          <w:szCs w:val="24"/>
        </w:rPr>
        <w:t>The war resulted in an enormous accumulation of physical capital in the form of military hardware, producer durables suc</w:t>
      </w:r>
      <w:r w:rsidR="00BB785D">
        <w:rPr>
          <w:rFonts w:eastAsia="Times New Roman" w:cs="Times New Roman"/>
          <w:color w:val="222222"/>
          <w:szCs w:val="24"/>
        </w:rPr>
        <w:t xml:space="preserve">h as machine tools and dies, </w:t>
      </w:r>
      <w:r w:rsidR="001E4261">
        <w:rPr>
          <w:rFonts w:eastAsia="Times New Roman" w:cs="Times New Roman"/>
          <w:color w:val="222222"/>
          <w:szCs w:val="24"/>
        </w:rPr>
        <w:t xml:space="preserve">and </w:t>
      </w:r>
      <w:r>
        <w:rPr>
          <w:rFonts w:eastAsia="Times New Roman" w:cs="Times New Roman"/>
          <w:color w:val="222222"/>
          <w:szCs w:val="24"/>
        </w:rPr>
        <w:t>industrial structures, such as the massive Willow Run facility built near Detroit</w:t>
      </w:r>
      <w:r w:rsidR="001E4261">
        <w:rPr>
          <w:rFonts w:eastAsia="Times New Roman" w:cs="Times New Roman"/>
          <w:color w:val="222222"/>
          <w:szCs w:val="24"/>
        </w:rPr>
        <w:t>.  In addition, the country experienced a large increase</w:t>
      </w:r>
      <w:r w:rsidR="00BB785D">
        <w:rPr>
          <w:rFonts w:eastAsia="Times New Roman" w:cs="Times New Roman"/>
          <w:color w:val="222222"/>
          <w:szCs w:val="24"/>
        </w:rPr>
        <w:t xml:space="preserve"> in physical c</w:t>
      </w:r>
      <w:r w:rsidR="007E0072">
        <w:rPr>
          <w:rFonts w:eastAsia="Times New Roman" w:cs="Times New Roman"/>
          <w:color w:val="222222"/>
          <w:szCs w:val="24"/>
        </w:rPr>
        <w:t xml:space="preserve">apital associated with military command structures, </w:t>
      </w:r>
      <w:r w:rsidR="0071543C">
        <w:rPr>
          <w:rFonts w:eastAsia="Times New Roman" w:cs="Times New Roman"/>
          <w:color w:val="222222"/>
          <w:szCs w:val="24"/>
        </w:rPr>
        <w:t>forts</w:t>
      </w:r>
      <w:r w:rsidR="007E0072">
        <w:rPr>
          <w:rFonts w:eastAsia="Times New Roman" w:cs="Times New Roman"/>
          <w:color w:val="222222"/>
          <w:szCs w:val="24"/>
        </w:rPr>
        <w:t>,</w:t>
      </w:r>
      <w:r w:rsidR="0071543C">
        <w:rPr>
          <w:rFonts w:eastAsia="Times New Roman" w:cs="Times New Roman"/>
          <w:color w:val="222222"/>
          <w:szCs w:val="24"/>
        </w:rPr>
        <w:t xml:space="preserve"> and </w:t>
      </w:r>
      <w:r w:rsidR="00BB785D">
        <w:rPr>
          <w:rFonts w:eastAsia="Times New Roman" w:cs="Times New Roman"/>
          <w:color w:val="222222"/>
          <w:szCs w:val="24"/>
        </w:rPr>
        <w:t>bases.</w:t>
      </w:r>
      <w:r>
        <w:rPr>
          <w:rFonts w:eastAsia="Times New Roman" w:cs="Times New Roman"/>
          <w:color w:val="222222"/>
          <w:szCs w:val="24"/>
        </w:rPr>
        <w:t xml:space="preserve">  </w:t>
      </w:r>
      <w:r w:rsidR="008C5CE3">
        <w:rPr>
          <w:rFonts w:eastAsia="Times New Roman" w:cs="Times New Roman"/>
          <w:color w:val="222222"/>
          <w:szCs w:val="24"/>
        </w:rPr>
        <w:t xml:space="preserve">The </w:t>
      </w:r>
      <w:r w:rsidR="000E3B6C">
        <w:rPr>
          <w:rFonts w:eastAsia="Times New Roman" w:cs="Times New Roman"/>
          <w:color w:val="222222"/>
          <w:szCs w:val="24"/>
        </w:rPr>
        <w:t xml:space="preserve">utility </w:t>
      </w:r>
      <w:r w:rsidR="008C5CE3">
        <w:rPr>
          <w:rFonts w:eastAsia="Times New Roman" w:cs="Times New Roman"/>
          <w:color w:val="222222"/>
          <w:szCs w:val="24"/>
        </w:rPr>
        <w:t xml:space="preserve">of this capital </w:t>
      </w:r>
      <w:r w:rsidR="000E3B6C">
        <w:rPr>
          <w:rFonts w:eastAsia="Times New Roman" w:cs="Times New Roman"/>
          <w:color w:val="222222"/>
          <w:szCs w:val="24"/>
        </w:rPr>
        <w:t>after the war</w:t>
      </w:r>
      <w:r w:rsidR="001E4261">
        <w:rPr>
          <w:rFonts w:eastAsia="Times New Roman" w:cs="Times New Roman"/>
          <w:color w:val="222222"/>
          <w:szCs w:val="24"/>
        </w:rPr>
        <w:t xml:space="preserve"> is an important question</w:t>
      </w:r>
      <w:r w:rsidR="00EC47CB">
        <w:rPr>
          <w:rFonts w:eastAsia="Times New Roman" w:cs="Times New Roman"/>
          <w:color w:val="222222"/>
          <w:szCs w:val="24"/>
        </w:rPr>
        <w:t xml:space="preserve">, </w:t>
      </w:r>
      <w:r w:rsidR="00F65C8A">
        <w:rPr>
          <w:rFonts w:eastAsia="Times New Roman" w:cs="Times New Roman"/>
          <w:color w:val="222222"/>
          <w:szCs w:val="24"/>
        </w:rPr>
        <w:t xml:space="preserve">both in cases where </w:t>
      </w:r>
      <w:r w:rsidR="00413A87">
        <w:rPr>
          <w:rFonts w:eastAsia="Times New Roman" w:cs="Times New Roman"/>
          <w:color w:val="222222"/>
          <w:szCs w:val="24"/>
        </w:rPr>
        <w:t>the capital was potentially dual use</w:t>
      </w:r>
      <w:r w:rsidR="00CD161D">
        <w:rPr>
          <w:rFonts w:eastAsia="Times New Roman" w:cs="Times New Roman"/>
          <w:color w:val="222222"/>
          <w:szCs w:val="24"/>
        </w:rPr>
        <w:t xml:space="preserve">, and </w:t>
      </w:r>
      <w:r w:rsidR="00037210">
        <w:rPr>
          <w:rFonts w:eastAsia="Times New Roman" w:cs="Times New Roman"/>
          <w:color w:val="222222"/>
          <w:szCs w:val="24"/>
        </w:rPr>
        <w:t xml:space="preserve">might </w:t>
      </w:r>
      <w:r w:rsidR="00105CC3">
        <w:rPr>
          <w:rFonts w:eastAsia="Times New Roman" w:cs="Times New Roman"/>
          <w:color w:val="222222"/>
          <w:szCs w:val="24"/>
        </w:rPr>
        <w:t xml:space="preserve">contribute to </w:t>
      </w:r>
      <w:r w:rsidR="001E4261">
        <w:rPr>
          <w:rFonts w:eastAsia="Times New Roman" w:cs="Times New Roman"/>
          <w:color w:val="222222"/>
          <w:szCs w:val="24"/>
        </w:rPr>
        <w:t>postwar</w:t>
      </w:r>
      <w:r w:rsidR="00037210">
        <w:rPr>
          <w:rFonts w:eastAsia="Times New Roman" w:cs="Times New Roman"/>
          <w:color w:val="222222"/>
          <w:szCs w:val="24"/>
        </w:rPr>
        <w:t xml:space="preserve"> non-military</w:t>
      </w:r>
      <w:r w:rsidR="00105CC3">
        <w:rPr>
          <w:rFonts w:eastAsia="Times New Roman" w:cs="Times New Roman"/>
          <w:color w:val="222222"/>
          <w:szCs w:val="24"/>
        </w:rPr>
        <w:t xml:space="preserve"> production</w:t>
      </w:r>
      <w:r w:rsidR="00EB0BCF">
        <w:rPr>
          <w:rFonts w:eastAsia="Times New Roman" w:cs="Times New Roman"/>
          <w:color w:val="222222"/>
          <w:szCs w:val="24"/>
        </w:rPr>
        <w:t>, and where it could only be used for military purposes</w:t>
      </w:r>
      <w:r w:rsidR="0007535C">
        <w:rPr>
          <w:rFonts w:eastAsia="Times New Roman" w:cs="Times New Roman"/>
          <w:color w:val="222222"/>
          <w:szCs w:val="24"/>
        </w:rPr>
        <w:t xml:space="preserve">.  </w:t>
      </w:r>
      <w:r w:rsidR="001C7823">
        <w:rPr>
          <w:rFonts w:eastAsia="Times New Roman" w:cs="Times New Roman"/>
          <w:color w:val="222222"/>
          <w:szCs w:val="24"/>
        </w:rPr>
        <w:t>In the latter case, if</w:t>
      </w:r>
      <w:r w:rsidR="00105CC3">
        <w:rPr>
          <w:rFonts w:eastAsia="Times New Roman" w:cs="Times New Roman"/>
          <w:color w:val="222222"/>
          <w:szCs w:val="24"/>
        </w:rPr>
        <w:t xml:space="preserve"> a large accumulated stock </w:t>
      </w:r>
      <w:r w:rsidR="00080C2F">
        <w:rPr>
          <w:rFonts w:eastAsia="Times New Roman" w:cs="Times New Roman"/>
          <w:color w:val="222222"/>
          <w:szCs w:val="24"/>
        </w:rPr>
        <w:t>of military ships, tanks, aircraft</w:t>
      </w:r>
      <w:r w:rsidR="00AE1676">
        <w:rPr>
          <w:rFonts w:eastAsia="Times New Roman" w:cs="Times New Roman"/>
          <w:color w:val="222222"/>
          <w:szCs w:val="24"/>
        </w:rPr>
        <w:t xml:space="preserve">, </w:t>
      </w:r>
      <w:r w:rsidR="00080C2F">
        <w:rPr>
          <w:rFonts w:eastAsia="Times New Roman" w:cs="Times New Roman"/>
          <w:color w:val="222222"/>
          <w:szCs w:val="24"/>
        </w:rPr>
        <w:t>hardware</w:t>
      </w:r>
      <w:r w:rsidR="00AE1676">
        <w:rPr>
          <w:rFonts w:eastAsia="Times New Roman" w:cs="Times New Roman"/>
          <w:color w:val="222222"/>
          <w:szCs w:val="24"/>
        </w:rPr>
        <w:t xml:space="preserve"> and structures </w:t>
      </w:r>
      <w:r w:rsidR="00224DDE">
        <w:rPr>
          <w:rFonts w:eastAsia="Times New Roman" w:cs="Times New Roman"/>
          <w:color w:val="222222"/>
          <w:szCs w:val="24"/>
        </w:rPr>
        <w:t xml:space="preserve">produced </w:t>
      </w:r>
      <w:r w:rsidR="00AE1676">
        <w:rPr>
          <w:rFonts w:eastAsia="Times New Roman" w:cs="Times New Roman"/>
          <w:color w:val="222222"/>
          <w:szCs w:val="24"/>
        </w:rPr>
        <w:t xml:space="preserve">or constructed </w:t>
      </w:r>
      <w:r w:rsidR="00224DDE">
        <w:rPr>
          <w:rFonts w:eastAsia="Times New Roman" w:cs="Times New Roman"/>
          <w:color w:val="222222"/>
          <w:szCs w:val="24"/>
        </w:rPr>
        <w:t xml:space="preserve">during the war </w:t>
      </w:r>
      <w:r w:rsidR="0007535C">
        <w:rPr>
          <w:rFonts w:eastAsia="Times New Roman" w:cs="Times New Roman"/>
          <w:color w:val="222222"/>
          <w:szCs w:val="24"/>
        </w:rPr>
        <w:t xml:space="preserve">made it possible </w:t>
      </w:r>
      <w:r w:rsidR="00E94B4C">
        <w:rPr>
          <w:rFonts w:eastAsia="Times New Roman" w:cs="Times New Roman"/>
          <w:color w:val="222222"/>
          <w:szCs w:val="24"/>
        </w:rPr>
        <w:t xml:space="preserve">subsequently </w:t>
      </w:r>
      <w:r w:rsidR="00AE1676">
        <w:rPr>
          <w:rFonts w:eastAsia="Times New Roman" w:cs="Times New Roman"/>
          <w:color w:val="222222"/>
          <w:szCs w:val="24"/>
        </w:rPr>
        <w:t>to</w:t>
      </w:r>
      <w:r w:rsidR="0007535C">
        <w:rPr>
          <w:rFonts w:eastAsia="Times New Roman" w:cs="Times New Roman"/>
          <w:color w:val="222222"/>
          <w:szCs w:val="24"/>
        </w:rPr>
        <w:t xml:space="preserve"> devote a smaller share of US production capability to the manufacture or construction of such goods</w:t>
      </w:r>
      <w:r w:rsidR="001E4261">
        <w:rPr>
          <w:rFonts w:eastAsia="Times New Roman" w:cs="Times New Roman"/>
          <w:color w:val="222222"/>
          <w:szCs w:val="24"/>
        </w:rPr>
        <w:t xml:space="preserve">, that stock </w:t>
      </w:r>
      <w:r w:rsidR="00C23527">
        <w:rPr>
          <w:rFonts w:eastAsia="Times New Roman" w:cs="Times New Roman"/>
          <w:color w:val="222222"/>
          <w:szCs w:val="24"/>
        </w:rPr>
        <w:t>could</w:t>
      </w:r>
      <w:r w:rsidR="00037210">
        <w:rPr>
          <w:rFonts w:eastAsia="Times New Roman" w:cs="Times New Roman"/>
          <w:color w:val="222222"/>
          <w:szCs w:val="24"/>
        </w:rPr>
        <w:t>,</w:t>
      </w:r>
      <w:r w:rsidR="00C23527">
        <w:rPr>
          <w:rFonts w:eastAsia="Times New Roman" w:cs="Times New Roman"/>
          <w:color w:val="222222"/>
          <w:szCs w:val="24"/>
        </w:rPr>
        <w:t xml:space="preserve"> </w:t>
      </w:r>
      <w:r w:rsidR="00037210">
        <w:rPr>
          <w:rFonts w:eastAsia="Times New Roman" w:cs="Times New Roman"/>
          <w:color w:val="222222"/>
          <w:szCs w:val="24"/>
        </w:rPr>
        <w:t xml:space="preserve">after the war, </w:t>
      </w:r>
      <w:r w:rsidR="00C23527">
        <w:rPr>
          <w:rFonts w:eastAsia="Times New Roman" w:cs="Times New Roman"/>
          <w:color w:val="222222"/>
          <w:szCs w:val="24"/>
        </w:rPr>
        <w:t xml:space="preserve">have allowed </w:t>
      </w:r>
      <w:r w:rsidR="00FC6BC4">
        <w:rPr>
          <w:rFonts w:eastAsia="Times New Roman" w:cs="Times New Roman"/>
          <w:color w:val="222222"/>
          <w:szCs w:val="24"/>
        </w:rPr>
        <w:t>for greater accumulation</w:t>
      </w:r>
      <w:r w:rsidR="00DD0987">
        <w:rPr>
          <w:rFonts w:eastAsia="Times New Roman" w:cs="Times New Roman"/>
          <w:color w:val="222222"/>
          <w:szCs w:val="24"/>
        </w:rPr>
        <w:t xml:space="preserve"> </w:t>
      </w:r>
      <w:r w:rsidR="001E5F99">
        <w:rPr>
          <w:rFonts w:eastAsia="Times New Roman" w:cs="Times New Roman"/>
          <w:color w:val="222222"/>
          <w:szCs w:val="24"/>
        </w:rPr>
        <w:t>of government infrastructure complementary to private production</w:t>
      </w:r>
      <w:r w:rsidR="002C11B0">
        <w:rPr>
          <w:rFonts w:eastAsia="Times New Roman" w:cs="Times New Roman"/>
          <w:color w:val="222222"/>
          <w:szCs w:val="24"/>
        </w:rPr>
        <w:t xml:space="preserve">, or production and acquisition by the private sector of </w:t>
      </w:r>
      <w:r w:rsidR="00277F17">
        <w:rPr>
          <w:rFonts w:eastAsia="Times New Roman" w:cs="Times New Roman"/>
          <w:color w:val="222222"/>
          <w:szCs w:val="24"/>
        </w:rPr>
        <w:t>physical capital</w:t>
      </w:r>
      <w:r w:rsidR="001F6C5F">
        <w:rPr>
          <w:rFonts w:eastAsia="Times New Roman" w:cs="Times New Roman"/>
          <w:color w:val="222222"/>
          <w:szCs w:val="24"/>
        </w:rPr>
        <w:t xml:space="preserve"> useful in civilian production.</w:t>
      </w:r>
    </w:p>
    <w:p w14:paraId="7BAB6CE3" w14:textId="2DA0EE1B" w:rsidR="00DE1A00" w:rsidRDefault="00DE1A00" w:rsidP="00DE1A00">
      <w:pPr>
        <w:shd w:val="clear" w:color="auto" w:fill="FFFFFF"/>
        <w:spacing w:line="480" w:lineRule="auto"/>
        <w:rPr>
          <w:rFonts w:eastAsia="Times New Roman" w:cs="Times New Roman"/>
          <w:color w:val="222222"/>
          <w:szCs w:val="24"/>
        </w:rPr>
      </w:pPr>
      <w:r>
        <w:rPr>
          <w:rFonts w:eastAsia="Times New Roman" w:cs="Times New Roman"/>
          <w:color w:val="222222"/>
          <w:szCs w:val="24"/>
        </w:rPr>
        <w:t xml:space="preserve">        Wit</w:t>
      </w:r>
      <w:r w:rsidR="001E4261">
        <w:rPr>
          <w:rFonts w:eastAsia="Times New Roman" w:cs="Times New Roman"/>
          <w:color w:val="222222"/>
          <w:szCs w:val="24"/>
        </w:rPr>
        <w:t xml:space="preserve">h the </w:t>
      </w:r>
      <w:r w:rsidR="005F2596">
        <w:rPr>
          <w:rFonts w:eastAsia="Times New Roman" w:cs="Times New Roman"/>
          <w:color w:val="222222"/>
          <w:szCs w:val="24"/>
        </w:rPr>
        <w:t xml:space="preserve">temporary </w:t>
      </w:r>
      <w:r w:rsidR="001E4261">
        <w:rPr>
          <w:rFonts w:eastAsia="Times New Roman" w:cs="Times New Roman"/>
          <w:color w:val="222222"/>
          <w:szCs w:val="24"/>
        </w:rPr>
        <w:t>exception of B-29 bombers</w:t>
      </w:r>
      <w:r w:rsidR="005257E4">
        <w:rPr>
          <w:rFonts w:eastAsia="Times New Roman" w:cs="Times New Roman"/>
          <w:color w:val="222222"/>
          <w:szCs w:val="24"/>
        </w:rPr>
        <w:t xml:space="preserve">, </w:t>
      </w:r>
      <w:r>
        <w:rPr>
          <w:rFonts w:eastAsia="Times New Roman" w:cs="Times New Roman"/>
          <w:color w:val="222222"/>
          <w:szCs w:val="24"/>
        </w:rPr>
        <w:t xml:space="preserve">most of the aircraft produced </w:t>
      </w:r>
      <w:r w:rsidR="001E4261">
        <w:rPr>
          <w:rFonts w:eastAsia="Times New Roman" w:cs="Times New Roman"/>
          <w:color w:val="222222"/>
          <w:szCs w:val="24"/>
        </w:rPr>
        <w:t xml:space="preserve">during the war </w:t>
      </w:r>
      <w:r>
        <w:rPr>
          <w:rFonts w:eastAsia="Times New Roman" w:cs="Times New Roman"/>
          <w:color w:val="222222"/>
          <w:szCs w:val="24"/>
        </w:rPr>
        <w:t>were, at its conclusion, deemed obsolete and</w:t>
      </w:r>
      <w:r w:rsidR="00AD4BF5">
        <w:rPr>
          <w:rFonts w:eastAsia="Times New Roman" w:cs="Times New Roman"/>
          <w:color w:val="222222"/>
          <w:szCs w:val="24"/>
        </w:rPr>
        <w:t>/or unneeded</w:t>
      </w:r>
      <w:r>
        <w:rPr>
          <w:rFonts w:eastAsia="Times New Roman" w:cs="Times New Roman"/>
          <w:color w:val="222222"/>
          <w:szCs w:val="24"/>
        </w:rPr>
        <w:t>.  Tens of thousands were flown to ‘boneyards’ in Arizona – air bases such as Kingman and Davis</w:t>
      </w:r>
      <w:r w:rsidR="008F733C">
        <w:rPr>
          <w:rFonts w:eastAsia="Times New Roman" w:cs="Times New Roman"/>
          <w:color w:val="222222"/>
          <w:szCs w:val="24"/>
        </w:rPr>
        <w:t>-</w:t>
      </w:r>
      <w:r>
        <w:rPr>
          <w:rFonts w:eastAsia="Times New Roman" w:cs="Times New Roman"/>
          <w:color w:val="222222"/>
          <w:szCs w:val="24"/>
        </w:rPr>
        <w:t xml:space="preserve">Montham.  Engines were removed for steel scrap and the airframes guillotined, fed immediately into onsite smelters where the metal reemerged as aluminum ingots.  </w:t>
      </w:r>
      <w:r w:rsidR="00277F17">
        <w:rPr>
          <w:rFonts w:eastAsia="Times New Roman" w:cs="Times New Roman"/>
          <w:color w:val="222222"/>
          <w:szCs w:val="24"/>
        </w:rPr>
        <w:t>Towards the end of the war some aircraft were flown directly from the factory gat</w:t>
      </w:r>
      <w:r w:rsidR="003B6689">
        <w:rPr>
          <w:rFonts w:eastAsia="Times New Roman" w:cs="Times New Roman"/>
          <w:color w:val="222222"/>
          <w:szCs w:val="24"/>
        </w:rPr>
        <w:t>e</w:t>
      </w:r>
      <w:r w:rsidR="00277F17">
        <w:rPr>
          <w:rFonts w:eastAsia="Times New Roman" w:cs="Times New Roman"/>
          <w:color w:val="222222"/>
          <w:szCs w:val="24"/>
        </w:rPr>
        <w:t xml:space="preserve"> to Arizona for disassembly and recycling. </w:t>
      </w:r>
      <w:r>
        <w:rPr>
          <w:rFonts w:eastAsia="Times New Roman" w:cs="Times New Roman"/>
          <w:color w:val="222222"/>
          <w:szCs w:val="24"/>
        </w:rPr>
        <w:t xml:space="preserve">Many aircraft operating overseas were never repatriated. Abandoned in their theatre of operation, it was simply not worth </w:t>
      </w:r>
      <w:r>
        <w:rPr>
          <w:rFonts w:eastAsia="Times New Roman" w:cs="Times New Roman"/>
          <w:color w:val="222222"/>
          <w:szCs w:val="24"/>
        </w:rPr>
        <w:lastRenderedPageBreak/>
        <w:t xml:space="preserve">the cost in fuel and manpower to fly them back to the </w:t>
      </w:r>
      <w:r w:rsidR="004822BD">
        <w:rPr>
          <w:rFonts w:eastAsia="Times New Roman" w:cs="Times New Roman"/>
          <w:color w:val="222222"/>
          <w:szCs w:val="24"/>
        </w:rPr>
        <w:t>United States</w:t>
      </w:r>
      <w:r>
        <w:rPr>
          <w:rFonts w:eastAsia="Times New Roman" w:cs="Times New Roman"/>
          <w:color w:val="222222"/>
          <w:szCs w:val="24"/>
        </w:rPr>
        <w:t xml:space="preserve"> so they could be scrapped.  Similar fates befell Liberty ships (scrapped and recycled for the steel), tanks, and other military equipment.</w:t>
      </w:r>
      <w:r>
        <w:rPr>
          <w:rStyle w:val="FootnoteReference"/>
          <w:rFonts w:eastAsia="Times New Roman" w:cs="Times New Roman"/>
          <w:color w:val="222222"/>
          <w:szCs w:val="24"/>
        </w:rPr>
        <w:footnoteReference w:id="20"/>
      </w:r>
      <w:r>
        <w:rPr>
          <w:rFonts w:eastAsia="Times New Roman" w:cs="Times New Roman"/>
          <w:color w:val="222222"/>
          <w:szCs w:val="24"/>
        </w:rPr>
        <w:t xml:space="preserve">  These goods had been produced to fulfill an extraordinary need.  With the war ended, so did </w:t>
      </w:r>
      <w:r w:rsidR="002052BA">
        <w:rPr>
          <w:rFonts w:eastAsia="Times New Roman" w:cs="Times New Roman"/>
          <w:color w:val="222222"/>
          <w:szCs w:val="24"/>
        </w:rPr>
        <w:t xml:space="preserve">most of </w:t>
      </w:r>
      <w:r>
        <w:rPr>
          <w:rFonts w:eastAsia="Times New Roman" w:cs="Times New Roman"/>
          <w:color w:val="222222"/>
          <w:szCs w:val="24"/>
        </w:rPr>
        <w:t xml:space="preserve">that need.  </w:t>
      </w:r>
    </w:p>
    <w:p w14:paraId="7A114FE8" w14:textId="08B6BA65" w:rsidR="00DE1A00" w:rsidRDefault="00DE1A00" w:rsidP="00DE1A00">
      <w:pPr>
        <w:shd w:val="clear" w:color="auto" w:fill="FFFFFF"/>
        <w:spacing w:line="480" w:lineRule="auto"/>
        <w:rPr>
          <w:rFonts w:eastAsia="Times New Roman" w:cs="Times New Roman"/>
          <w:color w:val="222222"/>
          <w:szCs w:val="24"/>
        </w:rPr>
      </w:pPr>
      <w:r>
        <w:rPr>
          <w:rFonts w:eastAsia="Times New Roman" w:cs="Times New Roman"/>
          <w:color w:val="222222"/>
          <w:szCs w:val="24"/>
        </w:rPr>
        <w:t xml:space="preserve">          It was not just aircraft and freighters</w:t>
      </w:r>
      <w:r w:rsidR="006269A6">
        <w:rPr>
          <w:rFonts w:eastAsia="Times New Roman" w:cs="Times New Roman"/>
          <w:color w:val="222222"/>
          <w:szCs w:val="24"/>
        </w:rPr>
        <w:t xml:space="preserve">.  </w:t>
      </w:r>
      <w:r w:rsidR="00AD4BF5">
        <w:rPr>
          <w:rFonts w:eastAsia="Times New Roman" w:cs="Times New Roman"/>
          <w:color w:val="222222"/>
          <w:szCs w:val="24"/>
        </w:rPr>
        <w:t>A veritable flotilla, including t</w:t>
      </w:r>
      <w:bookmarkStart w:id="2" w:name="_GoBack"/>
      <w:bookmarkEnd w:id="2"/>
      <w:r w:rsidR="008F733C">
        <w:rPr>
          <w:rFonts w:eastAsia="Times New Roman" w:cs="Times New Roman"/>
          <w:color w:val="222222"/>
          <w:szCs w:val="24"/>
        </w:rPr>
        <w:t>wo aircraft carriers, four battleships, t</w:t>
      </w:r>
      <w:r w:rsidR="006269A6">
        <w:rPr>
          <w:rFonts w:eastAsia="Times New Roman" w:cs="Times New Roman"/>
          <w:color w:val="222222"/>
          <w:szCs w:val="24"/>
        </w:rPr>
        <w:t xml:space="preserve">hirteen destroyers, five submarines, </w:t>
      </w:r>
      <w:r w:rsidR="008F733C">
        <w:rPr>
          <w:rFonts w:eastAsia="Times New Roman" w:cs="Times New Roman"/>
          <w:color w:val="222222"/>
          <w:szCs w:val="24"/>
        </w:rPr>
        <w:t xml:space="preserve">and numerous other </w:t>
      </w:r>
      <w:r w:rsidR="00AD4BF5">
        <w:rPr>
          <w:rFonts w:eastAsia="Times New Roman" w:cs="Times New Roman"/>
          <w:color w:val="222222"/>
          <w:szCs w:val="24"/>
        </w:rPr>
        <w:t xml:space="preserve">naval </w:t>
      </w:r>
      <w:r w:rsidR="006269A6">
        <w:rPr>
          <w:rFonts w:eastAsia="Times New Roman" w:cs="Times New Roman"/>
          <w:color w:val="222222"/>
          <w:szCs w:val="24"/>
        </w:rPr>
        <w:t xml:space="preserve">vessels </w:t>
      </w:r>
      <w:r>
        <w:rPr>
          <w:rFonts w:eastAsia="Times New Roman" w:cs="Times New Roman"/>
          <w:color w:val="222222"/>
          <w:szCs w:val="24"/>
        </w:rPr>
        <w:t xml:space="preserve">were destroyed or made so severely radioactive that </w:t>
      </w:r>
      <w:r w:rsidR="00CC0E71">
        <w:rPr>
          <w:rFonts w:eastAsia="Times New Roman" w:cs="Times New Roman"/>
          <w:color w:val="222222"/>
          <w:szCs w:val="24"/>
        </w:rPr>
        <w:t>almost all</w:t>
      </w:r>
      <w:r w:rsidR="005C1FF5">
        <w:rPr>
          <w:rFonts w:eastAsia="Times New Roman" w:cs="Times New Roman"/>
          <w:color w:val="222222"/>
          <w:szCs w:val="24"/>
        </w:rPr>
        <w:t xml:space="preserve"> </w:t>
      </w:r>
      <w:r>
        <w:rPr>
          <w:rFonts w:eastAsia="Times New Roman" w:cs="Times New Roman"/>
          <w:color w:val="222222"/>
          <w:szCs w:val="24"/>
        </w:rPr>
        <w:t>had to be scuttled</w:t>
      </w:r>
      <w:r w:rsidR="006269A6">
        <w:rPr>
          <w:rFonts w:eastAsia="Times New Roman" w:cs="Times New Roman"/>
          <w:color w:val="222222"/>
          <w:szCs w:val="24"/>
        </w:rPr>
        <w:t xml:space="preserve">.  This was </w:t>
      </w:r>
      <w:r>
        <w:rPr>
          <w:rFonts w:eastAsia="Times New Roman" w:cs="Times New Roman"/>
          <w:color w:val="222222"/>
          <w:szCs w:val="24"/>
        </w:rPr>
        <w:t xml:space="preserve">the result of </w:t>
      </w:r>
      <w:r w:rsidR="00933DD1">
        <w:rPr>
          <w:rFonts w:eastAsia="Times New Roman" w:cs="Times New Roman"/>
          <w:color w:val="222222"/>
          <w:szCs w:val="24"/>
        </w:rPr>
        <w:t>two atomic blasts</w:t>
      </w:r>
      <w:r>
        <w:rPr>
          <w:rFonts w:eastAsia="Times New Roman" w:cs="Times New Roman"/>
          <w:color w:val="222222"/>
          <w:szCs w:val="24"/>
        </w:rPr>
        <w:t xml:space="preserve"> (Operations Crossroads), an airblast on July 1, 1946 (Abel) and an underwater detonation on July 26, 1946 (Baker).  </w:t>
      </w:r>
      <w:r w:rsidR="00CC0E71">
        <w:rPr>
          <w:rFonts w:eastAsia="Times New Roman" w:cs="Times New Roman"/>
          <w:color w:val="222222"/>
          <w:szCs w:val="24"/>
        </w:rPr>
        <w:t>Several</w:t>
      </w:r>
      <w:r w:rsidR="00DF4A97">
        <w:rPr>
          <w:rFonts w:eastAsia="Times New Roman" w:cs="Times New Roman"/>
          <w:color w:val="222222"/>
          <w:szCs w:val="24"/>
        </w:rPr>
        <w:t xml:space="preserve"> </w:t>
      </w:r>
      <w:r w:rsidR="006E381B">
        <w:rPr>
          <w:rFonts w:eastAsia="Times New Roman" w:cs="Times New Roman"/>
          <w:color w:val="222222"/>
          <w:szCs w:val="24"/>
        </w:rPr>
        <w:t xml:space="preserve">vessels </w:t>
      </w:r>
      <w:r w:rsidR="008F733C">
        <w:rPr>
          <w:rFonts w:eastAsia="Times New Roman" w:cs="Times New Roman"/>
          <w:color w:val="222222"/>
          <w:szCs w:val="24"/>
        </w:rPr>
        <w:t>sank</w:t>
      </w:r>
      <w:r w:rsidR="00DF4A97">
        <w:rPr>
          <w:rFonts w:eastAsia="Times New Roman" w:cs="Times New Roman"/>
          <w:color w:val="222222"/>
          <w:szCs w:val="24"/>
        </w:rPr>
        <w:t xml:space="preserve"> immediately at Bikini </w:t>
      </w:r>
      <w:r w:rsidR="00CC0E71">
        <w:rPr>
          <w:rFonts w:eastAsia="Times New Roman" w:cs="Times New Roman"/>
          <w:color w:val="222222"/>
          <w:szCs w:val="24"/>
        </w:rPr>
        <w:t xml:space="preserve">as the result of </w:t>
      </w:r>
      <w:r w:rsidR="00DF4A97">
        <w:rPr>
          <w:rFonts w:eastAsia="Times New Roman" w:cs="Times New Roman"/>
          <w:color w:val="222222"/>
          <w:szCs w:val="24"/>
        </w:rPr>
        <w:t xml:space="preserve">the </w:t>
      </w:r>
      <w:r w:rsidR="006E381B">
        <w:rPr>
          <w:rFonts w:eastAsia="Times New Roman" w:cs="Times New Roman"/>
          <w:color w:val="222222"/>
          <w:szCs w:val="24"/>
        </w:rPr>
        <w:t>blasts</w:t>
      </w:r>
      <w:r w:rsidR="00DF4A97">
        <w:rPr>
          <w:rFonts w:eastAsia="Times New Roman" w:cs="Times New Roman"/>
          <w:color w:val="222222"/>
          <w:szCs w:val="24"/>
        </w:rPr>
        <w:t xml:space="preserve">.  Most of the rest were towed to Kwajalein (about 400 kms) for tests, and then </w:t>
      </w:r>
      <w:r w:rsidR="00CC0E71">
        <w:rPr>
          <w:rFonts w:eastAsia="Times New Roman" w:cs="Times New Roman"/>
          <w:color w:val="222222"/>
          <w:szCs w:val="24"/>
        </w:rPr>
        <w:t>scuttled</w:t>
      </w:r>
      <w:r w:rsidR="00DF4A97">
        <w:rPr>
          <w:rFonts w:eastAsia="Times New Roman" w:cs="Times New Roman"/>
          <w:color w:val="222222"/>
          <w:szCs w:val="24"/>
        </w:rPr>
        <w:t xml:space="preserve">.  A few were brought to Pearl Harbor or West Coast US harbors </w:t>
      </w:r>
      <w:r w:rsidR="00CC0E71">
        <w:rPr>
          <w:rFonts w:eastAsia="Times New Roman" w:cs="Times New Roman"/>
          <w:color w:val="222222"/>
          <w:szCs w:val="24"/>
        </w:rPr>
        <w:t>before being used for target practice and then sunk</w:t>
      </w:r>
      <w:r w:rsidR="00DF4A97">
        <w:rPr>
          <w:rFonts w:eastAsia="Times New Roman" w:cs="Times New Roman"/>
          <w:color w:val="222222"/>
          <w:szCs w:val="24"/>
        </w:rPr>
        <w:t xml:space="preserve">.  </w:t>
      </w:r>
      <w:r w:rsidR="00CC0E71">
        <w:rPr>
          <w:rFonts w:eastAsia="Times New Roman" w:cs="Times New Roman"/>
          <w:color w:val="222222"/>
          <w:szCs w:val="24"/>
        </w:rPr>
        <w:t xml:space="preserve">Two submarines and four smaller ships were successfully decontaminated and sold for scrap. </w:t>
      </w:r>
      <w:r>
        <w:rPr>
          <w:rFonts w:eastAsia="Times New Roman" w:cs="Times New Roman"/>
          <w:color w:val="222222"/>
          <w:szCs w:val="24"/>
        </w:rPr>
        <w:t xml:space="preserve">The tests had been designed to demonstrate that naval vessels could survive nuclear </w:t>
      </w:r>
      <w:r w:rsidR="008C7FBF">
        <w:rPr>
          <w:rFonts w:eastAsia="Times New Roman" w:cs="Times New Roman"/>
          <w:color w:val="222222"/>
          <w:szCs w:val="24"/>
        </w:rPr>
        <w:t>bombs</w:t>
      </w:r>
      <w:r>
        <w:rPr>
          <w:rFonts w:eastAsia="Times New Roman" w:cs="Times New Roman"/>
          <w:color w:val="222222"/>
          <w:szCs w:val="24"/>
        </w:rPr>
        <w:t>, thus countering claims that such ships were obsole</w:t>
      </w:r>
      <w:r w:rsidR="0071543C">
        <w:rPr>
          <w:rFonts w:eastAsia="Times New Roman" w:cs="Times New Roman"/>
          <w:color w:val="222222"/>
          <w:szCs w:val="24"/>
        </w:rPr>
        <w:t>te in the atomic age.  The tests</w:t>
      </w:r>
      <w:r>
        <w:rPr>
          <w:rFonts w:eastAsia="Times New Roman" w:cs="Times New Roman"/>
          <w:color w:val="222222"/>
          <w:szCs w:val="24"/>
        </w:rPr>
        <w:t xml:space="preserve"> </w:t>
      </w:r>
      <w:r w:rsidR="005C1FF5">
        <w:rPr>
          <w:rFonts w:eastAsia="Times New Roman" w:cs="Times New Roman"/>
          <w:color w:val="222222"/>
          <w:szCs w:val="24"/>
        </w:rPr>
        <w:t>demonstrated</w:t>
      </w:r>
      <w:r>
        <w:rPr>
          <w:rFonts w:eastAsia="Times New Roman" w:cs="Times New Roman"/>
          <w:color w:val="222222"/>
          <w:szCs w:val="24"/>
        </w:rPr>
        <w:t xml:space="preserve"> the opposite</w:t>
      </w:r>
      <w:r w:rsidR="00CC0E71">
        <w:rPr>
          <w:rFonts w:eastAsia="Times New Roman" w:cs="Times New Roman"/>
          <w:color w:val="222222"/>
          <w:szCs w:val="24"/>
        </w:rPr>
        <w:t>, and</w:t>
      </w:r>
      <w:r w:rsidR="00DF4A97">
        <w:rPr>
          <w:rFonts w:eastAsia="Times New Roman" w:cs="Times New Roman"/>
          <w:color w:val="222222"/>
          <w:szCs w:val="24"/>
        </w:rPr>
        <w:t xml:space="preserve"> the third planned shot was cancelled</w:t>
      </w:r>
      <w:r>
        <w:rPr>
          <w:rFonts w:eastAsia="Times New Roman" w:cs="Times New Roman"/>
          <w:color w:val="222222"/>
          <w:szCs w:val="24"/>
        </w:rPr>
        <w:t xml:space="preserve">.  At the time </w:t>
      </w:r>
      <w:r w:rsidR="00DF4A97">
        <w:rPr>
          <w:rFonts w:eastAsia="Times New Roman" w:cs="Times New Roman"/>
          <w:color w:val="222222"/>
          <w:szCs w:val="24"/>
        </w:rPr>
        <w:t>some</w:t>
      </w:r>
      <w:r>
        <w:rPr>
          <w:rFonts w:eastAsia="Times New Roman" w:cs="Times New Roman"/>
          <w:color w:val="222222"/>
          <w:szCs w:val="24"/>
        </w:rPr>
        <w:t xml:space="preserve"> </w:t>
      </w:r>
      <w:r w:rsidR="00CC0E71">
        <w:rPr>
          <w:rFonts w:eastAsia="Times New Roman" w:cs="Times New Roman"/>
          <w:color w:val="222222"/>
          <w:szCs w:val="24"/>
        </w:rPr>
        <w:t xml:space="preserve">members of Congress </w:t>
      </w:r>
      <w:r>
        <w:rPr>
          <w:rFonts w:eastAsia="Times New Roman" w:cs="Times New Roman"/>
          <w:color w:val="222222"/>
          <w:szCs w:val="24"/>
        </w:rPr>
        <w:t>complain</w:t>
      </w:r>
      <w:r w:rsidR="00DF4A97">
        <w:rPr>
          <w:rFonts w:eastAsia="Times New Roman" w:cs="Times New Roman"/>
          <w:color w:val="222222"/>
          <w:szCs w:val="24"/>
        </w:rPr>
        <w:t>ed</w:t>
      </w:r>
      <w:r>
        <w:rPr>
          <w:rFonts w:eastAsia="Times New Roman" w:cs="Times New Roman"/>
          <w:color w:val="222222"/>
          <w:szCs w:val="24"/>
        </w:rPr>
        <w:t xml:space="preserve"> that tons of steel that could otherwise have been recycled went to the bottom of the ocean</w:t>
      </w:r>
      <w:r w:rsidR="00DF4A97">
        <w:rPr>
          <w:rFonts w:eastAsia="Times New Roman" w:cs="Times New Roman"/>
          <w:color w:val="222222"/>
          <w:szCs w:val="24"/>
        </w:rPr>
        <w:t xml:space="preserve"> (Weisgall, 1994, pp. </w:t>
      </w:r>
      <w:r w:rsidR="002D685E">
        <w:rPr>
          <w:rFonts w:eastAsia="Times New Roman" w:cs="Times New Roman"/>
          <w:color w:val="222222"/>
          <w:szCs w:val="24"/>
        </w:rPr>
        <w:t>77-78; 317-322</w:t>
      </w:r>
      <w:r w:rsidR="00DF4A97">
        <w:rPr>
          <w:rFonts w:eastAsia="Times New Roman" w:cs="Times New Roman"/>
          <w:color w:val="222222"/>
          <w:szCs w:val="24"/>
        </w:rPr>
        <w:t>).</w:t>
      </w:r>
      <w:r>
        <w:rPr>
          <w:rFonts w:eastAsia="Times New Roman" w:cs="Times New Roman"/>
          <w:color w:val="222222"/>
          <w:szCs w:val="24"/>
        </w:rPr>
        <w:t xml:space="preserve"> </w:t>
      </w:r>
    </w:p>
    <w:p w14:paraId="0533711E" w14:textId="799E2C6E" w:rsidR="00DE1A00" w:rsidRPr="000F79DD" w:rsidRDefault="00DE1A00" w:rsidP="00DE1A00">
      <w:pPr>
        <w:shd w:val="clear" w:color="auto" w:fill="FFFFFF"/>
        <w:spacing w:line="480" w:lineRule="auto"/>
        <w:ind w:firstLine="576"/>
        <w:rPr>
          <w:rFonts w:eastAsia="Times New Roman" w:cs="Times New Roman"/>
          <w:color w:val="222222"/>
          <w:szCs w:val="24"/>
        </w:rPr>
      </w:pPr>
      <w:r>
        <w:rPr>
          <w:rFonts w:eastAsia="Times New Roman" w:cs="Times New Roman"/>
          <w:color w:val="222222"/>
          <w:szCs w:val="24"/>
        </w:rPr>
        <w:t>As thousands of tons of obsolete or no longer needed military equipment lay parched on the Arizona desert, as hundreds of rusting Liberty and naval war ships prepared for scrappage, or targets for atomic bombs</w:t>
      </w:r>
      <w:r w:rsidR="004822BD">
        <w:rPr>
          <w:rFonts w:eastAsia="Times New Roman" w:cs="Times New Roman"/>
          <w:color w:val="222222"/>
          <w:szCs w:val="24"/>
        </w:rPr>
        <w:t xml:space="preserve"> or conventional ordnance</w:t>
      </w:r>
      <w:r>
        <w:rPr>
          <w:rFonts w:eastAsia="Times New Roman" w:cs="Times New Roman"/>
          <w:color w:val="222222"/>
          <w:szCs w:val="24"/>
        </w:rPr>
        <w:t xml:space="preserve">, the knowledge that was acquired in building these durables also dissipated.  Creative destruction is a feature of production knowledge as </w:t>
      </w:r>
      <w:r>
        <w:rPr>
          <w:rFonts w:eastAsia="Times New Roman" w:cs="Times New Roman"/>
          <w:color w:val="222222"/>
          <w:szCs w:val="24"/>
        </w:rPr>
        <w:lastRenderedPageBreak/>
        <w:t xml:space="preserve">much as it is of products, and was particularly severe under the extraordinary conditions of World War II production and its aftermath.  </w:t>
      </w:r>
    </w:p>
    <w:p w14:paraId="21874CDD" w14:textId="7D57B163" w:rsidR="00DE1A00" w:rsidRPr="000F79DD" w:rsidRDefault="00DE1A00" w:rsidP="00DE1A00">
      <w:pPr>
        <w:shd w:val="clear" w:color="auto" w:fill="FFFFFF"/>
        <w:spacing w:line="480" w:lineRule="auto"/>
        <w:ind w:firstLine="576"/>
        <w:rPr>
          <w:rFonts w:eastAsia="Times New Roman" w:cs="Times New Roman"/>
          <w:color w:val="222222"/>
          <w:szCs w:val="24"/>
        </w:rPr>
      </w:pPr>
      <w:r>
        <w:rPr>
          <w:rFonts w:eastAsia="Times New Roman" w:cs="Times New Roman"/>
          <w:color w:val="222222"/>
          <w:szCs w:val="24"/>
        </w:rPr>
        <w:t>W</w:t>
      </w:r>
      <w:r w:rsidRPr="000F79DD">
        <w:rPr>
          <w:rFonts w:eastAsia="Times New Roman" w:cs="Times New Roman"/>
          <w:color w:val="222222"/>
          <w:szCs w:val="24"/>
        </w:rPr>
        <w:t xml:space="preserve">hat </w:t>
      </w:r>
      <w:r>
        <w:rPr>
          <w:rFonts w:eastAsia="Times New Roman" w:cs="Times New Roman"/>
          <w:color w:val="222222"/>
          <w:szCs w:val="24"/>
        </w:rPr>
        <w:t>of</w:t>
      </w:r>
      <w:r w:rsidRPr="000F79DD">
        <w:rPr>
          <w:rFonts w:eastAsia="Times New Roman" w:cs="Times New Roman"/>
          <w:color w:val="222222"/>
          <w:szCs w:val="24"/>
        </w:rPr>
        <w:t xml:space="preserve"> the enormous production of machine tools paid for by the government</w:t>
      </w:r>
      <w:r>
        <w:rPr>
          <w:rFonts w:eastAsia="Times New Roman" w:cs="Times New Roman"/>
          <w:color w:val="222222"/>
          <w:szCs w:val="24"/>
        </w:rPr>
        <w:t>?</w:t>
      </w:r>
      <w:r w:rsidRPr="000F79DD">
        <w:rPr>
          <w:rFonts w:eastAsia="Times New Roman" w:cs="Times New Roman"/>
          <w:color w:val="222222"/>
          <w:szCs w:val="24"/>
        </w:rPr>
        <w:t xml:space="preserve">  </w:t>
      </w:r>
      <w:r>
        <w:rPr>
          <w:rFonts w:eastAsia="Times New Roman" w:cs="Times New Roman"/>
          <w:color w:val="222222"/>
          <w:szCs w:val="24"/>
        </w:rPr>
        <w:t xml:space="preserve"> </w:t>
      </w:r>
      <w:r w:rsidRPr="000F79DD">
        <w:rPr>
          <w:rFonts w:eastAsia="Times New Roman" w:cs="Times New Roman"/>
          <w:color w:val="222222"/>
          <w:szCs w:val="24"/>
        </w:rPr>
        <w:t xml:space="preserve">Machine tool output increased two orders of magnitude during the war. Annual production during the Depression was approximately 7,000 per year, generated by </w:t>
      </w:r>
      <w:r>
        <w:rPr>
          <w:rFonts w:eastAsia="Times New Roman" w:cs="Times New Roman"/>
          <w:color w:val="222222"/>
          <w:szCs w:val="24"/>
        </w:rPr>
        <w:t>roughly</w:t>
      </w:r>
      <w:r w:rsidRPr="000F79DD">
        <w:rPr>
          <w:rFonts w:eastAsia="Times New Roman" w:cs="Times New Roman"/>
          <w:color w:val="222222"/>
          <w:szCs w:val="24"/>
        </w:rPr>
        <w:t xml:space="preserve"> 200 </w:t>
      </w:r>
      <w:r>
        <w:rPr>
          <w:rFonts w:eastAsia="Times New Roman" w:cs="Times New Roman"/>
          <w:color w:val="222222"/>
          <w:szCs w:val="24"/>
        </w:rPr>
        <w:t xml:space="preserve">specialized </w:t>
      </w:r>
      <w:r w:rsidRPr="000F79DD">
        <w:rPr>
          <w:rFonts w:eastAsia="Times New Roman" w:cs="Times New Roman"/>
          <w:color w:val="222222"/>
          <w:szCs w:val="24"/>
        </w:rPr>
        <w:t>firms</w:t>
      </w:r>
      <w:r>
        <w:rPr>
          <w:rFonts w:eastAsia="Times New Roman" w:cs="Times New Roman"/>
          <w:color w:val="222222"/>
          <w:szCs w:val="24"/>
        </w:rPr>
        <w:t xml:space="preserve">.  </w:t>
      </w:r>
      <w:r w:rsidRPr="000F79DD">
        <w:rPr>
          <w:rFonts w:eastAsia="Times New Roman" w:cs="Times New Roman"/>
          <w:color w:val="222222"/>
          <w:szCs w:val="24"/>
        </w:rPr>
        <w:t>In 1940, 110,000 were pro</w:t>
      </w:r>
      <w:r>
        <w:rPr>
          <w:rFonts w:eastAsia="Times New Roman" w:cs="Times New Roman"/>
          <w:color w:val="222222"/>
          <w:szCs w:val="24"/>
        </w:rPr>
        <w:t>duced, and in 1941, 185,000.  At</w:t>
      </w:r>
      <w:r w:rsidRPr="000F79DD">
        <w:rPr>
          <w:rFonts w:eastAsia="Times New Roman" w:cs="Times New Roman"/>
          <w:color w:val="222222"/>
          <w:szCs w:val="24"/>
        </w:rPr>
        <w:t xml:space="preserve"> the peak of production in August of 1942, machine tools were generated at an annual rate of 365,000,</w:t>
      </w:r>
      <w:r>
        <w:rPr>
          <w:rFonts w:eastAsia="Times New Roman" w:cs="Times New Roman"/>
          <w:color w:val="222222"/>
          <w:szCs w:val="24"/>
        </w:rPr>
        <w:t xml:space="preserve"> although</w:t>
      </w:r>
      <w:r w:rsidRPr="000F79DD">
        <w:rPr>
          <w:rFonts w:eastAsia="Times New Roman" w:cs="Times New Roman"/>
          <w:color w:val="222222"/>
          <w:szCs w:val="24"/>
        </w:rPr>
        <w:t xml:space="preserve"> by 1944, more than a year before the war ended, production </w:t>
      </w:r>
      <w:r>
        <w:rPr>
          <w:rFonts w:eastAsia="Times New Roman" w:cs="Times New Roman"/>
          <w:color w:val="222222"/>
          <w:szCs w:val="24"/>
        </w:rPr>
        <w:t xml:space="preserve">had already fallen back to </w:t>
      </w:r>
      <w:r w:rsidRPr="000F79DD">
        <w:rPr>
          <w:rFonts w:eastAsia="Times New Roman" w:cs="Times New Roman"/>
          <w:color w:val="222222"/>
          <w:szCs w:val="24"/>
        </w:rPr>
        <w:t xml:space="preserve">less than half the peak </w:t>
      </w:r>
      <w:r>
        <w:rPr>
          <w:rFonts w:eastAsia="Times New Roman" w:cs="Times New Roman"/>
          <w:color w:val="222222"/>
          <w:szCs w:val="24"/>
        </w:rPr>
        <w:t xml:space="preserve">rate </w:t>
      </w:r>
      <w:r w:rsidRPr="000F79DD">
        <w:rPr>
          <w:rFonts w:eastAsia="Times New Roman" w:cs="Times New Roman"/>
          <w:color w:val="222222"/>
          <w:szCs w:val="24"/>
        </w:rPr>
        <w:t>(Walton, 1956, p. 229; see also Ristuccia and Tooze, 2013, table 1).</w:t>
      </w:r>
    </w:p>
    <w:p w14:paraId="5E9C8044" w14:textId="2CC46528" w:rsidR="00DE1A00" w:rsidRDefault="00DE1A00" w:rsidP="00DE1A00">
      <w:pPr>
        <w:shd w:val="clear" w:color="auto" w:fill="FFFFFF"/>
        <w:spacing w:line="480" w:lineRule="auto"/>
        <w:ind w:firstLine="576"/>
        <w:rPr>
          <w:rFonts w:cs="Times New Roman"/>
          <w:b/>
          <w:szCs w:val="24"/>
        </w:rPr>
      </w:pPr>
      <w:r w:rsidRPr="000F79DD">
        <w:rPr>
          <w:rFonts w:eastAsia="Times New Roman" w:cs="Times New Roman"/>
          <w:color w:val="222222"/>
          <w:szCs w:val="24"/>
        </w:rPr>
        <w:t>T</w:t>
      </w:r>
      <w:r w:rsidRPr="000F79DD">
        <w:rPr>
          <w:rFonts w:cs="Times New Roman"/>
          <w:szCs w:val="24"/>
        </w:rPr>
        <w:t>here was indeed a huge investment in plant and equipment by the government (</w:t>
      </w:r>
      <w:r>
        <w:rPr>
          <w:rFonts w:cs="Times New Roman"/>
          <w:szCs w:val="24"/>
        </w:rPr>
        <w:t xml:space="preserve">some of </w:t>
      </w:r>
      <w:r w:rsidR="00D74524">
        <w:rPr>
          <w:rFonts w:cs="Times New Roman"/>
          <w:szCs w:val="24"/>
        </w:rPr>
        <w:t>the GOC</w:t>
      </w:r>
      <w:r w:rsidRPr="000F79DD">
        <w:rPr>
          <w:rFonts w:cs="Times New Roman"/>
          <w:szCs w:val="24"/>
        </w:rPr>
        <w:t xml:space="preserve">O capital whose consequences Gordon began his career examining).  But the mass production techniques that made volume production of tanks and aircraft possible in the United States relied overwhelmingly on single purpose machine tools, and the majority of these tools and related jigs and frames </w:t>
      </w:r>
      <w:r>
        <w:rPr>
          <w:rFonts w:cs="Times New Roman"/>
          <w:szCs w:val="24"/>
        </w:rPr>
        <w:t>were</w:t>
      </w:r>
      <w:r w:rsidRPr="000F79DD">
        <w:rPr>
          <w:rFonts w:cs="Times New Roman"/>
          <w:szCs w:val="24"/>
        </w:rPr>
        <w:t xml:space="preserve"> scrapped with </w:t>
      </w:r>
      <w:r>
        <w:rPr>
          <w:rFonts w:cs="Times New Roman"/>
          <w:szCs w:val="24"/>
        </w:rPr>
        <w:t>reconversion.</w:t>
      </w:r>
      <w:r>
        <w:rPr>
          <w:rStyle w:val="FootnoteReference"/>
          <w:rFonts w:cs="Times New Roman"/>
          <w:szCs w:val="24"/>
        </w:rPr>
        <w:footnoteReference w:id="21"/>
      </w:r>
      <w:r w:rsidRPr="000F79DD">
        <w:rPr>
          <w:rFonts w:cs="Times New Roman"/>
          <w:szCs w:val="24"/>
        </w:rPr>
        <w:t xml:space="preserve">  The US </w:t>
      </w:r>
      <w:r>
        <w:rPr>
          <w:rFonts w:cs="Times New Roman"/>
          <w:szCs w:val="24"/>
        </w:rPr>
        <w:t xml:space="preserve">did use </w:t>
      </w:r>
      <w:r w:rsidRPr="000F79DD">
        <w:rPr>
          <w:rFonts w:cs="Times New Roman"/>
          <w:szCs w:val="24"/>
        </w:rPr>
        <w:t xml:space="preserve">multipurpose machine tools, </w:t>
      </w:r>
      <w:r>
        <w:rPr>
          <w:rFonts w:cs="Times New Roman"/>
          <w:szCs w:val="24"/>
        </w:rPr>
        <w:t>which could more easily be repurposed, but principally</w:t>
      </w:r>
      <w:r w:rsidRPr="000F79DD">
        <w:rPr>
          <w:rFonts w:cs="Times New Roman"/>
          <w:szCs w:val="24"/>
        </w:rPr>
        <w:t xml:space="preserve"> in the shops producing machine tool</w:t>
      </w:r>
      <w:r>
        <w:rPr>
          <w:rFonts w:cs="Times New Roman"/>
          <w:szCs w:val="24"/>
        </w:rPr>
        <w:t>s</w:t>
      </w:r>
      <w:r w:rsidRPr="000F79DD">
        <w:rPr>
          <w:rFonts w:cs="Times New Roman"/>
          <w:szCs w:val="24"/>
        </w:rPr>
        <w:t>.</w:t>
      </w:r>
    </w:p>
    <w:p w14:paraId="34F1A392" w14:textId="77777777" w:rsidR="00DE1A00" w:rsidRDefault="00DE1A00" w:rsidP="00DE1A00">
      <w:pPr>
        <w:spacing w:line="480" w:lineRule="auto"/>
        <w:rPr>
          <w:rFonts w:cs="Times New Roman"/>
          <w:b/>
          <w:szCs w:val="24"/>
        </w:rPr>
      </w:pPr>
      <w:r>
        <w:rPr>
          <w:rFonts w:cs="Times New Roman"/>
          <w:b/>
          <w:szCs w:val="24"/>
        </w:rPr>
        <w:t>The Scrappage Problem</w:t>
      </w:r>
    </w:p>
    <w:p w14:paraId="351CDCF9" w14:textId="5BCACA02" w:rsidR="00DE1A00" w:rsidRDefault="00DE1A00" w:rsidP="00DE1A00">
      <w:pPr>
        <w:spacing w:line="480" w:lineRule="auto"/>
        <w:rPr>
          <w:rFonts w:cs="Times New Roman"/>
          <w:szCs w:val="24"/>
        </w:rPr>
      </w:pPr>
      <w:r>
        <w:rPr>
          <w:rFonts w:cs="Times New Roman"/>
          <w:szCs w:val="24"/>
        </w:rPr>
        <w:t xml:space="preserve">         Already beginning in 1944, the country confronted serious surplus and scrappage issues.  By early 1945 disposal agencies had surplus inventories of roughly $2 billion dollars – equivalent to the entire cost of the Manhattan Project.  By V-J day that had risen to $4 billion.  Surplus inventories peaked at $14.4 billion in mid-1946 (Cook, 1948, pp. 10-11).  Most military </w:t>
      </w:r>
      <w:r>
        <w:rPr>
          <w:rFonts w:cs="Times New Roman"/>
          <w:szCs w:val="24"/>
        </w:rPr>
        <w:lastRenderedPageBreak/>
        <w:t>hardware, with the exception of jeeps and trucks, was not dual use.  Automobile manufacturers, in any event, lobbied against repatriation of such vehicles, concerned they would spoil the postwar market.  A few tanks were converted to tractors or bulldozers.   Overall, recycling and disposal posed huge logistical challenges.</w:t>
      </w:r>
      <w:r w:rsidR="00D541C5">
        <w:rPr>
          <w:rFonts w:cs="Times New Roman"/>
          <w:szCs w:val="24"/>
        </w:rPr>
        <w:t xml:space="preserve">  </w:t>
      </w:r>
    </w:p>
    <w:p w14:paraId="2F561A7E" w14:textId="76201B05" w:rsidR="00DE1A00" w:rsidRDefault="00DE1A00" w:rsidP="00DE1A00">
      <w:pPr>
        <w:spacing w:line="480" w:lineRule="auto"/>
        <w:rPr>
          <w:rFonts w:cs="Times New Roman"/>
          <w:szCs w:val="24"/>
        </w:rPr>
      </w:pPr>
      <w:r>
        <w:rPr>
          <w:rFonts w:cs="Times New Roman"/>
          <w:szCs w:val="24"/>
        </w:rPr>
        <w:t xml:space="preserve">        What, more generally of the </w:t>
      </w:r>
      <w:r w:rsidR="00D57D8C">
        <w:rPr>
          <w:rFonts w:cs="Times New Roman"/>
          <w:szCs w:val="24"/>
        </w:rPr>
        <w:t>billions</w:t>
      </w:r>
      <w:r>
        <w:rPr>
          <w:rFonts w:cs="Times New Roman"/>
          <w:szCs w:val="24"/>
        </w:rPr>
        <w:t xml:space="preserve"> of government funded equipment and structures built to produce all the military hardware?  Gordon (1969) suggested that government statisticians had not adequately reckoned the value of this capital in considering the contributors to postwar production.   To the degree we insist on adjusting upward the growth of the capital stock relevant to private sector production, higher capital growth rates will further reduce the already </w:t>
      </w:r>
      <w:r w:rsidR="005C1FF5">
        <w:rPr>
          <w:rFonts w:cs="Times New Roman"/>
          <w:szCs w:val="24"/>
        </w:rPr>
        <w:t>negative</w:t>
      </w:r>
      <w:r>
        <w:rPr>
          <w:rFonts w:cs="Times New Roman"/>
          <w:szCs w:val="24"/>
        </w:rPr>
        <w:t xml:space="preserve"> rates of measured TFP advance </w:t>
      </w:r>
      <w:r w:rsidR="001E1932">
        <w:rPr>
          <w:rFonts w:cs="Times New Roman"/>
          <w:szCs w:val="24"/>
        </w:rPr>
        <w:t xml:space="preserve">within manufacturing </w:t>
      </w:r>
      <w:r>
        <w:rPr>
          <w:rFonts w:cs="Times New Roman"/>
          <w:szCs w:val="24"/>
        </w:rPr>
        <w:t xml:space="preserve">between 1941 and 1948.  Moreover, if our measures of the growth of private sector capital are biased downward, we would still expect to see strong effects in the growth of labor productivity (because of higher </w:t>
      </w:r>
      <w:r w:rsidR="008C7FBF">
        <w:rPr>
          <w:rFonts w:cs="Times New Roman"/>
          <w:szCs w:val="24"/>
        </w:rPr>
        <w:t>‘</w:t>
      </w:r>
      <w:r>
        <w:rPr>
          <w:rFonts w:cs="Times New Roman"/>
          <w:szCs w:val="24"/>
        </w:rPr>
        <w:t>true</w:t>
      </w:r>
      <w:r w:rsidR="008C7FBF">
        <w:rPr>
          <w:rFonts w:cs="Times New Roman"/>
          <w:szCs w:val="24"/>
        </w:rPr>
        <w:t>’</w:t>
      </w:r>
      <w:r>
        <w:rPr>
          <w:rFonts w:cs="Times New Roman"/>
          <w:szCs w:val="24"/>
        </w:rPr>
        <w:t xml:space="preserve"> rates </w:t>
      </w:r>
      <w:r w:rsidR="005C1FF5">
        <w:rPr>
          <w:rFonts w:cs="Times New Roman"/>
          <w:szCs w:val="24"/>
        </w:rPr>
        <w:t xml:space="preserve">of </w:t>
      </w:r>
      <w:r>
        <w:rPr>
          <w:rFonts w:cs="Times New Roman"/>
          <w:szCs w:val="24"/>
        </w:rPr>
        <w:t>capital deepening).  For US manufacturing, table 1 shows that labor productivity growth between 1941 and 1948 was effectively nil (.04 percent per year)</w:t>
      </w:r>
      <w:r w:rsidR="00D81AD2">
        <w:rPr>
          <w:rFonts w:cs="Times New Roman"/>
          <w:szCs w:val="24"/>
        </w:rPr>
        <w:t>, mirroring the reduction in the growth of value added per worker across the Civil War years (Lindert and Williamson, 2016, p. 150).</w:t>
      </w:r>
    </w:p>
    <w:p w14:paraId="15432C0B" w14:textId="23B170FA" w:rsidR="00DE1A00" w:rsidRDefault="00DE1A00" w:rsidP="00DE1A00">
      <w:pPr>
        <w:spacing w:line="480" w:lineRule="auto"/>
        <w:rPr>
          <w:rFonts w:cs="Times New Roman"/>
          <w:szCs w:val="24"/>
        </w:rPr>
      </w:pPr>
      <w:r>
        <w:rPr>
          <w:rFonts w:cs="Times New Roman"/>
          <w:szCs w:val="24"/>
        </w:rPr>
        <w:t xml:space="preserve">         A large fraction of the government investment in plant and equipment was of little value in the postwar period.  That is why so much of it was scrapped, or sold for pennies on the dollar in the postwar period. A competing narrative suggests these were giveaways, sweetheart deals for large military contractors.  A careful reading of the literature suggests that the prices at which industrial plant was disposed of were generally reasonable.   Disposal took place amid strong political currents favoring antimonopoly and the encouragement of small business.  The aluminum industry, in particular, was restructured on a more competitive basis than had been the case prewar, an outcome anticipated from the start</w:t>
      </w:r>
      <w:r w:rsidR="006E381B">
        <w:rPr>
          <w:rFonts w:cs="Times New Roman"/>
          <w:szCs w:val="24"/>
        </w:rPr>
        <w:t>. U</w:t>
      </w:r>
      <w:r>
        <w:rPr>
          <w:rFonts w:cs="Times New Roman"/>
          <w:szCs w:val="24"/>
        </w:rPr>
        <w:t>nlike o</w:t>
      </w:r>
      <w:r w:rsidR="00277F17">
        <w:rPr>
          <w:rFonts w:cs="Times New Roman"/>
          <w:szCs w:val="24"/>
        </w:rPr>
        <w:t>ther GOC</w:t>
      </w:r>
      <w:r>
        <w:rPr>
          <w:rFonts w:cs="Times New Roman"/>
          <w:szCs w:val="24"/>
        </w:rPr>
        <w:t xml:space="preserve">O contractors, ALCOA </w:t>
      </w:r>
      <w:r>
        <w:rPr>
          <w:rFonts w:cs="Times New Roman"/>
          <w:szCs w:val="24"/>
        </w:rPr>
        <w:lastRenderedPageBreak/>
        <w:t>had not been given an option to buy the new government plants it operated</w:t>
      </w:r>
      <w:r w:rsidR="005F6B90">
        <w:rPr>
          <w:rFonts w:cs="Times New Roman"/>
          <w:szCs w:val="24"/>
        </w:rPr>
        <w:t xml:space="preserve">, and after the war it faced a new competitor in the form of the Reynolds Aluminum </w:t>
      </w:r>
      <w:r w:rsidR="006E381B">
        <w:rPr>
          <w:rFonts w:cs="Times New Roman"/>
          <w:szCs w:val="24"/>
        </w:rPr>
        <w:t>C</w:t>
      </w:r>
      <w:r w:rsidR="005F6B90">
        <w:rPr>
          <w:rFonts w:cs="Times New Roman"/>
          <w:szCs w:val="24"/>
        </w:rPr>
        <w:t>orporation.</w:t>
      </w:r>
    </w:p>
    <w:p w14:paraId="4CFD546C" w14:textId="3799F12F" w:rsidR="00DE1A00" w:rsidRDefault="00DE1A00" w:rsidP="00DE1A00">
      <w:pPr>
        <w:spacing w:line="480" w:lineRule="auto"/>
        <w:rPr>
          <w:rFonts w:cs="Times New Roman"/>
          <w:szCs w:val="24"/>
        </w:rPr>
      </w:pPr>
      <w:r>
        <w:rPr>
          <w:rFonts w:cs="Times New Roman"/>
          <w:szCs w:val="24"/>
        </w:rPr>
        <w:t xml:space="preserve">        The problem of scrappage extended not just to the tools of war but also to the tools and parts that made them.  </w:t>
      </w:r>
      <w:r w:rsidRPr="000F79DD">
        <w:rPr>
          <w:rFonts w:cs="Times New Roman"/>
          <w:szCs w:val="24"/>
        </w:rPr>
        <w:t xml:space="preserve"> Often the cost of scrappage was greater than the quantity of recoverable materials.  But inaction was not an option, because unless the now obsolete </w:t>
      </w:r>
      <w:r w:rsidR="003E3F74">
        <w:rPr>
          <w:rFonts w:cs="Times New Roman"/>
          <w:szCs w:val="24"/>
        </w:rPr>
        <w:t xml:space="preserve">or no longer needed </w:t>
      </w:r>
      <w:r w:rsidRPr="000F79DD">
        <w:rPr>
          <w:rFonts w:cs="Times New Roman"/>
          <w:szCs w:val="24"/>
        </w:rPr>
        <w:t>parts and equipment</w:t>
      </w:r>
      <w:r>
        <w:rPr>
          <w:rFonts w:cs="Times New Roman"/>
          <w:szCs w:val="24"/>
        </w:rPr>
        <w:t>, machine tools and dies,</w:t>
      </w:r>
      <w:r w:rsidRPr="000F79DD">
        <w:rPr>
          <w:rFonts w:cs="Times New Roman"/>
          <w:szCs w:val="24"/>
        </w:rPr>
        <w:t xml:space="preserve"> and finished tools of war were cleared out and disposed of, they would clog production facilities and adversely impact the revival of civilian production.  Scrappage was already a </w:t>
      </w:r>
      <w:r>
        <w:rPr>
          <w:rFonts w:cs="Times New Roman"/>
          <w:szCs w:val="24"/>
        </w:rPr>
        <w:t xml:space="preserve">serious </w:t>
      </w:r>
      <w:r w:rsidRPr="000F79DD">
        <w:rPr>
          <w:rFonts w:cs="Times New Roman"/>
          <w:szCs w:val="24"/>
        </w:rPr>
        <w:t>challenge prior to VJ day.  Change orders for tanks or bombers could instantly obs</w:t>
      </w:r>
      <w:r>
        <w:rPr>
          <w:rFonts w:cs="Times New Roman"/>
          <w:szCs w:val="24"/>
        </w:rPr>
        <w:t>olete assembled parts, tools, ji</w:t>
      </w:r>
      <w:r w:rsidRPr="000F79DD">
        <w:rPr>
          <w:rFonts w:cs="Times New Roman"/>
          <w:szCs w:val="24"/>
        </w:rPr>
        <w:t>gs and frames, as well as completed (but now obsolete) units.</w:t>
      </w:r>
      <w:r>
        <w:rPr>
          <w:rFonts w:cs="Times New Roman"/>
          <w:szCs w:val="24"/>
        </w:rPr>
        <w:t xml:space="preserve">  Mass production techniques pioneered in the 1920s and 1930s and used to build military equipment in the 1940s relied on single purpose jigs, frames, and machine tools.  These were of no more use after the war than most of the military equipment they had helped produce, or the jigs, frames and machine tools used to produce cars that had been ripped out and recycled in 1942. </w:t>
      </w:r>
    </w:p>
    <w:p w14:paraId="7B4A02AD" w14:textId="3C744785" w:rsidR="00DE1A00" w:rsidRDefault="00DE1A00" w:rsidP="00DE1A00">
      <w:pPr>
        <w:shd w:val="clear" w:color="auto" w:fill="FFFFFF"/>
        <w:spacing w:line="480" w:lineRule="auto"/>
        <w:ind w:firstLine="576"/>
        <w:rPr>
          <w:rFonts w:cs="Times New Roman"/>
          <w:szCs w:val="24"/>
        </w:rPr>
      </w:pPr>
      <w:r>
        <w:rPr>
          <w:rFonts w:cs="Times New Roman"/>
          <w:szCs w:val="24"/>
        </w:rPr>
        <w:t xml:space="preserve"> Why were government plants sold for only a fraction of their construct</w:t>
      </w:r>
      <w:r w:rsidR="008C7FBF">
        <w:rPr>
          <w:rFonts w:cs="Times New Roman"/>
          <w:szCs w:val="24"/>
        </w:rPr>
        <w:t>ion cost?  Part of the explanation is</w:t>
      </w:r>
      <w:r>
        <w:rPr>
          <w:rFonts w:cs="Times New Roman"/>
          <w:szCs w:val="24"/>
        </w:rPr>
        <w:t xml:space="preserve"> that there was often only a single bidde</w:t>
      </w:r>
      <w:r w:rsidR="000B6545">
        <w:rPr>
          <w:rFonts w:cs="Times New Roman"/>
          <w:szCs w:val="24"/>
        </w:rPr>
        <w:t>r</w:t>
      </w:r>
      <w:r>
        <w:rPr>
          <w:rFonts w:cs="Times New Roman"/>
          <w:szCs w:val="24"/>
        </w:rPr>
        <w:t xml:space="preserve">.  </w:t>
      </w:r>
      <w:r w:rsidR="006E381B">
        <w:rPr>
          <w:rFonts w:cs="Times New Roman"/>
          <w:szCs w:val="24"/>
        </w:rPr>
        <w:t>T</w:t>
      </w:r>
      <w:r>
        <w:rPr>
          <w:rFonts w:cs="Times New Roman"/>
          <w:szCs w:val="24"/>
        </w:rPr>
        <w:t xml:space="preserve">hey were often not ideally suited to the needs of postwar production.  Plants had been constructed to manufacture a product mix some of which would never return.    Some were not built to last more than a few years.  They were dispersed around the country to protect them from bombing, a questionable precaution </w:t>
      </w:r>
      <w:r w:rsidR="00D72D72">
        <w:rPr>
          <w:rFonts w:cs="Times New Roman"/>
          <w:szCs w:val="24"/>
        </w:rPr>
        <w:t xml:space="preserve">given </w:t>
      </w:r>
      <w:r w:rsidR="000B6545">
        <w:rPr>
          <w:rFonts w:cs="Times New Roman"/>
          <w:szCs w:val="24"/>
        </w:rPr>
        <w:t xml:space="preserve">the </w:t>
      </w:r>
      <w:r w:rsidR="00D72D72">
        <w:rPr>
          <w:rFonts w:cs="Times New Roman"/>
          <w:szCs w:val="24"/>
        </w:rPr>
        <w:t>new realities of military technology.</w:t>
      </w:r>
      <w:r>
        <w:rPr>
          <w:rFonts w:cs="Times New Roman"/>
          <w:szCs w:val="24"/>
        </w:rPr>
        <w:t xml:space="preserve">  A prime example was the Geneva steel mill built in Vineyard, Utah, a heavily polluting white elephant operated by US Steel during the war and bought by the company in 1946 for what critics said was a fraction of its worth</w:t>
      </w:r>
      <w:r w:rsidR="006E381B">
        <w:rPr>
          <w:rFonts w:cs="Times New Roman"/>
          <w:szCs w:val="24"/>
        </w:rPr>
        <w:t>. A</w:t>
      </w:r>
      <w:r>
        <w:rPr>
          <w:rFonts w:cs="Times New Roman"/>
          <w:szCs w:val="24"/>
        </w:rPr>
        <w:t xml:space="preserve">fter being sold in 1987 it ceased operations in 2002.    Even within an aircraft production facility, the locations </w:t>
      </w:r>
      <w:r>
        <w:rPr>
          <w:rFonts w:cs="Times New Roman"/>
          <w:szCs w:val="24"/>
        </w:rPr>
        <w:lastRenderedPageBreak/>
        <w:t xml:space="preserve">of individual structures were uneconomically dispersed, to make the facility less vulnerable to air attack.  Government built industrial facilities after the war did have value, but it was on average a fraction of their cost of construction. </w:t>
      </w:r>
      <w:r w:rsidR="00F7402C">
        <w:rPr>
          <w:rFonts w:cs="Times New Roman"/>
          <w:szCs w:val="24"/>
        </w:rPr>
        <w:br/>
        <w:t xml:space="preserve">         </w:t>
      </w:r>
      <w:r w:rsidR="00D72D72">
        <w:rPr>
          <w:rFonts w:cs="Times New Roman"/>
          <w:szCs w:val="24"/>
        </w:rPr>
        <w:t>T</w:t>
      </w:r>
      <w:r w:rsidR="005C1FF5">
        <w:rPr>
          <w:rFonts w:cs="Times New Roman"/>
          <w:szCs w:val="24"/>
        </w:rPr>
        <w:t xml:space="preserve">he conflict </w:t>
      </w:r>
      <w:r w:rsidR="00D72D72">
        <w:rPr>
          <w:rFonts w:cs="Times New Roman"/>
          <w:szCs w:val="24"/>
        </w:rPr>
        <w:t xml:space="preserve">also left </w:t>
      </w:r>
      <w:r w:rsidR="005C1FF5">
        <w:rPr>
          <w:rFonts w:cs="Times New Roman"/>
          <w:szCs w:val="24"/>
        </w:rPr>
        <w:t xml:space="preserve">the country with a vastly expanded </w:t>
      </w:r>
      <w:r w:rsidR="00D72D72">
        <w:rPr>
          <w:rFonts w:cs="Times New Roman"/>
          <w:szCs w:val="24"/>
        </w:rPr>
        <w:t xml:space="preserve">network </w:t>
      </w:r>
      <w:r w:rsidR="005C1FF5">
        <w:rPr>
          <w:rFonts w:cs="Times New Roman"/>
          <w:szCs w:val="24"/>
        </w:rPr>
        <w:t xml:space="preserve">of </w:t>
      </w:r>
      <w:r w:rsidR="00AC2A09">
        <w:rPr>
          <w:rFonts w:cs="Times New Roman"/>
          <w:szCs w:val="24"/>
        </w:rPr>
        <w:t xml:space="preserve">military </w:t>
      </w:r>
      <w:r w:rsidR="00D72D72">
        <w:rPr>
          <w:rFonts w:cs="Times New Roman"/>
          <w:szCs w:val="24"/>
        </w:rPr>
        <w:t>structures</w:t>
      </w:r>
      <w:r w:rsidR="00AC2A09">
        <w:rPr>
          <w:rFonts w:cs="Times New Roman"/>
          <w:szCs w:val="24"/>
        </w:rPr>
        <w:t xml:space="preserve">, a </w:t>
      </w:r>
      <w:r w:rsidR="00D72D72">
        <w:rPr>
          <w:rFonts w:cs="Times New Roman"/>
          <w:szCs w:val="24"/>
        </w:rPr>
        <w:t xml:space="preserve">physical plant substantially </w:t>
      </w:r>
      <w:r w:rsidR="00AC2A09">
        <w:rPr>
          <w:rFonts w:cs="Times New Roman"/>
          <w:szCs w:val="24"/>
        </w:rPr>
        <w:t>in excess of the country’s needs in the postwar period.</w:t>
      </w:r>
      <w:r w:rsidR="00272B21">
        <w:rPr>
          <w:rFonts w:cs="Times New Roman"/>
          <w:szCs w:val="24"/>
        </w:rPr>
        <w:t xml:space="preserve">  </w:t>
      </w:r>
      <w:r w:rsidR="00D72D72">
        <w:rPr>
          <w:rFonts w:cs="Times New Roman"/>
          <w:szCs w:val="24"/>
        </w:rPr>
        <w:t xml:space="preserve">The Pentagon, completed in 1943 at a cost of $78 million, was the small tip of a very large iceberg.  </w:t>
      </w:r>
      <w:r w:rsidR="00272B21">
        <w:t>As of June 30, 1945, the Army had spent within the United States $7.2 billion on command (non-industrial) plant.  This total compares with $8 billion for industrial facilities, of which $7 billion was for</w:t>
      </w:r>
      <w:r w:rsidR="00FA1589">
        <w:t xml:space="preserve"> government</w:t>
      </w:r>
      <w:r w:rsidR="00272B21">
        <w:t xml:space="preserve"> plants and $1 billion for equipment in privately owned plant.  </w:t>
      </w:r>
      <w:r w:rsidR="00D72D72">
        <w:t>Along the way</w:t>
      </w:r>
      <w:r w:rsidR="00272B21">
        <w:t xml:space="preserve">, the Army acquired ownership of </w:t>
      </w:r>
      <w:r w:rsidR="00D72D72">
        <w:t xml:space="preserve">additional </w:t>
      </w:r>
      <w:r w:rsidR="00272B21">
        <w:t xml:space="preserve">acreage </w:t>
      </w:r>
      <w:r w:rsidR="000B6545">
        <w:t xml:space="preserve">in the country </w:t>
      </w:r>
      <w:r w:rsidR="00272B21">
        <w:t xml:space="preserve">exceeding the combined area of the six New England </w:t>
      </w:r>
      <w:r w:rsidR="00D72D72">
        <w:t>s</w:t>
      </w:r>
      <w:r w:rsidR="00272B21">
        <w:t>tates (Smith, 1959, pp. 441, 444, 447).</w:t>
      </w:r>
      <w:r>
        <w:rPr>
          <w:rFonts w:cs="Times New Roman"/>
          <w:szCs w:val="24"/>
        </w:rPr>
        <w:t xml:space="preserve">  </w:t>
      </w:r>
      <w:r w:rsidR="00D72D72">
        <w:rPr>
          <w:rFonts w:cs="Times New Roman"/>
          <w:szCs w:val="24"/>
        </w:rPr>
        <w:t>Once built, new forts and bases created political coalitions in favor of their retention.  I</w:t>
      </w:r>
      <w:r w:rsidR="00AC2A09">
        <w:rPr>
          <w:rFonts w:cs="Times New Roman"/>
          <w:szCs w:val="24"/>
        </w:rPr>
        <w:t>t took decades</w:t>
      </w:r>
      <w:r w:rsidR="003C4B46">
        <w:rPr>
          <w:rFonts w:cs="Times New Roman"/>
          <w:szCs w:val="24"/>
        </w:rPr>
        <w:t xml:space="preserve">, including the establishment of </w:t>
      </w:r>
      <w:r w:rsidR="00D72D72">
        <w:rPr>
          <w:rFonts w:cs="Times New Roman"/>
          <w:szCs w:val="24"/>
        </w:rPr>
        <w:t xml:space="preserve">multiple </w:t>
      </w:r>
      <w:r w:rsidR="003C4B46">
        <w:rPr>
          <w:rFonts w:cs="Times New Roman"/>
          <w:szCs w:val="24"/>
        </w:rPr>
        <w:t>Base Realignment and Closure Commissions,</w:t>
      </w:r>
      <w:r w:rsidR="00AC2A09">
        <w:rPr>
          <w:rFonts w:cs="Times New Roman"/>
          <w:szCs w:val="24"/>
        </w:rPr>
        <w:t xml:space="preserve"> f</w:t>
      </w:r>
      <w:r w:rsidR="00272B21">
        <w:rPr>
          <w:rFonts w:cs="Times New Roman"/>
          <w:szCs w:val="24"/>
        </w:rPr>
        <w:t>or the country to make a dent in that</w:t>
      </w:r>
      <w:r w:rsidR="00AC2A09">
        <w:rPr>
          <w:rFonts w:cs="Times New Roman"/>
          <w:szCs w:val="24"/>
        </w:rPr>
        <w:t xml:space="preserve"> surplus.</w:t>
      </w:r>
      <w:r w:rsidR="00F7402C">
        <w:rPr>
          <w:rFonts w:cs="Times New Roman"/>
          <w:szCs w:val="24"/>
        </w:rPr>
        <w:br/>
      </w:r>
      <w:r w:rsidR="004B5A4B">
        <w:rPr>
          <w:rFonts w:eastAsia="Times New Roman" w:cs="Times New Roman"/>
          <w:b/>
          <w:color w:val="222222"/>
          <w:szCs w:val="24"/>
        </w:rPr>
        <w:t>TFP, Hours, and Physical Capital</w:t>
      </w:r>
      <w:r w:rsidR="00F7402C">
        <w:rPr>
          <w:rFonts w:eastAsia="Times New Roman" w:cs="Times New Roman"/>
          <w:b/>
          <w:color w:val="222222"/>
          <w:szCs w:val="24"/>
        </w:rPr>
        <w:br/>
        <w:t xml:space="preserve">        </w:t>
      </w:r>
      <w:r>
        <w:rPr>
          <w:rFonts w:cs="Times New Roman"/>
          <w:szCs w:val="24"/>
        </w:rPr>
        <w:t xml:space="preserve">The fundamental growth accounting equation tells us that growth of output can be decomposed into contributions from </w:t>
      </w:r>
      <w:r w:rsidR="00D74524">
        <w:rPr>
          <w:rFonts w:cs="Times New Roman"/>
          <w:szCs w:val="24"/>
        </w:rPr>
        <w:t xml:space="preserve">the growth of total factor productivity, </w:t>
      </w:r>
      <w:r>
        <w:rPr>
          <w:rFonts w:cs="Times New Roman"/>
          <w:szCs w:val="24"/>
        </w:rPr>
        <w:t xml:space="preserve">the growth of hours, </w:t>
      </w:r>
      <w:r w:rsidR="00D74524">
        <w:rPr>
          <w:rFonts w:cs="Times New Roman"/>
          <w:szCs w:val="24"/>
        </w:rPr>
        <w:t>and the growth of capital.</w:t>
      </w:r>
      <w:r>
        <w:rPr>
          <w:rFonts w:cs="Times New Roman"/>
          <w:szCs w:val="24"/>
        </w:rPr>
        <w:t xml:space="preserve">  As </w:t>
      </w:r>
      <w:r w:rsidR="00F25210">
        <w:rPr>
          <w:rFonts w:cs="Times New Roman"/>
          <w:szCs w:val="24"/>
        </w:rPr>
        <w:t>has been noted</w:t>
      </w:r>
      <w:r>
        <w:rPr>
          <w:rFonts w:cs="Times New Roman"/>
          <w:szCs w:val="24"/>
        </w:rPr>
        <w:t xml:space="preserve">, TFP in manufacturing </w:t>
      </w:r>
      <w:r w:rsidR="00D74524">
        <w:rPr>
          <w:rFonts w:cs="Times New Roman"/>
          <w:szCs w:val="24"/>
        </w:rPr>
        <w:t>declined</w:t>
      </w:r>
      <w:r>
        <w:rPr>
          <w:rFonts w:cs="Times New Roman"/>
          <w:szCs w:val="24"/>
        </w:rPr>
        <w:t xml:space="preserve"> between 1941 and 1948, and </w:t>
      </w:r>
      <w:r w:rsidR="005F6B90">
        <w:rPr>
          <w:rFonts w:cs="Times New Roman"/>
          <w:szCs w:val="24"/>
        </w:rPr>
        <w:t>it is in that</w:t>
      </w:r>
      <w:r>
        <w:rPr>
          <w:rFonts w:cs="Times New Roman"/>
          <w:szCs w:val="24"/>
        </w:rPr>
        <w:t xml:space="preserve"> sector </w:t>
      </w:r>
      <w:r w:rsidR="005F6B90">
        <w:rPr>
          <w:rFonts w:cs="Times New Roman"/>
          <w:szCs w:val="24"/>
        </w:rPr>
        <w:t>that</w:t>
      </w:r>
      <w:r>
        <w:rPr>
          <w:rFonts w:cs="Times New Roman"/>
          <w:szCs w:val="24"/>
        </w:rPr>
        <w:t xml:space="preserve"> we would most </w:t>
      </w:r>
      <w:r w:rsidR="00BE70C6">
        <w:rPr>
          <w:rFonts w:cs="Times New Roman"/>
          <w:szCs w:val="24"/>
        </w:rPr>
        <w:t>have expected to see longer run</w:t>
      </w:r>
      <w:r>
        <w:rPr>
          <w:rFonts w:cs="Times New Roman"/>
          <w:szCs w:val="24"/>
        </w:rPr>
        <w:t xml:space="preserve"> consequences of the wartime production experience. TFP in manufacturing did </w:t>
      </w:r>
      <w:r w:rsidR="00D72D72">
        <w:rPr>
          <w:rFonts w:cs="Times New Roman"/>
          <w:szCs w:val="24"/>
        </w:rPr>
        <w:t xml:space="preserve">eventually </w:t>
      </w:r>
      <w:r w:rsidR="002862A1">
        <w:rPr>
          <w:rFonts w:cs="Times New Roman"/>
          <w:szCs w:val="24"/>
        </w:rPr>
        <w:t>increase</w:t>
      </w:r>
      <w:r>
        <w:rPr>
          <w:rFonts w:cs="Times New Roman"/>
          <w:szCs w:val="24"/>
        </w:rPr>
        <w:t xml:space="preserve"> in the postwar period, but </w:t>
      </w:r>
      <w:r w:rsidR="00D72D72">
        <w:rPr>
          <w:rFonts w:cs="Times New Roman"/>
          <w:szCs w:val="24"/>
        </w:rPr>
        <w:t>at a much slower rate than had been true d</w:t>
      </w:r>
      <w:r w:rsidR="003C4B46">
        <w:rPr>
          <w:rFonts w:cs="Times New Roman"/>
          <w:szCs w:val="24"/>
        </w:rPr>
        <w:t xml:space="preserve">uring the interwar period.  </w:t>
      </w:r>
      <w:r>
        <w:rPr>
          <w:rFonts w:cs="Times New Roman"/>
          <w:szCs w:val="24"/>
        </w:rPr>
        <w:t>The BLS historical multifactor productivity tables for manufacturing (2004) show TFP in the sector growing at 1.</w:t>
      </w:r>
      <w:r w:rsidR="00A16F39">
        <w:rPr>
          <w:rFonts w:cs="Times New Roman"/>
          <w:szCs w:val="24"/>
        </w:rPr>
        <w:t>49</w:t>
      </w:r>
      <w:r>
        <w:rPr>
          <w:rFonts w:cs="Times New Roman"/>
          <w:szCs w:val="24"/>
        </w:rPr>
        <w:t xml:space="preserve"> percent per year between 1949 and 1973 – less than half the growth rate during </w:t>
      </w:r>
      <w:r>
        <w:rPr>
          <w:rFonts w:cs="Times New Roman"/>
          <w:szCs w:val="24"/>
        </w:rPr>
        <w:lastRenderedPageBreak/>
        <w:t>the 1930s (1929-41), and less than a third what it was during the 1920s (1919-29).  In the interwar period the growth of manufacturing TFP was consistently above the average for the private nonfarm economy.  In the golden age (194</w:t>
      </w:r>
      <w:r w:rsidR="00A16F39">
        <w:rPr>
          <w:rFonts w:cs="Times New Roman"/>
          <w:szCs w:val="24"/>
        </w:rPr>
        <w:t>9</w:t>
      </w:r>
      <w:r>
        <w:rPr>
          <w:rFonts w:cs="Times New Roman"/>
          <w:szCs w:val="24"/>
        </w:rPr>
        <w:t>-73) it was persistent</w:t>
      </w:r>
      <w:r w:rsidR="003C4B46">
        <w:rPr>
          <w:rFonts w:cs="Times New Roman"/>
          <w:szCs w:val="24"/>
        </w:rPr>
        <w:t xml:space="preserve">ly below it. </w:t>
      </w:r>
      <w:r w:rsidR="002270A6">
        <w:rPr>
          <w:rFonts w:cs="Times New Roman"/>
          <w:szCs w:val="24"/>
        </w:rPr>
        <w:t xml:space="preserve"> </w:t>
      </w:r>
      <w:r w:rsidR="00A63CC8">
        <w:rPr>
          <w:rFonts w:cs="Times New Roman"/>
          <w:szCs w:val="24"/>
        </w:rPr>
        <w:t>I</w:t>
      </w:r>
      <w:r w:rsidR="002270A6">
        <w:rPr>
          <w:rFonts w:cs="Times New Roman"/>
          <w:szCs w:val="24"/>
        </w:rPr>
        <w:t>f</w:t>
      </w:r>
      <w:r>
        <w:rPr>
          <w:rFonts w:cs="Times New Roman"/>
          <w:szCs w:val="24"/>
        </w:rPr>
        <w:t xml:space="preserve"> we look </w:t>
      </w:r>
      <w:r w:rsidR="00D44C57">
        <w:rPr>
          <w:rFonts w:cs="Times New Roman"/>
          <w:szCs w:val="24"/>
        </w:rPr>
        <w:t xml:space="preserve">ahead all the way to the first decades </w:t>
      </w:r>
      <w:r w:rsidR="003E3F74">
        <w:rPr>
          <w:rFonts w:cs="Times New Roman"/>
          <w:szCs w:val="24"/>
        </w:rPr>
        <w:t>of the twenty first century (</w:t>
      </w:r>
      <w:r w:rsidR="00D44C57">
        <w:rPr>
          <w:rFonts w:cs="Times New Roman"/>
          <w:szCs w:val="24"/>
        </w:rPr>
        <w:t>table 9)</w:t>
      </w:r>
      <w:r w:rsidR="00BE70C6">
        <w:rPr>
          <w:rFonts w:cs="Times New Roman"/>
          <w:szCs w:val="24"/>
        </w:rPr>
        <w:t xml:space="preserve">, </w:t>
      </w:r>
      <w:r>
        <w:rPr>
          <w:rFonts w:cs="Times New Roman"/>
          <w:szCs w:val="24"/>
        </w:rPr>
        <w:t>we see a</w:t>
      </w:r>
      <w:r w:rsidR="007011C5">
        <w:rPr>
          <w:rFonts w:cs="Times New Roman"/>
          <w:szCs w:val="24"/>
        </w:rPr>
        <w:t xml:space="preserve">n </w:t>
      </w:r>
      <w:r w:rsidR="006E1E9D">
        <w:rPr>
          <w:rFonts w:cs="Times New Roman"/>
          <w:szCs w:val="24"/>
        </w:rPr>
        <w:t>unmistakable</w:t>
      </w:r>
      <w:r>
        <w:rPr>
          <w:rFonts w:cs="Times New Roman"/>
          <w:szCs w:val="24"/>
        </w:rPr>
        <w:t xml:space="preserve"> downward trend in manufacturing TFP growth, undisrupted by the war</w:t>
      </w:r>
      <w:r w:rsidR="009D2EF4">
        <w:rPr>
          <w:rFonts w:cs="Times New Roman"/>
          <w:szCs w:val="24"/>
        </w:rPr>
        <w:t xml:space="preserve">, </w:t>
      </w:r>
      <w:r w:rsidR="007011C5">
        <w:rPr>
          <w:rFonts w:cs="Times New Roman"/>
          <w:szCs w:val="24"/>
        </w:rPr>
        <w:t xml:space="preserve">and </w:t>
      </w:r>
      <w:r w:rsidR="009D2EF4">
        <w:rPr>
          <w:rFonts w:cs="Times New Roman"/>
          <w:szCs w:val="24"/>
        </w:rPr>
        <w:t>interrupted only briefly by the decade long IT boom beginning in 1995.</w:t>
      </w:r>
      <w:r>
        <w:rPr>
          <w:rFonts w:cs="Times New Roman"/>
          <w:szCs w:val="24"/>
        </w:rPr>
        <w:t xml:space="preserve">  </w:t>
      </w:r>
      <w:r w:rsidR="005F6B90">
        <w:rPr>
          <w:rFonts w:cs="Times New Roman"/>
          <w:szCs w:val="24"/>
        </w:rPr>
        <w:t xml:space="preserve">Advance dropped to two thirds of a percent per year during the dark ages between 1973 and 1995 before reviving during the IT boom, but </w:t>
      </w:r>
      <w:r w:rsidR="006E381B">
        <w:rPr>
          <w:rFonts w:cs="Times New Roman"/>
          <w:szCs w:val="24"/>
        </w:rPr>
        <w:t>was</w:t>
      </w:r>
      <w:r w:rsidR="005F6B90">
        <w:rPr>
          <w:rFonts w:cs="Times New Roman"/>
          <w:szCs w:val="24"/>
        </w:rPr>
        <w:t xml:space="preserve"> mildly negative between 2005 and 2015.  </w:t>
      </w:r>
    </w:p>
    <w:p w14:paraId="6155B2D0" w14:textId="46D2AFF0" w:rsidR="00044689" w:rsidRDefault="00B43933" w:rsidP="00044689">
      <w:pPr>
        <w:shd w:val="clear" w:color="auto" w:fill="FFFFFF"/>
        <w:spacing w:line="480" w:lineRule="auto"/>
        <w:rPr>
          <w:rFonts w:cs="Times New Roman"/>
          <w:szCs w:val="24"/>
        </w:rPr>
      </w:pPr>
      <w:r>
        <w:t xml:space="preserve">       </w:t>
      </w:r>
      <w:r w:rsidR="00DE1A00">
        <w:rPr>
          <w:rFonts w:cs="Times New Roman"/>
          <w:szCs w:val="24"/>
        </w:rPr>
        <w:t xml:space="preserve">The immediate postwar impact of the war on potential hours was </w:t>
      </w:r>
      <w:r w:rsidR="00C35083">
        <w:rPr>
          <w:rFonts w:cs="Times New Roman"/>
          <w:szCs w:val="24"/>
        </w:rPr>
        <w:t>also</w:t>
      </w:r>
      <w:r w:rsidR="007072B2">
        <w:rPr>
          <w:rFonts w:cs="Times New Roman"/>
          <w:szCs w:val="24"/>
        </w:rPr>
        <w:t xml:space="preserve"> </w:t>
      </w:r>
      <w:r w:rsidR="00044689">
        <w:rPr>
          <w:rFonts w:cs="Times New Roman"/>
          <w:szCs w:val="24"/>
        </w:rPr>
        <w:t xml:space="preserve">clearly </w:t>
      </w:r>
      <w:r w:rsidR="00DE1A00">
        <w:rPr>
          <w:rFonts w:cs="Times New Roman"/>
          <w:szCs w:val="24"/>
        </w:rPr>
        <w:t xml:space="preserve">negative. </w:t>
      </w:r>
      <w:r w:rsidR="00044689">
        <w:rPr>
          <w:rFonts w:cs="Times New Roman"/>
          <w:szCs w:val="24"/>
        </w:rPr>
        <w:t xml:space="preserve">405,399 mostly prime age males never returned. </w:t>
      </w:r>
      <w:r w:rsidR="005F6B90">
        <w:rPr>
          <w:rFonts w:cs="Times New Roman"/>
          <w:szCs w:val="24"/>
        </w:rPr>
        <w:t>M</w:t>
      </w:r>
      <w:r w:rsidR="00044689">
        <w:rPr>
          <w:rFonts w:cs="Times New Roman"/>
          <w:szCs w:val="24"/>
        </w:rPr>
        <w:t xml:space="preserve">ost would have been alive in the absence of the war. There were another </w:t>
      </w:r>
      <w:r w:rsidR="00DE1A00">
        <w:rPr>
          <w:rFonts w:cs="Times New Roman"/>
          <w:szCs w:val="24"/>
        </w:rPr>
        <w:t xml:space="preserve">607,000 </w:t>
      </w:r>
      <w:r w:rsidR="00044689">
        <w:rPr>
          <w:rFonts w:cs="Times New Roman"/>
          <w:szCs w:val="24"/>
        </w:rPr>
        <w:t>casualties.</w:t>
      </w:r>
      <w:r w:rsidR="00DE1A00">
        <w:rPr>
          <w:rFonts w:cs="Times New Roman"/>
          <w:szCs w:val="24"/>
        </w:rPr>
        <w:t xml:space="preserve">  The 50 percent </w:t>
      </w:r>
      <w:r w:rsidR="00F103D9">
        <w:rPr>
          <w:rFonts w:cs="Times New Roman"/>
          <w:szCs w:val="24"/>
        </w:rPr>
        <w:t xml:space="preserve">wartime </w:t>
      </w:r>
      <w:r w:rsidR="00DE1A00">
        <w:rPr>
          <w:rFonts w:cs="Times New Roman"/>
          <w:szCs w:val="24"/>
        </w:rPr>
        <w:t xml:space="preserve">rise in female labor force participation </w:t>
      </w:r>
      <w:r w:rsidR="00DE1A00">
        <w:rPr>
          <w:rFonts w:eastAsia="Times New Roman" w:cs="Times New Roman"/>
          <w:color w:val="222222"/>
          <w:szCs w:val="24"/>
        </w:rPr>
        <w:t xml:space="preserve">(Schweitzer, 1980, p. 90) </w:t>
      </w:r>
      <w:r w:rsidR="00DE1A00">
        <w:rPr>
          <w:rFonts w:cs="Times New Roman"/>
          <w:szCs w:val="24"/>
        </w:rPr>
        <w:t xml:space="preserve">largely dissipated during the immediate postwar period. </w:t>
      </w:r>
    </w:p>
    <w:p w14:paraId="034B3FEB" w14:textId="57FA4B45" w:rsidR="00DE1A00" w:rsidRDefault="00DE1A00" w:rsidP="00DE1A00">
      <w:pPr>
        <w:shd w:val="clear" w:color="auto" w:fill="FFFFFF"/>
        <w:spacing w:line="480" w:lineRule="auto"/>
        <w:ind w:firstLine="576"/>
        <w:rPr>
          <w:rFonts w:eastAsia="Times New Roman" w:cs="Times New Roman"/>
          <w:color w:val="222222"/>
          <w:szCs w:val="24"/>
        </w:rPr>
      </w:pPr>
      <w:r>
        <w:rPr>
          <w:rFonts w:cs="Times New Roman"/>
          <w:szCs w:val="24"/>
        </w:rPr>
        <w:t xml:space="preserve">The counterfactual with respect to capital is </w:t>
      </w:r>
      <w:r w:rsidR="005F6B90">
        <w:rPr>
          <w:rFonts w:cs="Times New Roman"/>
          <w:szCs w:val="24"/>
        </w:rPr>
        <w:t xml:space="preserve">more </w:t>
      </w:r>
      <w:r w:rsidR="009E04D3">
        <w:rPr>
          <w:rFonts w:cs="Times New Roman"/>
          <w:szCs w:val="24"/>
        </w:rPr>
        <w:t>complex</w:t>
      </w:r>
      <w:r w:rsidR="00D72D72">
        <w:rPr>
          <w:rFonts w:cs="Times New Roman"/>
          <w:szCs w:val="24"/>
        </w:rPr>
        <w:t xml:space="preserve">. </w:t>
      </w:r>
      <w:r>
        <w:rPr>
          <w:rFonts w:eastAsia="Times New Roman" w:cs="Times New Roman"/>
          <w:color w:val="222222"/>
          <w:szCs w:val="24"/>
        </w:rPr>
        <w:t>The country emerged in 1948, inter alia, with a vastly expanded aluminum production industry and a reduction in its industrial concentration, a synthetic rubber capability that had been developed basically from scratch</w:t>
      </w:r>
      <w:r w:rsidR="00715ED9">
        <w:rPr>
          <w:rFonts w:eastAsia="Times New Roman" w:cs="Times New Roman"/>
          <w:color w:val="222222"/>
          <w:szCs w:val="24"/>
        </w:rPr>
        <w:t>,</w:t>
      </w:r>
      <w:r w:rsidR="003424A7">
        <w:rPr>
          <w:rFonts w:eastAsia="Times New Roman" w:cs="Times New Roman"/>
          <w:color w:val="222222"/>
          <w:szCs w:val="24"/>
        </w:rPr>
        <w:t xml:space="preserve"> and the</w:t>
      </w:r>
      <w:r>
        <w:rPr>
          <w:rFonts w:eastAsia="Times New Roman" w:cs="Times New Roman"/>
          <w:color w:val="222222"/>
          <w:szCs w:val="24"/>
        </w:rPr>
        <w:t xml:space="preserve"> Big Inch and Little Inch pipelines</w:t>
      </w:r>
      <w:r w:rsidR="00995B55">
        <w:rPr>
          <w:rFonts w:eastAsia="Times New Roman" w:cs="Times New Roman"/>
          <w:color w:val="222222"/>
          <w:szCs w:val="24"/>
        </w:rPr>
        <w:t>, bringing crude oil and refined petroleum products</w:t>
      </w:r>
      <w:r>
        <w:rPr>
          <w:rFonts w:eastAsia="Times New Roman" w:cs="Times New Roman"/>
          <w:color w:val="222222"/>
          <w:szCs w:val="24"/>
        </w:rPr>
        <w:t xml:space="preserve"> from </w:t>
      </w:r>
      <w:r w:rsidR="00995B55">
        <w:rPr>
          <w:rFonts w:eastAsia="Times New Roman" w:cs="Times New Roman"/>
          <w:color w:val="222222"/>
          <w:szCs w:val="24"/>
        </w:rPr>
        <w:t xml:space="preserve">East </w:t>
      </w:r>
      <w:r>
        <w:rPr>
          <w:rFonts w:eastAsia="Times New Roman" w:cs="Times New Roman"/>
          <w:color w:val="222222"/>
          <w:szCs w:val="24"/>
        </w:rPr>
        <w:t>Texas to the East Coast.</w:t>
      </w:r>
      <w:r w:rsidR="00693E10">
        <w:rPr>
          <w:rStyle w:val="FootnoteReference"/>
          <w:rFonts w:eastAsia="Times New Roman" w:cs="Times New Roman"/>
          <w:color w:val="222222"/>
          <w:szCs w:val="24"/>
        </w:rPr>
        <w:footnoteReference w:id="22"/>
      </w:r>
      <w:r>
        <w:rPr>
          <w:rFonts w:eastAsia="Times New Roman" w:cs="Times New Roman"/>
          <w:color w:val="222222"/>
          <w:szCs w:val="24"/>
        </w:rPr>
        <w:t xml:space="preserve">  </w:t>
      </w:r>
      <w:r>
        <w:rPr>
          <w:rFonts w:cs="Times New Roman"/>
          <w:szCs w:val="24"/>
        </w:rPr>
        <w:t xml:space="preserve">But both public and private capital accumulation in areas not militarily prioritized </w:t>
      </w:r>
      <w:r w:rsidR="003C4B46">
        <w:rPr>
          <w:rFonts w:cs="Times New Roman"/>
          <w:szCs w:val="24"/>
        </w:rPr>
        <w:t xml:space="preserve">had been </w:t>
      </w:r>
      <w:r w:rsidR="000B6545">
        <w:rPr>
          <w:rFonts w:cs="Times New Roman"/>
          <w:szCs w:val="24"/>
        </w:rPr>
        <w:t>repressed</w:t>
      </w:r>
      <w:r w:rsidR="003C4B46">
        <w:rPr>
          <w:rFonts w:cs="Times New Roman"/>
          <w:szCs w:val="24"/>
        </w:rPr>
        <w:t>.</w:t>
      </w:r>
      <w:r>
        <w:rPr>
          <w:rFonts w:cs="Times New Roman"/>
          <w:szCs w:val="24"/>
        </w:rPr>
        <w:t xml:space="preserve"> </w:t>
      </w:r>
      <w:r w:rsidR="002040E1">
        <w:rPr>
          <w:rFonts w:eastAsia="Times New Roman" w:cs="Times New Roman"/>
          <w:color w:val="222222"/>
          <w:szCs w:val="24"/>
        </w:rPr>
        <w:t>Military production priorities</w:t>
      </w:r>
      <w:r>
        <w:rPr>
          <w:rFonts w:eastAsia="Times New Roman" w:cs="Times New Roman"/>
          <w:color w:val="222222"/>
          <w:szCs w:val="24"/>
        </w:rPr>
        <w:t xml:space="preserve"> starved the economy of </w:t>
      </w:r>
      <w:r>
        <w:rPr>
          <w:rFonts w:eastAsia="Times New Roman" w:cs="Times New Roman"/>
          <w:color w:val="222222"/>
          <w:szCs w:val="24"/>
        </w:rPr>
        <w:lastRenderedPageBreak/>
        <w:t xml:space="preserve">government investment in streets and highways, bridges and tunnels, water and sewage systems, hydro power and other infrastructure that had played such an important role in the growth of productivity and potential across the depression years. These categories of government capital complementary to private capital grew at a combined rate of .15 percent per year between 1941 and 1948, as opposed to 4.17 percent per year between 1929 and 1941 (BEA </w:t>
      </w:r>
      <w:r w:rsidR="004E5399">
        <w:rPr>
          <w:rFonts w:eastAsia="Times New Roman" w:cs="Times New Roman"/>
          <w:color w:val="222222"/>
          <w:szCs w:val="24"/>
        </w:rPr>
        <w:t>Fixed Asset Tables</w:t>
      </w:r>
      <w:r>
        <w:rPr>
          <w:rFonts w:eastAsia="Times New Roman" w:cs="Times New Roman"/>
          <w:color w:val="222222"/>
          <w:szCs w:val="24"/>
        </w:rPr>
        <w:t xml:space="preserve">, tables 7.1 and 7.2).  Portions of the private economy not deemed critical to the war effort also subsisted on a thin gruel of new physical capital.  Trade, transportation, and manufacturing not directly related to the war are cases in point.  Private nonfarm housing starts, which had finally recovered to 533,200 in 1941, close to the 1925 peak (572,000), plunged to 114,600 in 1944, barely above the 1933 trough of 76,000 (National Bureau of Economic Research accessed via FRED, 2017). </w:t>
      </w:r>
    </w:p>
    <w:p w14:paraId="78DFD6AF" w14:textId="69A86E8D" w:rsidR="00DE1A00" w:rsidRDefault="00DE1A00" w:rsidP="00DE1A00">
      <w:pPr>
        <w:shd w:val="clear" w:color="auto" w:fill="FFFFFF"/>
        <w:spacing w:line="480" w:lineRule="auto"/>
        <w:ind w:firstLine="576"/>
        <w:rPr>
          <w:rFonts w:eastAsia="Times New Roman" w:cs="Times New Roman"/>
          <w:color w:val="222222"/>
          <w:szCs w:val="24"/>
        </w:rPr>
      </w:pPr>
      <w:r>
        <w:rPr>
          <w:rFonts w:eastAsia="Times New Roman" w:cs="Times New Roman"/>
          <w:color w:val="222222"/>
          <w:szCs w:val="24"/>
        </w:rPr>
        <w:t xml:space="preserve">Higgs (2010) adds an additional twist to this argument by emphasizing the wear and tear on the capital stock caused by double and triple shifts, and the understatement of depreciation allowances caused by the repressed inflation during the war.   Once price controls were removed and inflation accelerated between 1945 and 1950, those allowances were inadequate to repair the ravages of intensive wartime utilization.  </w:t>
      </w:r>
    </w:p>
    <w:p w14:paraId="54E2B2C0" w14:textId="77777777" w:rsidR="00E81C43" w:rsidRPr="00E81C43" w:rsidRDefault="00E81C43" w:rsidP="00DE1A00">
      <w:pPr>
        <w:shd w:val="clear" w:color="auto" w:fill="FFFFFF"/>
        <w:spacing w:line="480" w:lineRule="auto"/>
        <w:rPr>
          <w:rFonts w:eastAsia="Times New Roman" w:cs="Times New Roman"/>
          <w:b/>
          <w:color w:val="222222"/>
          <w:szCs w:val="24"/>
        </w:rPr>
      </w:pPr>
      <w:r w:rsidRPr="00E81C43">
        <w:rPr>
          <w:rFonts w:eastAsia="Times New Roman" w:cs="Times New Roman"/>
          <w:b/>
          <w:color w:val="222222"/>
          <w:szCs w:val="24"/>
        </w:rPr>
        <w:t xml:space="preserve"> </w:t>
      </w:r>
      <w:bookmarkStart w:id="3" w:name="_Hlk500927581"/>
      <w:r w:rsidRPr="00E81C43">
        <w:rPr>
          <w:rFonts w:eastAsia="Times New Roman" w:cs="Times New Roman"/>
          <w:b/>
          <w:color w:val="222222"/>
          <w:szCs w:val="24"/>
        </w:rPr>
        <w:t>Conclusion</w:t>
      </w:r>
    </w:p>
    <w:p w14:paraId="399B93D5" w14:textId="15A036BA" w:rsidR="00693C46" w:rsidRDefault="00E81C43" w:rsidP="00B43933">
      <w:pPr>
        <w:shd w:val="clear" w:color="auto" w:fill="FFFFFF"/>
        <w:spacing w:line="480" w:lineRule="auto"/>
        <w:rPr>
          <w:rFonts w:eastAsia="Times New Roman" w:cs="Times New Roman"/>
          <w:color w:val="222222"/>
          <w:szCs w:val="24"/>
        </w:rPr>
      </w:pPr>
      <w:r>
        <w:rPr>
          <w:rFonts w:eastAsia="Times New Roman" w:cs="Times New Roman"/>
          <w:color w:val="222222"/>
          <w:szCs w:val="24"/>
        </w:rPr>
        <w:t xml:space="preserve">       </w:t>
      </w:r>
      <w:r w:rsidR="00693C46">
        <w:rPr>
          <w:rFonts w:eastAsia="Times New Roman" w:cs="Times New Roman"/>
          <w:color w:val="222222"/>
          <w:szCs w:val="24"/>
        </w:rPr>
        <w:t xml:space="preserve">The use of the word ‘miracle’ to describe US war mobilization took shape in 1942, in an address by Eugene Wilson, CEO of United Aircraft.  Picking up on this theme, the Ford Motor Company ran advertisements describing its production efforts as “the greatest miracle of mass production the world has ever seen.”  In his January 1943 SOTU address, Roosevelt used similar words, referring to the “miracle of production” (Wilson, 2016, p. 106)   The spread of this language was in part the result of efforts led by the US Chamber of Commerce to insure that </w:t>
      </w:r>
      <w:r w:rsidR="00693C46">
        <w:rPr>
          <w:rFonts w:eastAsia="Times New Roman" w:cs="Times New Roman"/>
          <w:color w:val="222222"/>
          <w:szCs w:val="24"/>
        </w:rPr>
        <w:lastRenderedPageBreak/>
        <w:t xml:space="preserve">private business got all or most of the credit for winning the war, even though production was very much a joint government – industry effort.  </w:t>
      </w:r>
    </w:p>
    <w:p w14:paraId="208321E1" w14:textId="77777777" w:rsidR="00693C46" w:rsidRDefault="00693C46" w:rsidP="00693C46">
      <w:pPr>
        <w:shd w:val="clear" w:color="auto" w:fill="FFFFFF"/>
        <w:spacing w:line="480" w:lineRule="auto"/>
        <w:ind w:firstLine="576"/>
        <w:rPr>
          <w:rFonts w:eastAsia="Times New Roman" w:cs="Times New Roman"/>
          <w:color w:val="222222"/>
          <w:szCs w:val="24"/>
        </w:rPr>
      </w:pPr>
      <w:r>
        <w:rPr>
          <w:rFonts w:eastAsia="Times New Roman" w:cs="Times New Roman"/>
          <w:color w:val="222222"/>
          <w:szCs w:val="24"/>
        </w:rPr>
        <w:t>Symptomatic of this was insistence that the names of all military aircraft begin with the name of the prime contractor,</w:t>
      </w:r>
      <w:r>
        <w:rPr>
          <w:rStyle w:val="FootnoteReference"/>
          <w:rFonts w:eastAsia="Times New Roman" w:cs="Times New Roman"/>
          <w:color w:val="222222"/>
          <w:szCs w:val="24"/>
        </w:rPr>
        <w:footnoteReference w:id="23"/>
      </w:r>
      <w:r>
        <w:rPr>
          <w:rFonts w:eastAsia="Times New Roman" w:cs="Times New Roman"/>
          <w:color w:val="222222"/>
          <w:szCs w:val="24"/>
        </w:rPr>
        <w:t xml:space="preserve"> even if the aircraft had been largely designed and tested by government personnel, and even if the manufacture was in plants and with equipment entirely owned by the US government (the practice was never successfully extended to naval vessels, tanks or other land vehicles). Contrary to the situation today, the US Navy built roughly half its warships in its own government owned and operated shipyards, and the US Army controlled arsenals where design, testing and some production of weaponry, particularly artillery and small arms, took place.  Outside of the Navy Yards and Army Arsenals, production took place largely within plants wholly owned by the US government, which by the end of the war comprised between 15 and 25 percent of US manufacturing capacity (Wilson, 2016, p. 258).  Tens of thousands of US government employees, both military and nonmilitary, negotiated contracts, audited books, inspected output, and in some cases, with the backing of armed soldiers, took over production facilities where labor or other problems threatened the war effort. </w:t>
      </w:r>
    </w:p>
    <w:p w14:paraId="61B783DC" w14:textId="700AC9AC" w:rsidR="00693C46" w:rsidRDefault="00693C46" w:rsidP="00693C46">
      <w:pPr>
        <w:shd w:val="clear" w:color="auto" w:fill="FFFFFF"/>
        <w:spacing w:line="480" w:lineRule="auto"/>
        <w:ind w:firstLine="576"/>
        <w:rPr>
          <w:rFonts w:eastAsia="Times New Roman" w:cs="Times New Roman"/>
          <w:color w:val="222222"/>
          <w:szCs w:val="24"/>
        </w:rPr>
      </w:pPr>
      <w:r>
        <w:rPr>
          <w:rFonts w:eastAsia="Times New Roman" w:cs="Times New Roman"/>
          <w:color w:val="222222"/>
          <w:szCs w:val="24"/>
        </w:rPr>
        <w:t>The ‘economic miracle’ narrative</w:t>
      </w:r>
      <w:r w:rsidR="00041C8C">
        <w:rPr>
          <w:rFonts w:eastAsia="Times New Roman" w:cs="Times New Roman"/>
          <w:color w:val="222222"/>
          <w:szCs w:val="24"/>
        </w:rPr>
        <w:t>, which Gordo</w:t>
      </w:r>
      <w:r w:rsidR="007A2D51">
        <w:rPr>
          <w:rFonts w:eastAsia="Times New Roman" w:cs="Times New Roman"/>
          <w:color w:val="222222"/>
          <w:szCs w:val="24"/>
        </w:rPr>
        <w:t>n whole-heartedly embraced,</w:t>
      </w:r>
      <w:r w:rsidR="00041C8C">
        <w:rPr>
          <w:rFonts w:eastAsia="Times New Roman" w:cs="Times New Roman"/>
          <w:color w:val="222222"/>
          <w:szCs w:val="24"/>
        </w:rPr>
        <w:t xml:space="preserve"> </w:t>
      </w:r>
      <w:r>
        <w:rPr>
          <w:rFonts w:eastAsia="Times New Roman" w:cs="Times New Roman"/>
          <w:color w:val="222222"/>
          <w:szCs w:val="24"/>
        </w:rPr>
        <w:t xml:space="preserve">emerged against the backdrop of a continuing contest over how to </w:t>
      </w:r>
      <w:r w:rsidR="00B02F5F">
        <w:rPr>
          <w:rFonts w:eastAsia="Times New Roman" w:cs="Times New Roman"/>
          <w:color w:val="222222"/>
          <w:szCs w:val="24"/>
        </w:rPr>
        <w:t xml:space="preserve">organize, </w:t>
      </w:r>
      <w:r>
        <w:rPr>
          <w:rFonts w:eastAsia="Times New Roman" w:cs="Times New Roman"/>
          <w:color w:val="222222"/>
          <w:szCs w:val="24"/>
        </w:rPr>
        <w:t xml:space="preserve">characterize and credit the production </w:t>
      </w:r>
      <w:r w:rsidR="00B02F5F">
        <w:rPr>
          <w:rFonts w:eastAsia="Times New Roman" w:cs="Times New Roman"/>
          <w:color w:val="222222"/>
          <w:szCs w:val="24"/>
        </w:rPr>
        <w:t>successes</w:t>
      </w:r>
      <w:r>
        <w:rPr>
          <w:rFonts w:eastAsia="Times New Roman" w:cs="Times New Roman"/>
          <w:color w:val="222222"/>
          <w:szCs w:val="24"/>
        </w:rPr>
        <w:t xml:space="preserve">.  Business leaders were so focused on this that they began expressing unease about references to ‘miracles’, believing it did not fully credit the contribution of the production experience gained in “150 years of free enterprise” prior to the war, as put by the president of the National Association of Manufacturers in a speech in December of 1943 </w:t>
      </w:r>
      <w:r>
        <w:rPr>
          <w:rFonts w:eastAsia="Times New Roman" w:cs="Times New Roman"/>
          <w:color w:val="222222"/>
          <w:szCs w:val="24"/>
        </w:rPr>
        <w:lastRenderedPageBreak/>
        <w:t>(Wilson, 2016, p. 106).  While the repeated insistence</w:t>
      </w:r>
      <w:r w:rsidR="00044689">
        <w:rPr>
          <w:rFonts w:eastAsia="Times New Roman" w:cs="Times New Roman"/>
          <w:color w:val="222222"/>
          <w:szCs w:val="24"/>
        </w:rPr>
        <w:t xml:space="preserve"> by private sector leaders </w:t>
      </w:r>
      <w:r>
        <w:rPr>
          <w:rFonts w:eastAsia="Times New Roman" w:cs="Times New Roman"/>
          <w:color w:val="222222"/>
          <w:szCs w:val="24"/>
        </w:rPr>
        <w:t xml:space="preserve">that achievements were in spite of the bureaucratic hamstringing of government officials </w:t>
      </w:r>
      <w:r w:rsidR="00044689">
        <w:rPr>
          <w:rFonts w:eastAsia="Times New Roman" w:cs="Times New Roman"/>
          <w:color w:val="222222"/>
          <w:szCs w:val="24"/>
        </w:rPr>
        <w:t>was</w:t>
      </w:r>
      <w:r>
        <w:rPr>
          <w:rFonts w:eastAsia="Times New Roman" w:cs="Times New Roman"/>
          <w:color w:val="222222"/>
          <w:szCs w:val="24"/>
        </w:rPr>
        <w:t xml:space="preserve"> </w:t>
      </w:r>
      <w:r w:rsidR="00C7443C">
        <w:rPr>
          <w:rFonts w:eastAsia="Times New Roman" w:cs="Times New Roman"/>
          <w:color w:val="222222"/>
          <w:szCs w:val="24"/>
        </w:rPr>
        <w:t>s</w:t>
      </w:r>
      <w:r w:rsidR="00044689">
        <w:rPr>
          <w:rFonts w:eastAsia="Times New Roman" w:cs="Times New Roman"/>
          <w:color w:val="222222"/>
          <w:szCs w:val="24"/>
        </w:rPr>
        <w:t>elf-serving</w:t>
      </w:r>
      <w:r>
        <w:rPr>
          <w:rFonts w:eastAsia="Times New Roman" w:cs="Times New Roman"/>
          <w:color w:val="222222"/>
          <w:szCs w:val="24"/>
        </w:rPr>
        <w:t>, the</w:t>
      </w:r>
      <w:r w:rsidR="00044689">
        <w:rPr>
          <w:rFonts w:eastAsia="Times New Roman" w:cs="Times New Roman"/>
          <w:color w:val="222222"/>
          <w:szCs w:val="24"/>
        </w:rPr>
        <w:t>ir</w:t>
      </w:r>
      <w:r>
        <w:rPr>
          <w:rFonts w:eastAsia="Times New Roman" w:cs="Times New Roman"/>
          <w:color w:val="222222"/>
          <w:szCs w:val="24"/>
        </w:rPr>
        <w:t xml:space="preserve"> claim that success depended on prior production experience and their eventual push back against appeals to the supernatural </w:t>
      </w:r>
      <w:r w:rsidR="00A62832">
        <w:rPr>
          <w:rFonts w:eastAsia="Times New Roman" w:cs="Times New Roman"/>
          <w:color w:val="222222"/>
          <w:szCs w:val="24"/>
        </w:rPr>
        <w:t>can</w:t>
      </w:r>
      <w:r w:rsidR="00044689">
        <w:rPr>
          <w:rFonts w:eastAsia="Times New Roman" w:cs="Times New Roman"/>
          <w:color w:val="222222"/>
          <w:szCs w:val="24"/>
        </w:rPr>
        <w:t xml:space="preserve"> be endorsed</w:t>
      </w:r>
      <w:r>
        <w:rPr>
          <w:rFonts w:eastAsia="Times New Roman" w:cs="Times New Roman"/>
          <w:color w:val="222222"/>
          <w:szCs w:val="24"/>
        </w:rPr>
        <w:t xml:space="preserve">.   </w:t>
      </w:r>
    </w:p>
    <w:p w14:paraId="1786A24D" w14:textId="2D8ADF17" w:rsidR="00801A6A" w:rsidRDefault="00876255" w:rsidP="00BC67EA">
      <w:pPr>
        <w:shd w:val="clear" w:color="auto" w:fill="FFFFFF"/>
        <w:spacing w:line="480" w:lineRule="auto"/>
        <w:rPr>
          <w:rFonts w:cs="Times New Roman"/>
          <w:szCs w:val="24"/>
        </w:rPr>
      </w:pPr>
      <w:r>
        <w:rPr>
          <w:rFonts w:eastAsia="Times New Roman" w:cs="Times New Roman"/>
          <w:color w:val="222222"/>
          <w:szCs w:val="24"/>
        </w:rPr>
        <w:t xml:space="preserve">        </w:t>
      </w:r>
      <w:r w:rsidR="00801A6A">
        <w:rPr>
          <w:rFonts w:eastAsia="Times New Roman" w:cs="Times New Roman"/>
          <w:color w:val="222222"/>
          <w:szCs w:val="24"/>
        </w:rPr>
        <w:t>Although the war effort did leave the economy with assets that benefited postwar production capability, it</w:t>
      </w:r>
      <w:r w:rsidR="00801A6A">
        <w:rPr>
          <w:rFonts w:cs="Times New Roman"/>
          <w:szCs w:val="24"/>
        </w:rPr>
        <w:t xml:space="preserve"> distorted physical capital accumulation, crowding out investment in sectors of the economy not critical for the military effort.  </w:t>
      </w:r>
      <w:r w:rsidR="00801A6A" w:rsidRPr="00E81C43">
        <w:rPr>
          <w:rFonts w:eastAsia="Times New Roman" w:cs="Times New Roman"/>
          <w:color w:val="222222"/>
          <w:szCs w:val="24"/>
        </w:rPr>
        <w:t>The</w:t>
      </w:r>
      <w:r w:rsidR="00801A6A">
        <w:rPr>
          <w:rFonts w:eastAsia="Times New Roman" w:cs="Times New Roman"/>
          <w:color w:val="222222"/>
          <w:szCs w:val="24"/>
        </w:rPr>
        <w:t xml:space="preserve"> US suffered more than a million military casualties.  On the home front, the increase in the female labor force between 1940 and 1944 proved to be a flash in the wartime pan.</w:t>
      </w:r>
      <w:r w:rsidR="00801A6A" w:rsidDel="00E07FBF">
        <w:rPr>
          <w:rFonts w:eastAsia="Times New Roman" w:cs="Times New Roman"/>
          <w:color w:val="222222"/>
          <w:szCs w:val="24"/>
        </w:rPr>
        <w:t xml:space="preserve"> </w:t>
      </w:r>
      <w:r w:rsidR="00801A6A">
        <w:rPr>
          <w:rFonts w:eastAsia="Times New Roman" w:cs="Times New Roman"/>
          <w:color w:val="222222"/>
          <w:szCs w:val="24"/>
        </w:rPr>
        <w:t xml:space="preserve"> As the Appendix documents, between 1941 and 1948 total factor productivity deteriorated in manufacturing and construction, and in the aggregate, grew more slowly than had been true between 1929 and 1941.  A</w:t>
      </w:r>
      <w:r w:rsidR="00801A6A">
        <w:rPr>
          <w:rFonts w:cs="Times New Roman"/>
          <w:szCs w:val="24"/>
        </w:rPr>
        <w:t xml:space="preserve"> longer-term impact on TFP of learning by doing in wartime production is doubtful, because the output mix as well as factor prices differed after the war, and there were few spillovers from this learning to the production of other products.  </w:t>
      </w:r>
    </w:p>
    <w:p w14:paraId="158E7C9E" w14:textId="3EDD1DDA" w:rsidR="008B511B" w:rsidRDefault="00801A6A" w:rsidP="00C7443C">
      <w:pPr>
        <w:shd w:val="clear" w:color="auto" w:fill="FFFFFF"/>
        <w:spacing w:line="480" w:lineRule="auto"/>
      </w:pPr>
      <w:r>
        <w:rPr>
          <w:rFonts w:cs="Times New Roman"/>
          <w:szCs w:val="24"/>
        </w:rPr>
        <w:t xml:space="preserve">        </w:t>
      </w:r>
      <w:r w:rsidR="00DE1A00">
        <w:t xml:space="preserve">The war was </w:t>
      </w:r>
      <w:r w:rsidR="002043CE">
        <w:t xml:space="preserve">in fact </w:t>
      </w:r>
      <w:r w:rsidR="00DE1A00">
        <w:t xml:space="preserve">an enormous and tragic waste of human and physical resources.  </w:t>
      </w:r>
      <w:r w:rsidR="009E04D3">
        <w:t>Eco</w:t>
      </w:r>
      <w:r w:rsidR="00DE1A00">
        <w:t xml:space="preserve">nomically disruptive, </w:t>
      </w:r>
      <w:r w:rsidR="009E04D3">
        <w:t xml:space="preserve">it </w:t>
      </w:r>
      <w:r w:rsidR="00DE1A00">
        <w:t>greatly distort</w:t>
      </w:r>
      <w:r w:rsidR="009E04D3">
        <w:t>ed</w:t>
      </w:r>
      <w:r w:rsidR="00DE1A00">
        <w:t xml:space="preserve"> the economy for a period of several years, as sectors critical to the war effort expanded several</w:t>
      </w:r>
      <w:r w:rsidR="009B7C42">
        <w:t>-</w:t>
      </w:r>
      <w:r w:rsidR="00DE1A00">
        <w:t xml:space="preserve">fold and then as rapidly shrunk.  </w:t>
      </w:r>
      <w:r w:rsidR="00DE1A00">
        <w:rPr>
          <w:rFonts w:cs="Times New Roman"/>
          <w:szCs w:val="24"/>
        </w:rPr>
        <w:t>Gordon argued that “</w:t>
      </w:r>
      <w:r w:rsidR="00DE1A00">
        <w:t>the case is overwhelming for the economic miracle</w:t>
      </w:r>
      <w:r w:rsidR="00DE1A00" w:rsidRPr="00916FE9">
        <w:t xml:space="preserve"> interpretation of World War II along every conceivable dimension…” </w:t>
      </w:r>
      <w:r w:rsidR="00DE1A00">
        <w:t xml:space="preserve">What the United States </w:t>
      </w:r>
      <w:r w:rsidR="00D72D72">
        <w:t xml:space="preserve">accomplished </w:t>
      </w:r>
      <w:r w:rsidR="00DE1A00">
        <w:t xml:space="preserve">in the production of military hardware was </w:t>
      </w:r>
      <w:r w:rsidR="00247331">
        <w:t xml:space="preserve">indeed </w:t>
      </w:r>
      <w:r w:rsidR="001253B5">
        <w:t>exceptional</w:t>
      </w:r>
      <w:r w:rsidR="00DE1A00">
        <w:t xml:space="preserve">.  </w:t>
      </w:r>
      <w:r w:rsidR="000B6545">
        <w:t>But</w:t>
      </w:r>
      <w:r w:rsidR="00D72D72">
        <w:t xml:space="preserve"> the impact on the growth of U.S. potential output of this unique and never to be repeated </w:t>
      </w:r>
      <w:r w:rsidR="000B6545">
        <w:t xml:space="preserve">experience </w:t>
      </w:r>
      <w:r w:rsidR="00DE1A00">
        <w:t xml:space="preserve">was almost </w:t>
      </w:r>
      <w:r w:rsidR="001C0777">
        <w:t>certainly</w:t>
      </w:r>
      <w:r w:rsidR="00DE1A00">
        <w:t xml:space="preserve"> </w:t>
      </w:r>
      <w:r w:rsidR="00FE0499">
        <w:t>retardative.</w:t>
      </w:r>
      <w:r w:rsidR="00DE1A00">
        <w:t xml:space="preserve"> </w:t>
      </w:r>
      <w:bookmarkEnd w:id="3"/>
    </w:p>
    <w:p w14:paraId="7080A280" w14:textId="77777777" w:rsidR="008325F5" w:rsidRDefault="008325F5" w:rsidP="00C7443C">
      <w:pPr>
        <w:shd w:val="clear" w:color="auto" w:fill="FFFFFF"/>
        <w:spacing w:line="480" w:lineRule="auto"/>
      </w:pPr>
    </w:p>
    <w:p w14:paraId="6A11B6B4" w14:textId="77777777" w:rsidR="00C7443C" w:rsidRDefault="00C7443C" w:rsidP="00C7443C">
      <w:pPr>
        <w:shd w:val="clear" w:color="auto" w:fill="FFFFFF"/>
        <w:spacing w:line="480" w:lineRule="auto"/>
      </w:pPr>
    </w:p>
    <w:p w14:paraId="51D68D20" w14:textId="77777777" w:rsidR="008325F5" w:rsidRDefault="008325F5" w:rsidP="008B511B">
      <w:pPr>
        <w:shd w:val="clear" w:color="auto" w:fill="FFFFFF"/>
        <w:spacing w:line="480" w:lineRule="auto"/>
        <w:jc w:val="center"/>
      </w:pPr>
    </w:p>
    <w:p w14:paraId="2B0250F2" w14:textId="5F3A1222" w:rsidR="008B511B" w:rsidRDefault="008B511B" w:rsidP="008B511B">
      <w:pPr>
        <w:shd w:val="clear" w:color="auto" w:fill="FFFFFF"/>
        <w:spacing w:line="480" w:lineRule="auto"/>
        <w:jc w:val="center"/>
      </w:pPr>
      <w:r>
        <w:t>APPENDIX</w:t>
      </w:r>
    </w:p>
    <w:p w14:paraId="72589BFC" w14:textId="36C10D2C" w:rsidR="00F22F33" w:rsidRDefault="00F22F33" w:rsidP="00F22F33">
      <w:pPr>
        <w:shd w:val="clear" w:color="auto" w:fill="FFFFFF"/>
        <w:spacing w:line="480" w:lineRule="auto"/>
        <w:ind w:firstLine="576"/>
        <w:rPr>
          <w:rFonts w:eastAsia="Times New Roman" w:cs="Times New Roman"/>
          <w:color w:val="222222"/>
          <w:szCs w:val="24"/>
        </w:rPr>
      </w:pPr>
      <w:r>
        <w:rPr>
          <w:rFonts w:eastAsia="Times New Roman" w:cs="Times New Roman"/>
          <w:color w:val="222222"/>
          <w:szCs w:val="24"/>
        </w:rPr>
        <w:t xml:space="preserve">This appendix details the calculations underlying the </w:t>
      </w:r>
      <w:r w:rsidR="00C37148">
        <w:rPr>
          <w:rFonts w:eastAsia="Times New Roman" w:cs="Times New Roman"/>
          <w:color w:val="222222"/>
          <w:szCs w:val="24"/>
        </w:rPr>
        <w:t>conclusion that TFP</w:t>
      </w:r>
      <w:r w:rsidR="00066658">
        <w:rPr>
          <w:rFonts w:eastAsia="Times New Roman" w:cs="Times New Roman"/>
          <w:color w:val="222222"/>
          <w:szCs w:val="24"/>
        </w:rPr>
        <w:t xml:space="preserve"> in manufacturing </w:t>
      </w:r>
      <w:r w:rsidR="003513A1">
        <w:rPr>
          <w:rFonts w:eastAsia="Times New Roman" w:cs="Times New Roman"/>
          <w:color w:val="222222"/>
          <w:szCs w:val="24"/>
        </w:rPr>
        <w:t>between 1941 and 1948</w:t>
      </w:r>
      <w:r w:rsidR="00C37148">
        <w:rPr>
          <w:rFonts w:eastAsia="Times New Roman" w:cs="Times New Roman"/>
          <w:color w:val="222222"/>
          <w:szCs w:val="24"/>
        </w:rPr>
        <w:t xml:space="preserve"> declined</w:t>
      </w:r>
      <w:r w:rsidR="00066658">
        <w:rPr>
          <w:rFonts w:eastAsia="Times New Roman" w:cs="Times New Roman"/>
          <w:color w:val="222222"/>
          <w:szCs w:val="24"/>
        </w:rPr>
        <w:t>, estimates TFP growth in other sectors</w:t>
      </w:r>
      <w:r w:rsidR="003513A1">
        <w:rPr>
          <w:rFonts w:eastAsia="Times New Roman" w:cs="Times New Roman"/>
          <w:color w:val="222222"/>
          <w:szCs w:val="24"/>
        </w:rPr>
        <w:t xml:space="preserve"> during this </w:t>
      </w:r>
      <w:r w:rsidR="000645D4">
        <w:rPr>
          <w:rFonts w:eastAsia="Times New Roman" w:cs="Times New Roman"/>
          <w:color w:val="222222"/>
          <w:szCs w:val="24"/>
        </w:rPr>
        <w:t xml:space="preserve">same </w:t>
      </w:r>
      <w:r w:rsidR="003513A1">
        <w:rPr>
          <w:rFonts w:eastAsia="Times New Roman" w:cs="Times New Roman"/>
          <w:color w:val="222222"/>
          <w:szCs w:val="24"/>
        </w:rPr>
        <w:t xml:space="preserve">period, and </w:t>
      </w:r>
      <w:r>
        <w:rPr>
          <w:rFonts w:eastAsia="Times New Roman" w:cs="Times New Roman"/>
          <w:color w:val="222222"/>
          <w:szCs w:val="24"/>
        </w:rPr>
        <w:t xml:space="preserve">examines sectoral contributions to private nonfarm economy TFP growth between 1941 and 1948.  The exercise differs from the </w:t>
      </w:r>
      <w:r w:rsidR="00150657">
        <w:rPr>
          <w:rFonts w:eastAsia="Times New Roman" w:cs="Times New Roman"/>
          <w:color w:val="222222"/>
          <w:szCs w:val="24"/>
        </w:rPr>
        <w:t>discussion of trends in aggregate TFP discussed in the main body of the paper.</w:t>
      </w:r>
      <w:r>
        <w:rPr>
          <w:rFonts w:eastAsia="Times New Roman" w:cs="Times New Roman"/>
          <w:color w:val="222222"/>
          <w:szCs w:val="24"/>
        </w:rPr>
        <w:t xml:space="preserve">  First, there is no attempt at the sectoral level to make cyclical adjustments for the level of TFP in 1941.  Second, as in Field (2011), the calculation of sectoral contributions to aggregate TFP growth does not utilize the newer chained index measures of output.  Such data are not available at the sectoral level for these time periods.    Finally, the approach uses single rather than double deflation. The Bureau of Economic Analysis’s preferred method for calculating sectoral output growth in the GDP by industry section of its website is to deflate the nominal value of gross output, deflate the nominal value of intermediate inputs, and treat the difference between the deflated series as real value added.  Whatever the merits of this method, data available prior to 1947 will not support it, so the approach followed, in instances where the calculations go beyond index numbers available in Kendrick (1961), is single deflation of nominal income generated in a particular sector.  </w:t>
      </w:r>
    </w:p>
    <w:p w14:paraId="4C6516B8" w14:textId="00C148E9" w:rsidR="00F22F33" w:rsidRDefault="00F22F33" w:rsidP="00F22F33">
      <w:pPr>
        <w:shd w:val="clear" w:color="auto" w:fill="FFFFFF"/>
        <w:spacing w:line="480" w:lineRule="auto"/>
        <w:ind w:firstLine="576"/>
        <w:rPr>
          <w:rFonts w:eastAsia="Times New Roman" w:cs="Times New Roman"/>
          <w:color w:val="222222"/>
          <w:szCs w:val="24"/>
        </w:rPr>
      </w:pPr>
      <w:r>
        <w:rPr>
          <w:rFonts w:eastAsia="Times New Roman" w:cs="Times New Roman"/>
          <w:color w:val="222222"/>
          <w:szCs w:val="24"/>
        </w:rPr>
        <w:t xml:space="preserve">We begin by examining productivity growth between 1941 and 1948 in comparison with the depression years (1929-41) for the following sectors: manufacturing, wholesale and retail trade, and railroad transportation.  According to Field (2011, table 2.5, p. 59), these three sectors accounted for over 90 percent of total TFP growth in the private nonfarm economy between </w:t>
      </w:r>
      <w:r>
        <w:rPr>
          <w:rFonts w:eastAsia="Times New Roman" w:cs="Times New Roman"/>
          <w:color w:val="222222"/>
          <w:szCs w:val="24"/>
        </w:rPr>
        <w:lastRenderedPageBreak/>
        <w:t>1929 and 1941.  We then look as well at trucking and warehousing, electric and gas utilities, minin</w:t>
      </w:r>
      <w:r w:rsidR="00025374">
        <w:rPr>
          <w:rFonts w:eastAsia="Times New Roman" w:cs="Times New Roman"/>
          <w:color w:val="222222"/>
          <w:szCs w:val="24"/>
        </w:rPr>
        <w:t>g, and construction.  Table 8</w:t>
      </w:r>
      <w:r>
        <w:rPr>
          <w:rFonts w:eastAsia="Times New Roman" w:cs="Times New Roman"/>
          <w:color w:val="222222"/>
          <w:szCs w:val="24"/>
        </w:rPr>
        <w:t xml:space="preserve"> brings these sectoral estimates together and estimates their respective contributions to aggregate TFP growth.</w:t>
      </w:r>
    </w:p>
    <w:p w14:paraId="5D257A91" w14:textId="77777777" w:rsidR="00F22F33" w:rsidRPr="00512B88" w:rsidRDefault="00F22F33" w:rsidP="00F22F33">
      <w:pPr>
        <w:shd w:val="clear" w:color="auto" w:fill="FFFFFF"/>
        <w:spacing w:line="480" w:lineRule="auto"/>
        <w:rPr>
          <w:rFonts w:eastAsia="Times New Roman" w:cs="Times New Roman"/>
          <w:b/>
          <w:color w:val="222222"/>
          <w:szCs w:val="24"/>
        </w:rPr>
      </w:pPr>
      <w:r w:rsidRPr="00512B88">
        <w:rPr>
          <w:rFonts w:eastAsia="Times New Roman" w:cs="Times New Roman"/>
          <w:b/>
          <w:color w:val="222222"/>
          <w:szCs w:val="24"/>
        </w:rPr>
        <w:t>Productivity Growth in Manufacturing:  1929-41 and 1941-48</w:t>
      </w:r>
    </w:p>
    <w:p w14:paraId="01DBF1D5" w14:textId="77777777" w:rsidR="00F22F33" w:rsidRDefault="00F22F33" w:rsidP="00F22F33">
      <w:pPr>
        <w:shd w:val="clear" w:color="auto" w:fill="FFFFFF"/>
        <w:spacing w:line="480" w:lineRule="auto"/>
        <w:ind w:firstLine="576"/>
        <w:rPr>
          <w:rFonts w:eastAsia="Times New Roman" w:cs="Times New Roman"/>
          <w:color w:val="222222"/>
          <w:szCs w:val="24"/>
        </w:rPr>
      </w:pPr>
      <w:r>
        <w:rPr>
          <w:rFonts w:eastAsia="Times New Roman" w:cs="Times New Roman"/>
          <w:color w:val="222222"/>
          <w:szCs w:val="24"/>
        </w:rPr>
        <w:t xml:space="preserve">As noted, Kendrick has TFP growth in manufacturing at 5.12 percent year between 1919 and 1929, a figure accepted by Abramovitz/David, Field, and Gordon.  Although Kendrick provides annual data on output and hours inputted, his capital input series, based on Creamer et al (1960), has a level for 1937 and then again for 1948 but not the intervening years.  To calculate a growth rate of total factor productivity to and from 1941, one needs series on output growth, labor input growth, and capital input growth, as well as labor and capital shares that can be used to weight growth rates of the latter two series.  In these calculations, capital’s share is assumed to be .3.  </w:t>
      </w:r>
    </w:p>
    <w:p w14:paraId="6DD93418" w14:textId="0686CA1F" w:rsidR="00F22F33" w:rsidRDefault="00F22F33" w:rsidP="00F22F33">
      <w:pPr>
        <w:shd w:val="clear" w:color="auto" w:fill="FFFFFF"/>
        <w:spacing w:line="480" w:lineRule="auto"/>
        <w:rPr>
          <w:rFonts w:eastAsia="Times New Roman" w:cs="Times New Roman"/>
          <w:color w:val="222222"/>
          <w:szCs w:val="24"/>
        </w:rPr>
      </w:pPr>
      <w:r>
        <w:rPr>
          <w:rFonts w:eastAsia="Times New Roman" w:cs="Times New Roman"/>
          <w:color w:val="222222"/>
          <w:szCs w:val="24"/>
        </w:rPr>
        <w:t xml:space="preserve">           The 1966 Department of Commerce publication, </w:t>
      </w:r>
      <w:r>
        <w:rPr>
          <w:rFonts w:eastAsia="Times New Roman" w:cs="Times New Roman"/>
          <w:color w:val="222222"/>
          <w:szCs w:val="24"/>
          <w:u w:val="single"/>
        </w:rPr>
        <w:t>The National Income and Product Accounts of the United States, 1929-1965</w:t>
      </w:r>
      <w:r>
        <w:rPr>
          <w:rFonts w:eastAsia="Times New Roman" w:cs="Times New Roman"/>
          <w:color w:val="222222"/>
          <w:szCs w:val="24"/>
        </w:rPr>
        <w:t xml:space="preserve">, provides data on nominal income by sector going back to 1929.  </w:t>
      </w:r>
      <w:r w:rsidR="006F1290">
        <w:rPr>
          <w:rFonts w:eastAsia="Times New Roman" w:cs="Times New Roman"/>
          <w:color w:val="222222"/>
          <w:szCs w:val="24"/>
        </w:rPr>
        <w:t xml:space="preserve">The National Income and Product Accounting identities guarantee that nominal income generated by a firm or sector is equivalent to that firm </w:t>
      </w:r>
      <w:r w:rsidR="0031341F">
        <w:rPr>
          <w:rFonts w:eastAsia="Times New Roman" w:cs="Times New Roman"/>
          <w:color w:val="222222"/>
          <w:szCs w:val="24"/>
        </w:rPr>
        <w:t xml:space="preserve">or sector’s value added, and thus </w:t>
      </w:r>
      <w:r w:rsidR="006F1290">
        <w:rPr>
          <w:rFonts w:eastAsia="Times New Roman" w:cs="Times New Roman"/>
          <w:color w:val="222222"/>
          <w:szCs w:val="24"/>
        </w:rPr>
        <w:t xml:space="preserve"> its contribution to gross product.  </w:t>
      </w:r>
      <w:r>
        <w:rPr>
          <w:rFonts w:eastAsia="Times New Roman" w:cs="Times New Roman"/>
          <w:color w:val="222222"/>
          <w:szCs w:val="24"/>
        </w:rPr>
        <w:t>For manufacturing, nominal income in the durables and nondurables subsectors (table 1.12, lines 13 and 24) are converted to real value added using deflators for each subsector (table 8.6, lines 2 and 14</w:t>
      </w:r>
      <w:r w:rsidR="002F7D56">
        <w:rPr>
          <w:rFonts w:eastAsia="Times New Roman" w:cs="Times New Roman"/>
          <w:color w:val="222222"/>
          <w:szCs w:val="24"/>
        </w:rPr>
        <w:t>; 1958=100</w:t>
      </w:r>
      <w:r>
        <w:rPr>
          <w:rFonts w:eastAsia="Times New Roman" w:cs="Times New Roman"/>
          <w:color w:val="222222"/>
          <w:szCs w:val="24"/>
        </w:rPr>
        <w:t xml:space="preserve">) and then summed.  This yields an estimate of the growth of manufacturing output of 4.43 percent per year between 1929 and 1941, and 1.98 percent per year between 1941 and 1948.  Note that in the latter calculation we are measuring from premobilization to the first fully employed post-demobilization year.  We are </w:t>
      </w:r>
      <w:r w:rsidRPr="0040299F">
        <w:rPr>
          <w:rFonts w:eastAsia="Times New Roman" w:cs="Times New Roman"/>
          <w:color w:val="222222"/>
          <w:szCs w:val="24"/>
          <w:u w:val="single"/>
        </w:rPr>
        <w:t>not</w:t>
      </w:r>
      <w:r>
        <w:rPr>
          <w:rFonts w:eastAsia="Times New Roman" w:cs="Times New Roman"/>
          <w:color w:val="222222"/>
          <w:szCs w:val="24"/>
        </w:rPr>
        <w:t xml:space="preserve"> measuring from 1941 to 1943 or 1944, because the question is not whether the United States </w:t>
      </w:r>
      <w:r>
        <w:rPr>
          <w:rFonts w:eastAsia="Times New Roman" w:cs="Times New Roman"/>
          <w:color w:val="222222"/>
          <w:szCs w:val="24"/>
        </w:rPr>
        <w:lastRenderedPageBreak/>
        <w:t>succeeded in producing extraordinary flows of military hardware in a short time and experienced productivity gains in doing so (it did), but whether that experience positively influenced productivity levels and rates of growth in the postwar period.</w:t>
      </w:r>
    </w:p>
    <w:p w14:paraId="40B07402" w14:textId="77777777" w:rsidR="00F22F33" w:rsidRDefault="00F22F33" w:rsidP="00F22F33">
      <w:pPr>
        <w:shd w:val="clear" w:color="auto" w:fill="FFFFFF"/>
        <w:spacing w:line="480" w:lineRule="auto"/>
        <w:ind w:firstLine="576"/>
        <w:rPr>
          <w:rFonts w:eastAsia="Times New Roman" w:cs="Times New Roman"/>
          <w:color w:val="222222"/>
          <w:szCs w:val="24"/>
        </w:rPr>
      </w:pPr>
      <w:r>
        <w:rPr>
          <w:rFonts w:eastAsia="Times New Roman" w:cs="Times New Roman"/>
          <w:color w:val="222222"/>
          <w:szCs w:val="24"/>
        </w:rPr>
        <w:t xml:space="preserve">Labor input is calculated in the following fashion.  FTEs in the sector are drawn from BEA NIPA Table 6.5a.  These numbers are identical to those in Department of Commerce 1966, table 6.4 line 11, except for a small difference for 1948.  A difficulty with using FTEs as a proxy for hours input is that average weekly hours of work change over time.  Data in series Ba4580 from </w:t>
      </w:r>
      <w:r w:rsidRPr="00512B88">
        <w:rPr>
          <w:rFonts w:eastAsia="Times New Roman" w:cs="Times New Roman"/>
          <w:color w:val="222222"/>
          <w:szCs w:val="24"/>
          <w:u w:val="single"/>
        </w:rPr>
        <w:t>Historical Statistics of the United States</w:t>
      </w:r>
      <w:r>
        <w:rPr>
          <w:rFonts w:eastAsia="Times New Roman" w:cs="Times New Roman"/>
          <w:color w:val="222222"/>
          <w:szCs w:val="24"/>
          <w:u w:val="single"/>
        </w:rPr>
        <w:t>, Millennial Edition</w:t>
      </w:r>
      <w:r>
        <w:rPr>
          <w:rFonts w:eastAsia="Times New Roman" w:cs="Times New Roman"/>
          <w:color w:val="222222"/>
          <w:szCs w:val="24"/>
        </w:rPr>
        <w:t xml:space="preserve"> show average weekly hours in manufacturing declining from 44.2 in 1929 to 40.6 in 1941 to 40.2 in 1948.  To create a proxy for hours, FTE numbers for 1941 are reduced by multiplying by the ratio of average weekly hours in 1941 to average weekly hours in 1929 (.919).  FTE numbers for 1948 are reduced by multiplying by the ratio of average weekly hours in 1948 to average weekly hours in 1929 (.909).  Based on these calculations, labor input in U.S. manufacturing grew between 1929 and 1941 at 1.22 percent per year, and between 1941 and 1948 at 1.94 percent.  These are very close to growth rates based on Kendrick’s manhours series for manufacturing (1.23 and 1.96 percent per year for the two periods respectively).  Since we now have estimates of the growth rate of both sectoral output and hours, we can estimate labor productivity growth (their difference) as 3.22 percent per year between 1929 and 1941, and .04 percent per year between 1941 and 1948. </w:t>
      </w:r>
    </w:p>
    <w:p w14:paraId="4C5F41E0" w14:textId="77777777" w:rsidR="00F22F33" w:rsidRDefault="00F22F33" w:rsidP="00F22F33">
      <w:pPr>
        <w:shd w:val="clear" w:color="auto" w:fill="FFFFFF"/>
        <w:spacing w:line="480" w:lineRule="auto"/>
        <w:ind w:firstLine="576"/>
        <w:rPr>
          <w:rFonts w:eastAsia="Times New Roman" w:cs="Times New Roman"/>
          <w:color w:val="222222"/>
          <w:szCs w:val="24"/>
        </w:rPr>
      </w:pPr>
      <w:r>
        <w:rPr>
          <w:rFonts w:eastAsia="Times New Roman" w:cs="Times New Roman"/>
          <w:color w:val="222222"/>
          <w:szCs w:val="24"/>
        </w:rPr>
        <w:t xml:space="preserve">To estimate TFP growth, we also need to know how fast capital input was growing.  The BEA’s Fixed Asset Table 2.2 provides chain type quantity indexes for the net stock of private fixed assets, enabling calculation of the growth of the real stock of industrial equipment (line 11) and manufacturing structures (line 48).  These growth rates are then combined, weighting them by the average shares of equipment and structures in the manufacturing capital stock, based on </w:t>
      </w:r>
      <w:r>
        <w:rPr>
          <w:rFonts w:eastAsia="Times New Roman" w:cs="Times New Roman"/>
          <w:color w:val="222222"/>
          <w:szCs w:val="24"/>
        </w:rPr>
        <w:lastRenderedPageBreak/>
        <w:t xml:space="preserve">values from the BEA’s Fixed Asset table 2.1, Current Cost Net stock of Private Fixed Assets.  This yields manufacturing capital growing across the depression years at 1.11 percent per year and 3.90 percent per year between 1941 and 1948.  </w:t>
      </w:r>
    </w:p>
    <w:p w14:paraId="7D6EFD59" w14:textId="77777777" w:rsidR="00F22F33" w:rsidRDefault="00F22F33" w:rsidP="00F22F33">
      <w:pPr>
        <w:shd w:val="clear" w:color="auto" w:fill="FFFFFF"/>
        <w:spacing w:line="480" w:lineRule="auto"/>
        <w:ind w:firstLine="576"/>
        <w:rPr>
          <w:rFonts w:eastAsia="Times New Roman" w:cs="Times New Roman"/>
          <w:color w:val="222222"/>
          <w:szCs w:val="24"/>
        </w:rPr>
      </w:pPr>
      <w:r>
        <w:rPr>
          <w:rFonts w:eastAsia="Times New Roman" w:cs="Times New Roman"/>
          <w:color w:val="222222"/>
          <w:szCs w:val="24"/>
        </w:rPr>
        <w:tab/>
        <w:t>Putting these three series together in the standard growth accounting framework, and weighting capital growth by .3 and labor input growth by .7, we have manufacturing TFP growth of 3.25 percent per year between 1929 and 1941, and -.55 percent per year between 1941 and 1948 (table I).  These numbers differ slightly from the 2.76 per year between 1929 and 1941 and -.35 percent per year reported by Field (2011).</w:t>
      </w:r>
      <w:r>
        <w:rPr>
          <w:rStyle w:val="FootnoteReference"/>
          <w:rFonts w:eastAsia="Times New Roman" w:cs="Times New Roman"/>
          <w:color w:val="222222"/>
          <w:szCs w:val="24"/>
        </w:rPr>
        <w:footnoteReference w:id="24"/>
      </w:r>
      <w:r>
        <w:rPr>
          <w:rFonts w:eastAsia="Times New Roman" w:cs="Times New Roman"/>
          <w:color w:val="222222"/>
          <w:szCs w:val="24"/>
        </w:rPr>
        <w:t xml:space="preserve"> Neither set of estimates is consistent with the Gordon narrative.  Table 8 combines sectoral TFP growth rate estimates with data on sectoral shares in the private nonfarm economy, permitting calculation of percentage point contributions to aggregate TFP growth.   Between 1941 and 1948, the manufacturing sector contributed -.21 percentage points per year to PNE TFP growth.</w:t>
      </w:r>
    </w:p>
    <w:p w14:paraId="25FA2A68" w14:textId="77777777" w:rsidR="00F22F33" w:rsidRPr="00512B88" w:rsidRDefault="00F22F33" w:rsidP="00F22F33">
      <w:pPr>
        <w:shd w:val="clear" w:color="auto" w:fill="FFFFFF"/>
        <w:spacing w:line="480" w:lineRule="auto"/>
        <w:rPr>
          <w:rFonts w:eastAsia="Times New Roman" w:cs="Times New Roman"/>
          <w:b/>
          <w:color w:val="222222"/>
          <w:szCs w:val="24"/>
        </w:rPr>
      </w:pPr>
      <w:r w:rsidRPr="00512B88">
        <w:rPr>
          <w:rFonts w:eastAsia="Times New Roman" w:cs="Times New Roman"/>
          <w:b/>
          <w:color w:val="222222"/>
          <w:szCs w:val="24"/>
        </w:rPr>
        <w:t>Wholesale and Retail Trade</w:t>
      </w:r>
    </w:p>
    <w:p w14:paraId="0939A0FD" w14:textId="77777777" w:rsidR="00F22F33" w:rsidRDefault="00F22F33" w:rsidP="00F22F33">
      <w:pPr>
        <w:shd w:val="clear" w:color="auto" w:fill="FFFFFF"/>
        <w:spacing w:line="480" w:lineRule="auto"/>
        <w:rPr>
          <w:rFonts w:eastAsia="Times New Roman" w:cs="Times New Roman"/>
          <w:color w:val="222222"/>
          <w:szCs w:val="24"/>
        </w:rPr>
      </w:pPr>
      <w:r>
        <w:rPr>
          <w:rFonts w:eastAsia="Times New Roman" w:cs="Times New Roman"/>
          <w:color w:val="222222"/>
          <w:szCs w:val="24"/>
        </w:rPr>
        <w:t xml:space="preserve">         We adopt a similar approach for wholesale and retail trade.  Nominal income generated in the sector is from Department of Commerce 1966, table 1.12.  These flows are deflated by the personal consumption expenditure (PCE) deflator (Department of Commerce, 1966, table 8.1, p. 158).  This shows real output growing in the sector at 3.2 percent per year between 1929 and 1941, and 5 percent per year between 1941 and 1948.  For labor input, FTEs for both wholesale and retail trade are drawn from BEA NIPA Table 6.5A.  It is not possible to adjust the 1941 FTEs for changes in the average hours per week, but retail FTEs for 1948 are adjusted downward </w:t>
      </w:r>
      <w:r>
        <w:rPr>
          <w:rFonts w:eastAsia="Times New Roman" w:cs="Times New Roman"/>
          <w:color w:val="222222"/>
          <w:szCs w:val="24"/>
        </w:rPr>
        <w:lastRenderedPageBreak/>
        <w:t xml:space="preserve">because of the decline from 42.8 to 40.2 hours reported in HSUS Series Ba4580.  We have labor input growing at 1.5 percent per year between 1929 and 1941, and 2.7 percent per year between 1941 and 1948. Together with the output growth numbers, we can estimate labor productivity growth at 1.64 percent between 1929 and 1941 and 2.23 percent between 1941 and 1948.  </w:t>
      </w:r>
    </w:p>
    <w:p w14:paraId="02E1CF26" w14:textId="77777777" w:rsidR="00F22F33" w:rsidRDefault="00F22F33" w:rsidP="00F22F33">
      <w:pPr>
        <w:shd w:val="clear" w:color="auto" w:fill="FFFFFF"/>
        <w:spacing w:line="480" w:lineRule="auto"/>
        <w:rPr>
          <w:rFonts w:eastAsia="Times New Roman" w:cs="Times New Roman"/>
          <w:color w:val="222222"/>
          <w:szCs w:val="24"/>
        </w:rPr>
      </w:pPr>
      <w:r>
        <w:rPr>
          <w:rFonts w:eastAsia="Times New Roman" w:cs="Times New Roman"/>
          <w:color w:val="222222"/>
          <w:szCs w:val="24"/>
        </w:rPr>
        <w:t xml:space="preserve">         Capital input is estimated from BEA Fixed Asset Table 2.2, lines 44 (multi-merchandise shopping structures) and 46 (warehouses).  Growth rates for the two series are combined, weighted according to the average value of these two components at the beginning and end of each period (BEA Fixed Asset Table 2.1).  We have capital growing at -.8 percent between 1929 and 1941, and -.9 percent between 1941 and 1948.  Bringing all three series together, and assuming a capital share of .3, we have TFP growing at 2.27 percent per year between 1929 and 1941, and 3.26 percent per year between 1941 and 1948 (table 2).    </w:t>
      </w:r>
    </w:p>
    <w:p w14:paraId="2BD491FD" w14:textId="77777777" w:rsidR="00F22F33" w:rsidRDefault="00F22F33" w:rsidP="00F22F33">
      <w:pPr>
        <w:shd w:val="clear" w:color="auto" w:fill="FFFFFF"/>
        <w:spacing w:line="480" w:lineRule="auto"/>
        <w:rPr>
          <w:rFonts w:eastAsia="Times New Roman" w:cs="Times New Roman"/>
          <w:color w:val="222222"/>
          <w:szCs w:val="24"/>
        </w:rPr>
      </w:pPr>
      <w:r>
        <w:rPr>
          <w:rFonts w:eastAsia="Times New Roman" w:cs="Times New Roman"/>
          <w:color w:val="222222"/>
          <w:szCs w:val="24"/>
        </w:rPr>
        <w:t xml:space="preserve">         Because of its relatively large size and robust rate of TFP advance, the sector contributed .71 percentage points to PNE TFP growth between 1941 and 1948 – the largest contribution of any sector.  In contrast to manufacturing, labor input in trade declined through 1942 and 1943 before beginning to recover, although FTE levels in both subsectors were still lower in 1945 than they had been in 1941. And in contrast to manufacturing, capital input declined. The fact that productivity growth between 1941 and 1948 was much higher in trade than in manufacturing suggests that sectoral productivity advance across the war years may have had more to do with learning by doing without than with learning by doing.</w:t>
      </w:r>
    </w:p>
    <w:p w14:paraId="14F15EB2" w14:textId="7D594E62" w:rsidR="00F22F33" w:rsidRDefault="0031341F" w:rsidP="00F22F33">
      <w:pPr>
        <w:shd w:val="clear" w:color="auto" w:fill="FFFFFF"/>
        <w:spacing w:line="480" w:lineRule="auto"/>
        <w:rPr>
          <w:rFonts w:eastAsia="Times New Roman" w:cs="Times New Roman"/>
          <w:color w:val="222222"/>
          <w:szCs w:val="24"/>
        </w:rPr>
      </w:pPr>
      <w:r>
        <w:rPr>
          <w:rFonts w:eastAsia="Times New Roman" w:cs="Times New Roman"/>
          <w:color w:val="222222"/>
          <w:szCs w:val="24"/>
        </w:rPr>
        <w:t xml:space="preserve">          </w:t>
      </w:r>
      <w:r w:rsidR="00F22F33">
        <w:rPr>
          <w:rFonts w:eastAsia="Times New Roman" w:cs="Times New Roman"/>
          <w:color w:val="222222"/>
          <w:szCs w:val="24"/>
        </w:rPr>
        <w:t xml:space="preserve">For railroads (table 3), a sector which, in contrast with 1917-18, </w:t>
      </w:r>
      <w:r>
        <w:rPr>
          <w:rFonts w:eastAsia="Times New Roman" w:cs="Times New Roman"/>
          <w:color w:val="222222"/>
          <w:szCs w:val="24"/>
        </w:rPr>
        <w:t xml:space="preserve">performed </w:t>
      </w:r>
      <w:r w:rsidR="00F22F33">
        <w:rPr>
          <w:rFonts w:eastAsia="Times New Roman" w:cs="Times New Roman"/>
          <w:color w:val="222222"/>
          <w:szCs w:val="24"/>
        </w:rPr>
        <w:t xml:space="preserve">well during the war, productivity growth remained about as high between 1941 and 1948 (or 1950) as it was during the 1929-41 period.  The huge loads carried during the war represented a swan song for American railroads, at least with respect to passenger traffic, which began dwindling in the </w:t>
      </w:r>
      <w:r w:rsidR="00F22F33">
        <w:rPr>
          <w:rFonts w:eastAsia="Times New Roman" w:cs="Times New Roman"/>
          <w:color w:val="222222"/>
          <w:szCs w:val="24"/>
        </w:rPr>
        <w:lastRenderedPageBreak/>
        <w:t>1950s until all that remained were a few subsidized routes run by Amtrak.  But productivity growth in freight transportation after the war remained respectable (Field, 2011, pp. 112-115).  Faced with exceptionally strong demand and tight labor availabilities, the sector was able to extend the trajectory of advance displayed between 1929 and 1941 (2.56 percent per year between 1941 and 1948 vs 2.94 percent in the earlier period).  The Depression years had seen a shift toward diesel electric motors and progress toward unlimited freight interchange, and systematic rationalization in which hours, locomotives, and rolling stock all declined by a quarter or a third, while output changed hardly at all.  Here the data is drawn from Kendrick; in contrast to the two previous sectors, Kendrick has annual data in levels throughout the relevant time intervals.  The sector contributed .11 percentage points per year to PNE TFP advance.</w:t>
      </w:r>
    </w:p>
    <w:p w14:paraId="0ACA9D99" w14:textId="77777777" w:rsidR="00F22F33" w:rsidRDefault="00F22F33" w:rsidP="00F22F33">
      <w:pPr>
        <w:shd w:val="clear" w:color="auto" w:fill="FFFFFF"/>
        <w:spacing w:line="480" w:lineRule="auto"/>
        <w:rPr>
          <w:rFonts w:eastAsia="Times New Roman" w:cs="Times New Roman"/>
          <w:color w:val="222222"/>
          <w:szCs w:val="24"/>
        </w:rPr>
      </w:pPr>
      <w:r>
        <w:rPr>
          <w:rFonts w:eastAsia="Times New Roman" w:cs="Times New Roman"/>
          <w:color w:val="222222"/>
          <w:szCs w:val="24"/>
        </w:rPr>
        <w:t xml:space="preserve">          Trucking and warehousing (table 4) takes output and employment from Kendrick, and capital from BEA FAT table 2.2, line 19: trucks, busses, and light trailers.  Data limitations in Kendrick require measuring to and from 1942 rather than 1941, and the use of employment numbers rather than hours for labor input.  They show TFP growth retreating from the torrid advance between 1929 and 1941 of 12.61 percent per year to a still very strong 3.36 percent per year between 1942 and 1948.  The sector contributed .04 percentage points per year to PNE TFP growth between 1941 and 1948.</w:t>
      </w:r>
    </w:p>
    <w:p w14:paraId="1A0C9C46" w14:textId="77777777" w:rsidR="00F22F33" w:rsidRDefault="00F22F33" w:rsidP="00F22F33">
      <w:pPr>
        <w:shd w:val="clear" w:color="auto" w:fill="FFFFFF"/>
        <w:spacing w:line="480" w:lineRule="auto"/>
        <w:rPr>
          <w:rFonts w:eastAsia="Times New Roman" w:cs="Times New Roman"/>
          <w:color w:val="222222"/>
          <w:szCs w:val="24"/>
        </w:rPr>
      </w:pPr>
      <w:r>
        <w:rPr>
          <w:rFonts w:eastAsia="Times New Roman" w:cs="Times New Roman"/>
          <w:color w:val="222222"/>
          <w:szCs w:val="24"/>
        </w:rPr>
        <w:t xml:space="preserve">          The analyses of the electric and gas industries (table 5) are also based on Kendrick.  Both sectors had experienced strong growth in TFP between 1929 and 1941, and growth continued at a slightly higher rate between 1941 and 1948: 5.87 percent for electric, and 5.45 percent for gas.  In the absence of a better way to do this, these growth rates are weighted by data on the number of employed persons in the respective subsectors in 1929 (Kendrick, 1961, table H-X).  Even though the sector is roughly half the size of railroads, the high rate of TFP advance means that </w:t>
      </w:r>
      <w:r>
        <w:rPr>
          <w:rFonts w:eastAsia="Times New Roman" w:cs="Times New Roman"/>
          <w:color w:val="222222"/>
          <w:szCs w:val="24"/>
        </w:rPr>
        <w:lastRenderedPageBreak/>
        <w:t>utilities contributed .13 percentage points to PNE TFP growth, as compared with railroads’ .11 percentage points.</w:t>
      </w:r>
    </w:p>
    <w:p w14:paraId="70D3EAEA" w14:textId="77777777" w:rsidR="00F22F33" w:rsidRDefault="00F22F33" w:rsidP="00F22F33">
      <w:pPr>
        <w:shd w:val="clear" w:color="auto" w:fill="FFFFFF"/>
        <w:spacing w:line="480" w:lineRule="auto"/>
        <w:rPr>
          <w:rFonts w:eastAsia="Times New Roman" w:cs="Times New Roman"/>
          <w:color w:val="222222"/>
          <w:szCs w:val="24"/>
        </w:rPr>
      </w:pPr>
      <w:r>
        <w:rPr>
          <w:rFonts w:eastAsia="Times New Roman" w:cs="Times New Roman"/>
          <w:color w:val="222222"/>
          <w:szCs w:val="24"/>
        </w:rPr>
        <w:t xml:space="preserve">           Mining is covered in table 6, with output and hours from Kendrick, and capital from the BEA’s Fixed Asset Table 2.2.  TFP growth fell to .64 percent per year between 1941 and 1948 as compared with 2.09 percent per year between 1929-41.  Because of its relatively small share and modest TFP advance, the sector’s contribution to PNE TFP growth is a negligible .02 percentage point.</w:t>
      </w:r>
    </w:p>
    <w:p w14:paraId="0CE809C6" w14:textId="77777777" w:rsidR="00F22F33" w:rsidRDefault="00F22F33" w:rsidP="00F22F33">
      <w:pPr>
        <w:shd w:val="clear" w:color="auto" w:fill="FFFFFF"/>
        <w:spacing w:line="480" w:lineRule="auto"/>
        <w:rPr>
          <w:rFonts w:eastAsia="Times New Roman" w:cs="Times New Roman"/>
          <w:color w:val="222222"/>
          <w:szCs w:val="24"/>
        </w:rPr>
      </w:pPr>
      <w:r>
        <w:rPr>
          <w:rFonts w:eastAsia="Times New Roman" w:cs="Times New Roman"/>
          <w:color w:val="222222"/>
          <w:szCs w:val="24"/>
        </w:rPr>
        <w:t xml:space="preserve">          Finally, construction (table 7). The Depression years had been a dismal period for construction, with TFP declining at .91 percent per year.  Measuring between 1941 and 1948 the situation got worse, with TFP falling at 2.71 percent per year, contributing -.15 percentage points to the overall PNE TFP growth rate. </w:t>
      </w:r>
    </w:p>
    <w:p w14:paraId="3CCBA0A9" w14:textId="77777777" w:rsidR="00F22F33" w:rsidRDefault="00F22F33" w:rsidP="00F22F33">
      <w:pPr>
        <w:shd w:val="clear" w:color="auto" w:fill="FFFFFF"/>
        <w:spacing w:line="480" w:lineRule="auto"/>
        <w:rPr>
          <w:rFonts w:eastAsia="Times New Roman" w:cs="Times New Roman"/>
          <w:color w:val="222222"/>
          <w:szCs w:val="24"/>
        </w:rPr>
      </w:pPr>
      <w:r>
        <w:rPr>
          <w:rFonts w:eastAsia="Times New Roman" w:cs="Times New Roman"/>
          <w:color w:val="222222"/>
          <w:szCs w:val="24"/>
        </w:rPr>
        <w:t xml:space="preserve">           The remainder of the private nonfarm economy (sectors not covered in tables 1-7) is split between finance, insurance and real estate (10.1 percent), transportation services other than railroads and trucking (1.9 percent) and other services not elsewhere classified (10.7 percent), for a total of roughly 23 percent of the PNE.  Based on Kendrick’s data, PNE TFP growth between 1941 and 1948 was 1.29 percent per year.</w:t>
      </w:r>
      <w:r>
        <w:rPr>
          <w:rStyle w:val="FootnoteReference"/>
          <w:rFonts w:eastAsia="Times New Roman" w:cs="Times New Roman"/>
          <w:color w:val="222222"/>
          <w:szCs w:val="24"/>
        </w:rPr>
        <w:footnoteReference w:id="25"/>
      </w:r>
      <w:r>
        <w:rPr>
          <w:rFonts w:eastAsia="Times New Roman" w:cs="Times New Roman"/>
          <w:color w:val="222222"/>
          <w:szCs w:val="24"/>
        </w:rPr>
        <w:t xml:space="preserve">  The sectors discussed in tables 1-7 contribute on net .69 percentage points, implying .60 percent points in the residual sector, which in turn implies a 2.65 percent annual TFP growth in the residual services category (see table 8).</w:t>
      </w:r>
    </w:p>
    <w:p w14:paraId="075A5F1C" w14:textId="76F772B5" w:rsidR="00EC3DE9" w:rsidRDefault="00F22F33" w:rsidP="00F22F33">
      <w:pPr>
        <w:shd w:val="clear" w:color="auto" w:fill="FFFFFF"/>
        <w:spacing w:line="480" w:lineRule="auto"/>
        <w:rPr>
          <w:rFonts w:eastAsia="Times New Roman" w:cs="Times New Roman"/>
          <w:color w:val="222222"/>
          <w:szCs w:val="24"/>
        </w:rPr>
      </w:pPr>
      <w:r>
        <w:rPr>
          <w:rFonts w:eastAsia="Times New Roman" w:cs="Times New Roman"/>
          <w:color w:val="222222"/>
          <w:szCs w:val="24"/>
        </w:rPr>
        <w:t xml:space="preserve">            Between 1941 and 1948 the biggest percentage point contributors to PNE TFP growth were wholesale and retail trade, followed by the residual service category, electric and gas </w:t>
      </w:r>
      <w:r>
        <w:rPr>
          <w:rFonts w:eastAsia="Times New Roman" w:cs="Times New Roman"/>
          <w:color w:val="222222"/>
          <w:szCs w:val="24"/>
        </w:rPr>
        <w:lastRenderedPageBreak/>
        <w:t>utilities, and railroads, with much smaller contributions from trucking, telephone and telegraph, and mining.  TFP growth was negative in manufacturing, and strongly negative in construction.    A cocktail of very strong demand, tight labor availabilities, and capital growth that was crowded out seems to have been a more powerful stimulus to TFP growth over the course of mobilization and demobilization than the disruptive and temporary imposition of a new product mix combined with massive government infusions of equipment and structures and priority access to</w:t>
      </w:r>
      <w:r w:rsidR="00A16F0E">
        <w:rPr>
          <w:rFonts w:eastAsia="Times New Roman" w:cs="Times New Roman"/>
          <w:color w:val="222222"/>
          <w:szCs w:val="24"/>
        </w:rPr>
        <w:t xml:space="preserve"> and allocations of </w:t>
      </w:r>
      <w:r>
        <w:rPr>
          <w:rFonts w:eastAsia="Times New Roman" w:cs="Times New Roman"/>
          <w:color w:val="222222"/>
          <w:szCs w:val="24"/>
        </w:rPr>
        <w:t xml:space="preserve"> materials and labor</w:t>
      </w:r>
      <w:r w:rsidRPr="001B3081">
        <w:rPr>
          <w:rFonts w:eastAsia="Times New Roman" w:cs="Times New Roman"/>
          <w:color w:val="222222"/>
          <w:szCs w:val="24"/>
        </w:rPr>
        <w:t xml:space="preserve"> </w:t>
      </w:r>
      <w:r>
        <w:rPr>
          <w:rFonts w:eastAsia="Times New Roman" w:cs="Times New Roman"/>
          <w:color w:val="222222"/>
          <w:szCs w:val="24"/>
        </w:rPr>
        <w:t xml:space="preserve">within wartime manufacturing. </w:t>
      </w:r>
    </w:p>
    <w:p w14:paraId="6ADF41EB" w14:textId="6822191B" w:rsidR="00956884" w:rsidRDefault="00EC3DE9" w:rsidP="00F22F33">
      <w:pPr>
        <w:shd w:val="clear" w:color="auto" w:fill="FFFFFF"/>
        <w:spacing w:line="480" w:lineRule="auto"/>
        <w:rPr>
          <w:rFonts w:eastAsia="Times New Roman" w:cs="Times New Roman"/>
          <w:color w:val="222222"/>
          <w:szCs w:val="24"/>
        </w:rPr>
      </w:pPr>
      <w:r>
        <w:rPr>
          <w:rFonts w:eastAsia="Times New Roman" w:cs="Times New Roman"/>
          <w:color w:val="222222"/>
          <w:szCs w:val="24"/>
        </w:rPr>
        <w:t xml:space="preserve">       As described in the text, table 9 summarizes TFP growth in manufacturing for different periods from 1919 through 2015</w:t>
      </w:r>
      <w:r w:rsidR="004318CD">
        <w:rPr>
          <w:rFonts w:eastAsia="Times New Roman" w:cs="Times New Roman"/>
          <w:color w:val="222222"/>
          <w:szCs w:val="24"/>
        </w:rPr>
        <w:t>, documenting the generally downward trend over the past century.</w:t>
      </w:r>
      <w:r w:rsidR="00F22F33">
        <w:rPr>
          <w:rFonts w:eastAsia="Times New Roman" w:cs="Times New Roman"/>
          <w:color w:val="222222"/>
          <w:szCs w:val="24"/>
        </w:rPr>
        <w:t xml:space="preserve"> </w:t>
      </w:r>
    </w:p>
    <w:p w14:paraId="62F7732D" w14:textId="77777777" w:rsidR="00956884" w:rsidRDefault="00956884">
      <w:pPr>
        <w:rPr>
          <w:rFonts w:eastAsia="Times New Roman" w:cs="Times New Roman"/>
          <w:color w:val="222222"/>
          <w:szCs w:val="24"/>
        </w:rPr>
      </w:pPr>
      <w:r>
        <w:rPr>
          <w:rFonts w:eastAsia="Times New Roman" w:cs="Times New Roman"/>
          <w:color w:val="222222"/>
          <w:szCs w:val="24"/>
        </w:rPr>
        <w:br w:type="page"/>
      </w:r>
    </w:p>
    <w:p w14:paraId="792A384F" w14:textId="77777777" w:rsidR="00DE1A00" w:rsidRPr="000F79DD" w:rsidRDefault="00DE1A00" w:rsidP="00DE1A00">
      <w:pPr>
        <w:shd w:val="clear" w:color="auto" w:fill="FFFFFF"/>
        <w:spacing w:line="480" w:lineRule="auto"/>
        <w:ind w:firstLine="576"/>
        <w:jc w:val="center"/>
        <w:rPr>
          <w:rFonts w:eastAsia="Times New Roman" w:cs="Times New Roman"/>
          <w:color w:val="222222"/>
          <w:szCs w:val="24"/>
        </w:rPr>
      </w:pPr>
      <w:r w:rsidRPr="000F79DD">
        <w:rPr>
          <w:rFonts w:eastAsia="Times New Roman" w:cs="Times New Roman"/>
          <w:color w:val="222222"/>
          <w:szCs w:val="24"/>
        </w:rPr>
        <w:lastRenderedPageBreak/>
        <w:t>REFERENCES</w:t>
      </w:r>
    </w:p>
    <w:p w14:paraId="63BF2250" w14:textId="77777777" w:rsidR="00DE1A00" w:rsidRPr="000F79DD" w:rsidRDefault="00DE1A00" w:rsidP="00DE1A00">
      <w:pPr>
        <w:shd w:val="clear" w:color="auto" w:fill="FFFFFF"/>
        <w:spacing w:line="480" w:lineRule="auto"/>
        <w:ind w:firstLine="576"/>
        <w:jc w:val="center"/>
        <w:rPr>
          <w:rFonts w:eastAsia="Times New Roman" w:cs="Times New Roman"/>
          <w:color w:val="222222"/>
          <w:szCs w:val="24"/>
        </w:rPr>
      </w:pPr>
    </w:p>
    <w:p w14:paraId="36943B64" w14:textId="77777777" w:rsidR="00DE1A00" w:rsidRDefault="00DE1A00" w:rsidP="00DE1A00">
      <w:pPr>
        <w:shd w:val="clear" w:color="auto" w:fill="FFFFFF"/>
        <w:spacing w:line="480" w:lineRule="auto"/>
        <w:ind w:left="576" w:hanging="576"/>
        <w:rPr>
          <w:rFonts w:eastAsia="Times New Roman" w:cs="Times New Roman"/>
          <w:color w:val="222222"/>
          <w:szCs w:val="24"/>
        </w:rPr>
      </w:pPr>
      <w:r>
        <w:rPr>
          <w:rFonts w:eastAsia="Times New Roman" w:cs="Times New Roman"/>
          <w:color w:val="222222"/>
          <w:szCs w:val="24"/>
        </w:rPr>
        <w:t>Abramovitz, Moses and Paul A.  David. 2000. “American Macroeconomic Growth in the Era of Knowledge Based Progress: The Long Run Perspective,” in Engerman and Gallman (2000), pp. 1-92.</w:t>
      </w:r>
    </w:p>
    <w:p w14:paraId="6FB74D7B" w14:textId="77777777" w:rsidR="00DE1A00" w:rsidRDefault="00DE1A00" w:rsidP="00DE1A00">
      <w:pPr>
        <w:shd w:val="clear" w:color="auto" w:fill="FFFFFF"/>
        <w:spacing w:line="480" w:lineRule="auto"/>
        <w:ind w:left="576" w:hanging="576"/>
        <w:rPr>
          <w:rFonts w:eastAsia="Times New Roman" w:cs="Times New Roman"/>
          <w:color w:val="222222"/>
          <w:szCs w:val="24"/>
        </w:rPr>
      </w:pPr>
      <w:r>
        <w:rPr>
          <w:rFonts w:eastAsia="Times New Roman" w:cs="Times New Roman"/>
          <w:color w:val="222222"/>
          <w:szCs w:val="24"/>
        </w:rPr>
        <w:t xml:space="preserve">Alchian, Armen. 1963. “Reliability of Progress Curves in Airframe Production.” </w:t>
      </w:r>
      <w:r w:rsidRPr="00EF6F91">
        <w:rPr>
          <w:rFonts w:eastAsia="Times New Roman" w:cs="Times New Roman"/>
          <w:color w:val="222222"/>
          <w:szCs w:val="24"/>
          <w:u w:val="single"/>
        </w:rPr>
        <w:t>Econometrica</w:t>
      </w:r>
      <w:r>
        <w:rPr>
          <w:rFonts w:eastAsia="Times New Roman" w:cs="Times New Roman"/>
          <w:color w:val="222222"/>
          <w:szCs w:val="24"/>
        </w:rPr>
        <w:t xml:space="preserve">  30 (October): </w:t>
      </w:r>
    </w:p>
    <w:p w14:paraId="3E9719F8" w14:textId="37A90024" w:rsidR="00005F05" w:rsidRDefault="00DE1A00" w:rsidP="00005F05">
      <w:pPr>
        <w:shd w:val="clear" w:color="auto" w:fill="FFFFFF"/>
        <w:spacing w:line="480" w:lineRule="auto"/>
        <w:ind w:left="576" w:hanging="576"/>
        <w:rPr>
          <w:rFonts w:eastAsia="Times New Roman" w:cs="Times New Roman"/>
          <w:color w:val="222222"/>
          <w:szCs w:val="24"/>
        </w:rPr>
      </w:pPr>
      <w:r>
        <w:rPr>
          <w:rFonts w:eastAsia="Times New Roman" w:cs="Times New Roman"/>
          <w:color w:val="222222"/>
          <w:szCs w:val="24"/>
        </w:rPr>
        <w:t>Arrow, Kenneth. 1962. “</w:t>
      </w:r>
      <w:r w:rsidRPr="00EF6F91">
        <w:rPr>
          <w:rFonts w:eastAsia="Times New Roman" w:cs="Times New Roman"/>
          <w:color w:val="222222"/>
          <w:szCs w:val="24"/>
        </w:rPr>
        <w:t>The Economic Implications of Learning by Doing</w:t>
      </w:r>
      <w:r>
        <w:rPr>
          <w:rFonts w:eastAsia="Times New Roman" w:cs="Times New Roman"/>
          <w:color w:val="222222"/>
          <w:szCs w:val="24"/>
        </w:rPr>
        <w:t xml:space="preserve">.” </w:t>
      </w:r>
      <w:r w:rsidR="008A32A7">
        <w:rPr>
          <w:rFonts w:eastAsia="Times New Roman" w:cs="Times New Roman"/>
          <w:color w:val="222222"/>
          <w:szCs w:val="24"/>
          <w:u w:val="single"/>
        </w:rPr>
        <w:t>Review</w:t>
      </w:r>
      <w:r>
        <w:rPr>
          <w:rFonts w:eastAsia="Times New Roman" w:cs="Times New Roman"/>
          <w:color w:val="222222"/>
          <w:szCs w:val="24"/>
          <w:u w:val="single"/>
        </w:rPr>
        <w:t xml:space="preserve"> of Economic Studies</w:t>
      </w:r>
      <w:r>
        <w:rPr>
          <w:rFonts w:eastAsia="Times New Roman" w:cs="Times New Roman"/>
          <w:color w:val="222222"/>
          <w:szCs w:val="24"/>
        </w:rPr>
        <w:t xml:space="preserve"> 29 (June): 155-173.</w:t>
      </w:r>
    </w:p>
    <w:p w14:paraId="02F08FF9" w14:textId="435152EE" w:rsidR="00317A22" w:rsidRPr="00317A22" w:rsidRDefault="00317A22" w:rsidP="00005F05">
      <w:pPr>
        <w:shd w:val="clear" w:color="auto" w:fill="FFFFFF"/>
        <w:spacing w:line="480" w:lineRule="auto"/>
        <w:ind w:left="576" w:hanging="576"/>
        <w:rPr>
          <w:rFonts w:cs="Times New Roman"/>
          <w:color w:val="222222"/>
          <w:szCs w:val="24"/>
          <w:shd w:val="clear" w:color="auto" w:fill="FFFFFF"/>
        </w:rPr>
      </w:pPr>
      <w:r w:rsidRPr="00317A22">
        <w:rPr>
          <w:rFonts w:cs="Times New Roman"/>
          <w:color w:val="222222"/>
          <w:szCs w:val="24"/>
          <w:shd w:val="clear" w:color="auto" w:fill="FFFFFF"/>
        </w:rPr>
        <w:t>Baumol, W</w:t>
      </w:r>
      <w:r>
        <w:rPr>
          <w:rFonts w:cs="Times New Roman"/>
          <w:color w:val="222222"/>
          <w:szCs w:val="24"/>
          <w:shd w:val="clear" w:color="auto" w:fill="FFFFFF"/>
        </w:rPr>
        <w:t>illiam J.</w:t>
      </w:r>
      <w:r w:rsidRPr="00317A22">
        <w:rPr>
          <w:rFonts w:cs="Times New Roman"/>
          <w:color w:val="222222"/>
          <w:szCs w:val="24"/>
          <w:shd w:val="clear" w:color="auto" w:fill="FFFFFF"/>
        </w:rPr>
        <w:t xml:space="preserve"> 1986. </w:t>
      </w:r>
      <w:r>
        <w:rPr>
          <w:rFonts w:cs="Times New Roman"/>
          <w:color w:val="222222"/>
          <w:szCs w:val="24"/>
          <w:shd w:val="clear" w:color="auto" w:fill="FFFFFF"/>
        </w:rPr>
        <w:t>“</w:t>
      </w:r>
      <w:r w:rsidRPr="00317A22">
        <w:rPr>
          <w:rFonts w:cs="Times New Roman"/>
          <w:color w:val="222222"/>
          <w:szCs w:val="24"/>
          <w:shd w:val="clear" w:color="auto" w:fill="FFFFFF"/>
        </w:rPr>
        <w:t>Prod</w:t>
      </w:r>
      <w:r>
        <w:rPr>
          <w:rFonts w:cs="Times New Roman"/>
          <w:color w:val="222222"/>
          <w:szCs w:val="24"/>
          <w:shd w:val="clear" w:color="auto" w:fill="FFFFFF"/>
        </w:rPr>
        <w:t>uctivity Growth, Convergence, and Welfare: What the Long-run Data S</w:t>
      </w:r>
      <w:r w:rsidRPr="00317A22">
        <w:rPr>
          <w:rFonts w:cs="Times New Roman"/>
          <w:color w:val="222222"/>
          <w:szCs w:val="24"/>
          <w:shd w:val="clear" w:color="auto" w:fill="FFFFFF"/>
        </w:rPr>
        <w:t>how.</w:t>
      </w:r>
      <w:r>
        <w:rPr>
          <w:rFonts w:cs="Times New Roman"/>
          <w:color w:val="222222"/>
          <w:szCs w:val="24"/>
          <w:shd w:val="clear" w:color="auto" w:fill="FFFFFF"/>
        </w:rPr>
        <w:t>”</w:t>
      </w:r>
      <w:r w:rsidRPr="00317A22">
        <w:rPr>
          <w:rStyle w:val="apple-converted-space"/>
          <w:rFonts w:cs="Times New Roman"/>
          <w:color w:val="222222"/>
          <w:szCs w:val="24"/>
          <w:shd w:val="clear" w:color="auto" w:fill="FFFFFF"/>
        </w:rPr>
        <w:t> </w:t>
      </w:r>
      <w:r w:rsidRPr="00317A22">
        <w:rPr>
          <w:rFonts w:cs="Times New Roman"/>
          <w:iCs/>
          <w:color w:val="222222"/>
          <w:szCs w:val="24"/>
          <w:u w:val="single"/>
          <w:shd w:val="clear" w:color="auto" w:fill="FFFFFF"/>
        </w:rPr>
        <w:t>American Economic Review</w:t>
      </w:r>
      <w:r w:rsidRPr="00317A22">
        <w:rPr>
          <w:rFonts w:cs="Times New Roman"/>
          <w:color w:val="222222"/>
          <w:szCs w:val="24"/>
          <w:shd w:val="clear" w:color="auto" w:fill="FFFFFF"/>
        </w:rPr>
        <w:t xml:space="preserve"> 76 (December):</w:t>
      </w:r>
      <w:r>
        <w:rPr>
          <w:rFonts w:cs="Times New Roman"/>
          <w:color w:val="222222"/>
          <w:szCs w:val="24"/>
          <w:shd w:val="clear" w:color="auto" w:fill="FFFFFF"/>
        </w:rPr>
        <w:t xml:space="preserve"> </w:t>
      </w:r>
      <w:r w:rsidRPr="00317A22">
        <w:rPr>
          <w:rFonts w:cs="Times New Roman"/>
          <w:color w:val="222222"/>
          <w:szCs w:val="24"/>
          <w:shd w:val="clear" w:color="auto" w:fill="FFFFFF"/>
        </w:rPr>
        <w:t>1072-1085.</w:t>
      </w:r>
    </w:p>
    <w:p w14:paraId="4010FE8E" w14:textId="79B07E77" w:rsidR="00005F05" w:rsidRPr="00005F05" w:rsidRDefault="001C695A" w:rsidP="00005F05">
      <w:pPr>
        <w:shd w:val="clear" w:color="auto" w:fill="FFFFFF"/>
        <w:spacing w:line="480" w:lineRule="auto"/>
        <w:ind w:left="576" w:hanging="576"/>
        <w:rPr>
          <w:szCs w:val="24"/>
        </w:rPr>
      </w:pPr>
      <w:r w:rsidRPr="000F79DD">
        <w:rPr>
          <w:rFonts w:eastAsia="Times New Roman" w:cs="Times New Roman"/>
          <w:color w:val="222222"/>
          <w:szCs w:val="24"/>
        </w:rPr>
        <w:t>Brynjolfs</w:t>
      </w:r>
      <w:r w:rsidR="00005F05">
        <w:rPr>
          <w:rFonts w:eastAsia="Times New Roman" w:cs="Times New Roman"/>
          <w:color w:val="222222"/>
          <w:szCs w:val="24"/>
        </w:rPr>
        <w:t xml:space="preserve">son, Eric </w:t>
      </w:r>
      <w:r w:rsidRPr="000F79DD">
        <w:rPr>
          <w:rFonts w:eastAsia="Times New Roman" w:cs="Times New Roman"/>
          <w:color w:val="222222"/>
          <w:szCs w:val="24"/>
        </w:rPr>
        <w:t>and Andrew McAfee</w:t>
      </w:r>
      <w:r w:rsidR="00005F05">
        <w:rPr>
          <w:rFonts w:eastAsia="Times New Roman" w:cs="Times New Roman"/>
          <w:color w:val="222222"/>
          <w:szCs w:val="24"/>
        </w:rPr>
        <w:t xml:space="preserve">.  2013. “The Key to Growth?  Race with the Machines.” TED talk.  Available at </w:t>
      </w:r>
      <w:hyperlink r:id="rId12" w:history="1">
        <w:r w:rsidR="00005F05" w:rsidRPr="00005F05">
          <w:rPr>
            <w:rStyle w:val="Hyperlink"/>
            <w:szCs w:val="24"/>
          </w:rPr>
          <w:t>https://www.ted.com/talks/erik_brynjolfsson_the_key_to_growth_race_em_with_em_the_machines</w:t>
        </w:r>
      </w:hyperlink>
      <w:r w:rsidR="00005F05" w:rsidRPr="00005F05">
        <w:rPr>
          <w:szCs w:val="24"/>
        </w:rPr>
        <w:t>.</w:t>
      </w:r>
    </w:p>
    <w:p w14:paraId="1D678494" w14:textId="042C556B" w:rsidR="00DE1A00" w:rsidRDefault="00DE1A00" w:rsidP="00005F05">
      <w:pPr>
        <w:shd w:val="clear" w:color="auto" w:fill="FFFFFF"/>
        <w:spacing w:line="480" w:lineRule="auto"/>
        <w:ind w:left="576" w:hanging="576"/>
        <w:rPr>
          <w:rFonts w:eastAsia="Times New Roman" w:cs="Times New Roman"/>
          <w:color w:val="222222"/>
          <w:szCs w:val="24"/>
        </w:rPr>
      </w:pPr>
      <w:r>
        <w:rPr>
          <w:rFonts w:eastAsia="Times New Roman" w:cs="Times New Roman"/>
          <w:color w:val="222222"/>
          <w:szCs w:val="24"/>
        </w:rPr>
        <w:t xml:space="preserve">Carter, Susan B., Scott Gartner, Michael Haines, Alan Olmstead, Richard Sutch and Gavin Wright. 2006.  </w:t>
      </w:r>
      <w:r>
        <w:rPr>
          <w:rFonts w:eastAsia="Times New Roman" w:cs="Times New Roman"/>
          <w:color w:val="222222"/>
          <w:szCs w:val="24"/>
          <w:u w:val="single"/>
        </w:rPr>
        <w:t xml:space="preserve">Historical Statistics of the United States, Millennial </w:t>
      </w:r>
      <w:r w:rsidRPr="00BC5A74">
        <w:rPr>
          <w:rFonts w:eastAsia="Times New Roman" w:cs="Times New Roman"/>
          <w:color w:val="222222"/>
          <w:szCs w:val="24"/>
          <w:u w:val="single"/>
        </w:rPr>
        <w:t>Edition</w:t>
      </w:r>
      <w:r>
        <w:rPr>
          <w:rFonts w:eastAsia="Times New Roman" w:cs="Times New Roman"/>
          <w:color w:val="222222"/>
          <w:szCs w:val="24"/>
        </w:rPr>
        <w:t xml:space="preserve">.  </w:t>
      </w:r>
      <w:r w:rsidRPr="00BC5A74">
        <w:rPr>
          <w:rFonts w:eastAsia="Times New Roman" w:cs="Times New Roman"/>
          <w:color w:val="222222"/>
          <w:szCs w:val="24"/>
        </w:rPr>
        <w:t>Cambridge</w:t>
      </w:r>
      <w:r>
        <w:rPr>
          <w:rFonts w:eastAsia="Times New Roman" w:cs="Times New Roman"/>
          <w:color w:val="222222"/>
          <w:szCs w:val="24"/>
        </w:rPr>
        <w:t>:  Cambridge University Press.</w:t>
      </w:r>
    </w:p>
    <w:p w14:paraId="2755D3D2" w14:textId="77777777" w:rsidR="00DE1A00" w:rsidRDefault="00DE1A00" w:rsidP="00DE1A00">
      <w:pPr>
        <w:shd w:val="clear" w:color="auto" w:fill="FFFFFF"/>
        <w:spacing w:line="480" w:lineRule="auto"/>
        <w:ind w:left="576" w:hanging="576"/>
        <w:rPr>
          <w:rFonts w:eastAsia="Times New Roman" w:cs="Times New Roman"/>
          <w:color w:val="222222"/>
          <w:szCs w:val="24"/>
        </w:rPr>
      </w:pPr>
      <w:r>
        <w:rPr>
          <w:rFonts w:eastAsia="Times New Roman" w:cs="Times New Roman"/>
          <w:color w:val="222222"/>
          <w:szCs w:val="24"/>
        </w:rPr>
        <w:t xml:space="preserve">Cook, James Allan.  1948. </w:t>
      </w:r>
      <w:r>
        <w:rPr>
          <w:rFonts w:eastAsia="Times New Roman" w:cs="Times New Roman"/>
          <w:color w:val="222222"/>
          <w:szCs w:val="24"/>
          <w:u w:val="single"/>
        </w:rPr>
        <w:t xml:space="preserve">The Marketing of Surplus War </w:t>
      </w:r>
      <w:r w:rsidRPr="00512B88">
        <w:rPr>
          <w:rFonts w:eastAsia="Times New Roman" w:cs="Times New Roman"/>
          <w:color w:val="222222"/>
          <w:szCs w:val="24"/>
          <w:u w:val="single"/>
        </w:rPr>
        <w:t>Property</w:t>
      </w:r>
      <w:r>
        <w:rPr>
          <w:rFonts w:eastAsia="Times New Roman" w:cs="Times New Roman"/>
          <w:color w:val="222222"/>
          <w:szCs w:val="24"/>
        </w:rPr>
        <w:t>.  Washington, D.C.  Public Affairs Press.</w:t>
      </w:r>
    </w:p>
    <w:p w14:paraId="22ABDFA8" w14:textId="749F8CCF" w:rsidR="00DE1A00" w:rsidRDefault="00DE1A00" w:rsidP="00DE1A00">
      <w:pPr>
        <w:shd w:val="clear" w:color="auto" w:fill="FFFFFF"/>
        <w:spacing w:line="480" w:lineRule="auto"/>
        <w:ind w:left="576" w:hanging="576"/>
        <w:rPr>
          <w:rFonts w:eastAsia="Times New Roman" w:cs="Times New Roman"/>
          <w:color w:val="222222"/>
          <w:szCs w:val="24"/>
        </w:rPr>
      </w:pPr>
      <w:r>
        <w:rPr>
          <w:rFonts w:eastAsia="Times New Roman" w:cs="Times New Roman"/>
          <w:color w:val="222222"/>
          <w:szCs w:val="24"/>
        </w:rPr>
        <w:lastRenderedPageBreak/>
        <w:t>C</w:t>
      </w:r>
      <w:r w:rsidRPr="00512B88">
        <w:rPr>
          <w:rFonts w:eastAsia="Times New Roman" w:cs="Times New Roman"/>
          <w:color w:val="222222"/>
          <w:szCs w:val="24"/>
        </w:rPr>
        <w:t>reamer</w:t>
      </w:r>
      <w:r>
        <w:rPr>
          <w:rFonts w:eastAsia="Times New Roman" w:cs="Times New Roman"/>
          <w:color w:val="222222"/>
          <w:szCs w:val="24"/>
        </w:rPr>
        <w:t xml:space="preserve">, Daniel, Sergei Dobrovolsky, and Israel Borenstein. 1960. </w:t>
      </w:r>
      <w:r>
        <w:rPr>
          <w:rFonts w:eastAsia="Times New Roman" w:cs="Times New Roman"/>
          <w:color w:val="222222"/>
          <w:szCs w:val="24"/>
          <w:u w:val="single"/>
        </w:rPr>
        <w:t>Capital in Manufacturing and Mining: Its Formation and Financing</w:t>
      </w:r>
      <w:r>
        <w:rPr>
          <w:rFonts w:eastAsia="Times New Roman" w:cs="Times New Roman"/>
          <w:color w:val="222222"/>
          <w:szCs w:val="24"/>
        </w:rPr>
        <w:t>. Princeton:  Princeton University Press.</w:t>
      </w:r>
    </w:p>
    <w:p w14:paraId="209AD303" w14:textId="3E43DF2C" w:rsidR="00A856E8" w:rsidRPr="001E0C33" w:rsidRDefault="00A856E8" w:rsidP="00DE1A00">
      <w:pPr>
        <w:shd w:val="clear" w:color="auto" w:fill="FFFFFF"/>
        <w:spacing w:line="480" w:lineRule="auto"/>
        <w:ind w:left="576" w:hanging="576"/>
        <w:rPr>
          <w:rFonts w:cs="Times New Roman"/>
          <w:color w:val="222222"/>
          <w:szCs w:val="24"/>
          <w:shd w:val="clear" w:color="auto" w:fill="FFFFFF"/>
        </w:rPr>
      </w:pPr>
      <w:r w:rsidRPr="001E0C33">
        <w:rPr>
          <w:rFonts w:cs="Times New Roman"/>
          <w:color w:val="222222"/>
          <w:szCs w:val="24"/>
          <w:shd w:val="clear" w:color="auto" w:fill="FFFFFF"/>
        </w:rPr>
        <w:t>Davies, D., &amp; Stammers, J. 1975. “The Effect of World War II on Industrial Science.”</w:t>
      </w:r>
      <w:r w:rsidRPr="001E0C33">
        <w:rPr>
          <w:rStyle w:val="apple-converted-space"/>
          <w:rFonts w:cs="Times New Roman"/>
          <w:color w:val="222222"/>
          <w:szCs w:val="24"/>
          <w:shd w:val="clear" w:color="auto" w:fill="FFFFFF"/>
        </w:rPr>
        <w:t> </w:t>
      </w:r>
      <w:r w:rsidRPr="001E0C33">
        <w:rPr>
          <w:rFonts w:cs="Times New Roman"/>
          <w:iCs/>
          <w:color w:val="222222"/>
          <w:szCs w:val="24"/>
          <w:u w:val="single"/>
          <w:shd w:val="clear" w:color="auto" w:fill="FFFFFF"/>
        </w:rPr>
        <w:t>Proceedings of the Royal Society of London. Series A, Mathematical and Physical Sciences,</w:t>
      </w:r>
      <w:r w:rsidRPr="001E0C33">
        <w:rPr>
          <w:rStyle w:val="apple-converted-space"/>
          <w:rFonts w:cs="Times New Roman"/>
          <w:color w:val="222222"/>
          <w:szCs w:val="24"/>
          <w:shd w:val="clear" w:color="auto" w:fill="FFFFFF"/>
        </w:rPr>
        <w:t> </w:t>
      </w:r>
      <w:r w:rsidRPr="00764AD5">
        <w:rPr>
          <w:rFonts w:cs="Times New Roman"/>
          <w:iCs/>
          <w:color w:val="222222"/>
          <w:szCs w:val="24"/>
          <w:shd w:val="clear" w:color="auto" w:fill="FFFFFF"/>
        </w:rPr>
        <w:t>342</w:t>
      </w:r>
      <w:r w:rsidR="00764AD5">
        <w:rPr>
          <w:rFonts w:cs="Times New Roman"/>
          <w:color w:val="222222"/>
          <w:szCs w:val="24"/>
          <w:shd w:val="clear" w:color="auto" w:fill="FFFFFF"/>
        </w:rPr>
        <w:t>(</w:t>
      </w:r>
      <w:r w:rsidRPr="001E0C33">
        <w:rPr>
          <w:rFonts w:cs="Times New Roman"/>
          <w:color w:val="222222"/>
          <w:szCs w:val="24"/>
          <w:shd w:val="clear" w:color="auto" w:fill="FFFFFF"/>
        </w:rPr>
        <w:t xml:space="preserve">1631): 505-518. Retrieved from </w:t>
      </w:r>
      <w:hyperlink r:id="rId13" w:history="1">
        <w:r w:rsidRPr="001E0C33">
          <w:rPr>
            <w:rStyle w:val="Hyperlink"/>
            <w:rFonts w:cs="Times New Roman"/>
            <w:szCs w:val="24"/>
            <w:shd w:val="clear" w:color="auto" w:fill="FFFFFF"/>
          </w:rPr>
          <w:t>http://www.jstor.org/stable/78750</w:t>
        </w:r>
      </w:hyperlink>
      <w:r w:rsidRPr="001E0C33">
        <w:rPr>
          <w:rFonts w:cs="Times New Roman"/>
          <w:color w:val="222222"/>
          <w:szCs w:val="24"/>
          <w:shd w:val="clear" w:color="auto" w:fill="FFFFFF"/>
        </w:rPr>
        <w:t>.</w:t>
      </w:r>
    </w:p>
    <w:p w14:paraId="36AFE4A2" w14:textId="314E36D8" w:rsidR="00DE1A00" w:rsidRDefault="00DE1A00" w:rsidP="00DE1A00">
      <w:pPr>
        <w:shd w:val="clear" w:color="auto" w:fill="FFFFFF"/>
        <w:spacing w:line="480" w:lineRule="auto"/>
        <w:ind w:left="576" w:hanging="576"/>
        <w:rPr>
          <w:rFonts w:eastAsia="Times New Roman" w:cs="Times New Roman"/>
          <w:color w:val="222222"/>
          <w:szCs w:val="24"/>
        </w:rPr>
      </w:pPr>
      <w:r>
        <w:rPr>
          <w:rFonts w:eastAsia="Times New Roman" w:cs="Times New Roman"/>
          <w:color w:val="222222"/>
          <w:szCs w:val="24"/>
        </w:rPr>
        <w:t xml:space="preserve">Edelstein, Michael. 2001. “The Size of the U.S. Armed Forces During World War II.”  </w:t>
      </w:r>
      <w:r>
        <w:rPr>
          <w:rFonts w:eastAsia="Times New Roman" w:cs="Times New Roman"/>
          <w:color w:val="222222"/>
          <w:szCs w:val="24"/>
          <w:u w:val="single"/>
        </w:rPr>
        <w:t>Research in Economic History</w:t>
      </w:r>
      <w:r>
        <w:rPr>
          <w:rFonts w:eastAsia="Times New Roman" w:cs="Times New Roman"/>
          <w:color w:val="222222"/>
          <w:szCs w:val="24"/>
        </w:rPr>
        <w:t xml:space="preserve"> 20: 47-97. </w:t>
      </w:r>
    </w:p>
    <w:p w14:paraId="14E2E1F6" w14:textId="77777777" w:rsidR="00DE1A00" w:rsidRDefault="00DE1A00" w:rsidP="00DE1A00">
      <w:pPr>
        <w:shd w:val="clear" w:color="auto" w:fill="FFFFFF"/>
        <w:spacing w:line="480" w:lineRule="auto"/>
        <w:ind w:left="576" w:hanging="576"/>
        <w:rPr>
          <w:rFonts w:eastAsia="Times New Roman" w:cs="Times New Roman"/>
          <w:color w:val="222222"/>
          <w:szCs w:val="24"/>
        </w:rPr>
      </w:pPr>
      <w:r>
        <w:rPr>
          <w:rFonts w:eastAsia="Times New Roman" w:cs="Times New Roman"/>
          <w:color w:val="222222"/>
          <w:szCs w:val="24"/>
        </w:rPr>
        <w:t xml:space="preserve">Engerman, Stanley L. and Robert E. Gallman. 2000.  </w:t>
      </w:r>
      <w:r>
        <w:rPr>
          <w:rFonts w:eastAsia="Times New Roman" w:cs="Times New Roman"/>
          <w:color w:val="222222"/>
          <w:szCs w:val="24"/>
          <w:u w:val="single"/>
        </w:rPr>
        <w:t xml:space="preserve">The Cambridge Economic History of the United States, Volume III, The Twentieth </w:t>
      </w:r>
      <w:r w:rsidRPr="00512B88">
        <w:rPr>
          <w:rFonts w:eastAsia="Times New Roman" w:cs="Times New Roman"/>
          <w:color w:val="222222"/>
          <w:szCs w:val="24"/>
        </w:rPr>
        <w:t>Century</w:t>
      </w:r>
      <w:r>
        <w:rPr>
          <w:rFonts w:eastAsia="Times New Roman" w:cs="Times New Roman"/>
          <w:color w:val="222222"/>
          <w:szCs w:val="24"/>
        </w:rPr>
        <w:t>. Cambridge:  Cambridge University Press.</w:t>
      </w:r>
    </w:p>
    <w:p w14:paraId="5F035C4D" w14:textId="77777777" w:rsidR="00DE1A00" w:rsidRDefault="00DE1A00" w:rsidP="00DE1A00">
      <w:pPr>
        <w:shd w:val="clear" w:color="auto" w:fill="FFFFFF"/>
        <w:spacing w:line="480" w:lineRule="auto"/>
        <w:ind w:left="576" w:hanging="576"/>
        <w:rPr>
          <w:rFonts w:eastAsia="Times New Roman" w:cs="Times New Roman"/>
          <w:color w:val="222222"/>
          <w:szCs w:val="24"/>
        </w:rPr>
      </w:pPr>
      <w:r>
        <w:rPr>
          <w:rFonts w:eastAsia="Times New Roman" w:cs="Times New Roman"/>
          <w:color w:val="222222"/>
          <w:szCs w:val="24"/>
        </w:rPr>
        <w:t xml:space="preserve">Ferguson, Robert G. 2005. “One Thousand Planes a Day: Ford, Grumman, General Motors and the Arsenal of Democracy.”  </w:t>
      </w:r>
      <w:r>
        <w:rPr>
          <w:rFonts w:eastAsia="Times New Roman" w:cs="Times New Roman"/>
          <w:color w:val="222222"/>
          <w:szCs w:val="24"/>
          <w:u w:val="single"/>
        </w:rPr>
        <w:t>History and Technology</w:t>
      </w:r>
      <w:r>
        <w:rPr>
          <w:rFonts w:eastAsia="Times New Roman" w:cs="Times New Roman"/>
          <w:color w:val="222222"/>
          <w:szCs w:val="24"/>
        </w:rPr>
        <w:t xml:space="preserve">  21 (June): 149-175. </w:t>
      </w:r>
    </w:p>
    <w:p w14:paraId="1EF8F02F" w14:textId="77777777" w:rsidR="00DE1A00" w:rsidRDefault="00DE1A00" w:rsidP="00DE1A00">
      <w:pPr>
        <w:tabs>
          <w:tab w:val="left" w:pos="-720"/>
        </w:tabs>
        <w:suppressAutoHyphens/>
        <w:spacing w:line="480" w:lineRule="auto"/>
        <w:ind w:left="576" w:hanging="576"/>
      </w:pPr>
      <w:r>
        <w:t xml:space="preserve">Field, Alexander J.  2003. “The Most Technologically Progressive Decade of the Century,” </w:t>
      </w:r>
      <w:r>
        <w:rPr>
          <w:u w:val="single"/>
        </w:rPr>
        <w:t>American Economic Review</w:t>
      </w:r>
      <w:r>
        <w:t xml:space="preserve"> 93 (September): 1399-1414.</w:t>
      </w:r>
    </w:p>
    <w:p w14:paraId="4F22F85D" w14:textId="77777777" w:rsidR="00DE1A00" w:rsidRPr="00AB6D49" w:rsidRDefault="00DE1A00" w:rsidP="00DE1A00">
      <w:pPr>
        <w:tabs>
          <w:tab w:val="left" w:pos="-720"/>
        </w:tabs>
        <w:suppressAutoHyphens/>
        <w:spacing w:line="480" w:lineRule="auto"/>
        <w:ind w:left="576" w:hanging="576"/>
        <w:rPr>
          <w:iCs/>
        </w:rPr>
      </w:pPr>
      <w:r w:rsidRPr="00C33213">
        <w:t xml:space="preserve">Field, Alexander J. 2010. “The Procyclical Behavior of Total Factor Productivity in the </w:t>
      </w:r>
      <w:smartTag w:uri="urn:schemas-microsoft-com:office:smarttags" w:element="country-region">
        <w:smartTag w:uri="urn:schemas-microsoft-com:office:smarttags" w:element="place">
          <w:r w:rsidRPr="00C33213">
            <w:t>United States</w:t>
          </w:r>
        </w:smartTag>
      </w:smartTag>
      <w:r w:rsidRPr="00C33213">
        <w:t xml:space="preserve">, 1890-2004.” </w:t>
      </w:r>
      <w:r w:rsidRPr="00C33213">
        <w:rPr>
          <w:u w:val="single"/>
        </w:rPr>
        <w:t>Journal of Economic History</w:t>
      </w:r>
      <w:r w:rsidRPr="00C33213">
        <w:t xml:space="preserve"> 70 (June): 326-50. </w:t>
      </w:r>
    </w:p>
    <w:p w14:paraId="0B9EF7F5" w14:textId="785D8EA8" w:rsidR="00DE1A00" w:rsidRPr="000F79DD" w:rsidRDefault="00DE1A00" w:rsidP="00844746">
      <w:pPr>
        <w:pBdr>
          <w:bottom w:val="single" w:sz="4" w:space="1" w:color="auto"/>
        </w:pBdr>
        <w:shd w:val="clear" w:color="auto" w:fill="FFFFFF"/>
        <w:spacing w:line="480" w:lineRule="auto"/>
        <w:ind w:left="576" w:hanging="576"/>
        <w:rPr>
          <w:rFonts w:eastAsia="Times New Roman" w:cs="Times New Roman"/>
          <w:color w:val="222222"/>
          <w:szCs w:val="24"/>
        </w:rPr>
      </w:pPr>
      <w:r>
        <w:rPr>
          <w:rFonts w:eastAsia="Times New Roman" w:cs="Times New Roman"/>
          <w:color w:val="222222"/>
          <w:szCs w:val="24"/>
        </w:rPr>
        <w:t>F</w:t>
      </w:r>
      <w:r w:rsidRPr="00EF6F91">
        <w:rPr>
          <w:rFonts w:eastAsia="Times New Roman" w:cs="Times New Roman"/>
          <w:color w:val="222222"/>
          <w:szCs w:val="24"/>
        </w:rPr>
        <w:t>ield</w:t>
      </w:r>
      <w:r w:rsidRPr="000F79DD">
        <w:rPr>
          <w:rFonts w:eastAsia="Times New Roman" w:cs="Times New Roman"/>
          <w:color w:val="222222"/>
          <w:szCs w:val="24"/>
        </w:rPr>
        <w:t xml:space="preserve">, Alexander J.  2011. </w:t>
      </w:r>
      <w:r w:rsidRPr="000F79DD">
        <w:rPr>
          <w:rFonts w:eastAsia="Times New Roman" w:cs="Times New Roman"/>
          <w:color w:val="222222"/>
          <w:szCs w:val="24"/>
          <w:u w:val="single"/>
        </w:rPr>
        <w:t>A Great Leap Forward:  1930s Depression and U</w:t>
      </w:r>
      <w:r w:rsidR="002D685E">
        <w:rPr>
          <w:rFonts w:eastAsia="Times New Roman" w:cs="Times New Roman"/>
          <w:color w:val="222222"/>
          <w:szCs w:val="24"/>
          <w:u w:val="single"/>
        </w:rPr>
        <w:t>.</w:t>
      </w:r>
      <w:r w:rsidRPr="000F79DD">
        <w:rPr>
          <w:rFonts w:eastAsia="Times New Roman" w:cs="Times New Roman"/>
          <w:color w:val="222222"/>
          <w:szCs w:val="24"/>
          <w:u w:val="single"/>
        </w:rPr>
        <w:t>S</w:t>
      </w:r>
      <w:r w:rsidR="002D685E">
        <w:rPr>
          <w:rFonts w:eastAsia="Times New Roman" w:cs="Times New Roman"/>
          <w:color w:val="222222"/>
          <w:szCs w:val="24"/>
          <w:u w:val="single"/>
        </w:rPr>
        <w:t>,</w:t>
      </w:r>
      <w:r w:rsidRPr="000F79DD">
        <w:rPr>
          <w:rFonts w:eastAsia="Times New Roman" w:cs="Times New Roman"/>
          <w:color w:val="222222"/>
          <w:szCs w:val="24"/>
          <w:u w:val="single"/>
        </w:rPr>
        <w:t xml:space="preserve"> Economic Growth</w:t>
      </w:r>
      <w:r w:rsidRPr="000F79DD">
        <w:rPr>
          <w:rFonts w:eastAsia="Times New Roman" w:cs="Times New Roman"/>
          <w:color w:val="222222"/>
          <w:szCs w:val="24"/>
        </w:rPr>
        <w:t xml:space="preserve">.  </w:t>
      </w:r>
      <w:r w:rsidR="002D685E">
        <w:rPr>
          <w:rFonts w:eastAsia="Times New Roman" w:cs="Times New Roman"/>
          <w:color w:val="222222"/>
          <w:szCs w:val="24"/>
        </w:rPr>
        <w:t>New Haven</w:t>
      </w:r>
      <w:r w:rsidRPr="000F79DD">
        <w:rPr>
          <w:rFonts w:eastAsia="Times New Roman" w:cs="Times New Roman"/>
          <w:color w:val="222222"/>
          <w:szCs w:val="24"/>
        </w:rPr>
        <w:t>:  Yale University Press.</w:t>
      </w:r>
    </w:p>
    <w:p w14:paraId="2504484D" w14:textId="0EF0EEE4" w:rsidR="003D55F3" w:rsidRDefault="003D55F3" w:rsidP="003D55F3">
      <w:pPr>
        <w:pBdr>
          <w:bottom w:val="single" w:sz="4" w:space="1" w:color="auto"/>
        </w:pBdr>
        <w:shd w:val="clear" w:color="auto" w:fill="FFFFFF"/>
        <w:spacing w:line="480" w:lineRule="auto"/>
        <w:ind w:left="576" w:hanging="576"/>
        <w:rPr>
          <w:rFonts w:eastAsia="Times New Roman" w:cs="Times New Roman"/>
          <w:color w:val="222222"/>
          <w:szCs w:val="24"/>
        </w:rPr>
      </w:pPr>
      <w:r>
        <w:rPr>
          <w:rFonts w:eastAsia="Times New Roman" w:cs="Times New Roman"/>
          <w:color w:val="222222"/>
          <w:szCs w:val="24"/>
        </w:rPr>
        <w:t xml:space="preserve">Goldin, Claudia and Frank Lewis. 1975. “The Economic Cost of the American Civil War: Estimates and Implications.” </w:t>
      </w:r>
      <w:r>
        <w:rPr>
          <w:rFonts w:eastAsia="Times New Roman" w:cs="Times New Roman"/>
          <w:color w:val="222222"/>
          <w:szCs w:val="24"/>
          <w:u w:val="single"/>
        </w:rPr>
        <w:t xml:space="preserve">Journal of Economic </w:t>
      </w:r>
      <w:r w:rsidRPr="003D55F3">
        <w:rPr>
          <w:rFonts w:eastAsia="Times New Roman" w:cs="Times New Roman"/>
          <w:color w:val="222222"/>
          <w:szCs w:val="24"/>
        </w:rPr>
        <w:t>History</w:t>
      </w:r>
      <w:r>
        <w:rPr>
          <w:rFonts w:eastAsia="Times New Roman" w:cs="Times New Roman"/>
          <w:color w:val="222222"/>
          <w:szCs w:val="24"/>
        </w:rPr>
        <w:t xml:space="preserve"> 35 (June): 299-326.</w:t>
      </w:r>
    </w:p>
    <w:p w14:paraId="6C9B2241" w14:textId="686FD326" w:rsidR="00DE1A00" w:rsidRDefault="00DE1A00" w:rsidP="003D55F3">
      <w:pPr>
        <w:pBdr>
          <w:bottom w:val="single" w:sz="4" w:space="1" w:color="auto"/>
        </w:pBdr>
        <w:shd w:val="clear" w:color="auto" w:fill="FFFFFF"/>
        <w:spacing w:line="480" w:lineRule="auto"/>
        <w:ind w:left="576" w:hanging="576"/>
        <w:rPr>
          <w:rFonts w:eastAsia="Times New Roman" w:cs="Times New Roman"/>
          <w:color w:val="222222"/>
          <w:szCs w:val="24"/>
        </w:rPr>
      </w:pPr>
      <w:r w:rsidRPr="003D55F3">
        <w:rPr>
          <w:rFonts w:eastAsia="Times New Roman" w:cs="Times New Roman"/>
          <w:color w:val="222222"/>
          <w:szCs w:val="24"/>
        </w:rPr>
        <w:lastRenderedPageBreak/>
        <w:t>Gordon</w:t>
      </w:r>
      <w:r>
        <w:rPr>
          <w:rFonts w:eastAsia="Times New Roman" w:cs="Times New Roman"/>
          <w:color w:val="222222"/>
          <w:szCs w:val="24"/>
        </w:rPr>
        <w:t xml:space="preserve">, Robert J. 1969. “$45 Billion of U.S. Private Investment has been Mislaid.” </w:t>
      </w:r>
      <w:r>
        <w:rPr>
          <w:rFonts w:eastAsia="Times New Roman" w:cs="Times New Roman"/>
          <w:color w:val="222222"/>
          <w:szCs w:val="24"/>
          <w:u w:val="single"/>
        </w:rPr>
        <w:t xml:space="preserve">American Economic </w:t>
      </w:r>
      <w:r w:rsidRPr="006C6628">
        <w:rPr>
          <w:rFonts w:eastAsia="Times New Roman" w:cs="Times New Roman"/>
          <w:color w:val="222222"/>
          <w:szCs w:val="24"/>
          <w:u w:val="single"/>
        </w:rPr>
        <w:t>Review</w:t>
      </w:r>
      <w:r>
        <w:rPr>
          <w:rFonts w:eastAsia="Times New Roman" w:cs="Times New Roman"/>
          <w:color w:val="222222"/>
          <w:szCs w:val="24"/>
        </w:rPr>
        <w:t xml:space="preserve"> 59 (June): 221-38.</w:t>
      </w:r>
    </w:p>
    <w:p w14:paraId="4BFD7834" w14:textId="77777777" w:rsidR="00844746" w:rsidRDefault="00844746" w:rsidP="00844746">
      <w:pPr>
        <w:pBdr>
          <w:bottom w:val="single" w:sz="4" w:space="1" w:color="auto"/>
        </w:pBdr>
        <w:shd w:val="clear" w:color="auto" w:fill="FFFFFF"/>
        <w:spacing w:line="480" w:lineRule="auto"/>
        <w:ind w:left="576" w:hanging="576"/>
        <w:rPr>
          <w:sz w:val="20"/>
          <w:szCs w:val="20"/>
        </w:rPr>
      </w:pPr>
      <w:r>
        <w:rPr>
          <w:rFonts w:eastAsia="Times New Roman" w:cs="Times New Roman"/>
          <w:color w:val="222222"/>
          <w:szCs w:val="24"/>
        </w:rPr>
        <w:t xml:space="preserve">Gordon, Robert J. 2013. “The Death of Innovation, the End of Growth.”  TED talk.  Available at </w:t>
      </w:r>
      <w:hyperlink r:id="rId14" w:history="1">
        <w:r w:rsidRPr="00844746">
          <w:rPr>
            <w:rStyle w:val="Hyperlink"/>
            <w:szCs w:val="24"/>
          </w:rPr>
          <w:t>https://www.ted.com/talks/robert_gordon_the_death_of_innovation_the_end_of_growth</w:t>
        </w:r>
      </w:hyperlink>
      <w:r>
        <w:rPr>
          <w:sz w:val="20"/>
          <w:szCs w:val="20"/>
        </w:rPr>
        <w:t>.</w:t>
      </w:r>
    </w:p>
    <w:p w14:paraId="167E16EB" w14:textId="2FDB5E2E" w:rsidR="00DE1A00" w:rsidRPr="000F79DD" w:rsidRDefault="00DE1A00" w:rsidP="00844746">
      <w:pPr>
        <w:pBdr>
          <w:bottom w:val="single" w:sz="4" w:space="1" w:color="auto"/>
        </w:pBdr>
        <w:shd w:val="clear" w:color="auto" w:fill="FFFFFF"/>
        <w:spacing w:line="480" w:lineRule="auto"/>
        <w:ind w:left="576" w:hanging="576"/>
        <w:rPr>
          <w:rFonts w:eastAsia="Times New Roman" w:cs="Times New Roman"/>
          <w:color w:val="222222"/>
          <w:szCs w:val="24"/>
        </w:rPr>
      </w:pPr>
      <w:r w:rsidRPr="006C6628">
        <w:rPr>
          <w:rFonts w:eastAsia="Times New Roman" w:cs="Times New Roman"/>
          <w:color w:val="222222"/>
          <w:szCs w:val="24"/>
        </w:rPr>
        <w:t>Gordon</w:t>
      </w:r>
      <w:r w:rsidRPr="000F79DD">
        <w:rPr>
          <w:rFonts w:eastAsia="Times New Roman" w:cs="Times New Roman"/>
          <w:color w:val="222222"/>
          <w:szCs w:val="24"/>
        </w:rPr>
        <w:t xml:space="preserve">, Robert J.  2016.  </w:t>
      </w:r>
      <w:r w:rsidRPr="000F79DD">
        <w:rPr>
          <w:rFonts w:eastAsia="Times New Roman" w:cs="Times New Roman"/>
          <w:color w:val="222222"/>
          <w:szCs w:val="24"/>
          <w:u w:val="single"/>
        </w:rPr>
        <w:t>The Rise and Fall of American Growth: the U</w:t>
      </w:r>
      <w:r w:rsidR="00065B16">
        <w:rPr>
          <w:rFonts w:eastAsia="Times New Roman" w:cs="Times New Roman"/>
          <w:color w:val="222222"/>
          <w:szCs w:val="24"/>
          <w:u w:val="single"/>
        </w:rPr>
        <w:t>.</w:t>
      </w:r>
      <w:r w:rsidRPr="000F79DD">
        <w:rPr>
          <w:rFonts w:eastAsia="Times New Roman" w:cs="Times New Roman"/>
          <w:color w:val="222222"/>
          <w:szCs w:val="24"/>
          <w:u w:val="single"/>
        </w:rPr>
        <w:t>S</w:t>
      </w:r>
      <w:r w:rsidR="00065B16">
        <w:rPr>
          <w:rFonts w:eastAsia="Times New Roman" w:cs="Times New Roman"/>
          <w:color w:val="222222"/>
          <w:szCs w:val="24"/>
          <w:u w:val="single"/>
        </w:rPr>
        <w:t>.</w:t>
      </w:r>
      <w:r w:rsidRPr="000F79DD">
        <w:rPr>
          <w:rFonts w:eastAsia="Times New Roman" w:cs="Times New Roman"/>
          <w:color w:val="222222"/>
          <w:szCs w:val="24"/>
          <w:u w:val="single"/>
        </w:rPr>
        <w:t xml:space="preserve"> Standard of Living Since the Civil War</w:t>
      </w:r>
      <w:r w:rsidRPr="000F79DD">
        <w:rPr>
          <w:rFonts w:eastAsia="Times New Roman" w:cs="Times New Roman"/>
          <w:color w:val="222222"/>
          <w:szCs w:val="24"/>
        </w:rPr>
        <w:t>.  Princeton:  Princeton University Press.</w:t>
      </w:r>
    </w:p>
    <w:p w14:paraId="12CEC3A2" w14:textId="603FA562" w:rsidR="00B01853" w:rsidRDefault="00262D41" w:rsidP="00844746">
      <w:pPr>
        <w:pBdr>
          <w:bottom w:val="single" w:sz="4" w:space="1" w:color="auto"/>
        </w:pBdr>
        <w:shd w:val="clear" w:color="auto" w:fill="FFFFFF"/>
        <w:spacing w:line="480" w:lineRule="auto"/>
        <w:ind w:left="576" w:hanging="576"/>
        <w:rPr>
          <w:rFonts w:eastAsia="Times New Roman" w:cs="Times New Roman"/>
          <w:color w:val="222222"/>
          <w:szCs w:val="24"/>
        </w:rPr>
      </w:pPr>
      <w:r>
        <w:rPr>
          <w:rFonts w:eastAsia="Times New Roman" w:cs="Times New Roman"/>
          <w:color w:val="222222"/>
          <w:szCs w:val="24"/>
        </w:rPr>
        <w:t>Hacker, Louis</w:t>
      </w:r>
      <w:r w:rsidR="00194D7D">
        <w:rPr>
          <w:rFonts w:eastAsia="Times New Roman" w:cs="Times New Roman"/>
          <w:color w:val="222222"/>
          <w:szCs w:val="24"/>
        </w:rPr>
        <w:t xml:space="preserve"> M.</w:t>
      </w:r>
      <w:r>
        <w:rPr>
          <w:rFonts w:eastAsia="Times New Roman" w:cs="Times New Roman"/>
          <w:color w:val="222222"/>
          <w:szCs w:val="24"/>
        </w:rPr>
        <w:t>.  194</w:t>
      </w:r>
      <w:r w:rsidR="00194D7D">
        <w:rPr>
          <w:rFonts w:eastAsia="Times New Roman" w:cs="Times New Roman"/>
          <w:color w:val="222222"/>
          <w:szCs w:val="24"/>
        </w:rPr>
        <w:t>0</w:t>
      </w:r>
      <w:r>
        <w:rPr>
          <w:rFonts w:eastAsia="Times New Roman" w:cs="Times New Roman"/>
          <w:color w:val="222222"/>
          <w:szCs w:val="24"/>
        </w:rPr>
        <w:t xml:space="preserve">.  </w:t>
      </w:r>
      <w:r>
        <w:rPr>
          <w:rFonts w:eastAsia="Times New Roman" w:cs="Times New Roman"/>
          <w:color w:val="222222"/>
          <w:szCs w:val="24"/>
          <w:u w:val="single"/>
        </w:rPr>
        <w:t xml:space="preserve">The Triumph of American Capitalism: The Development of Forces in American History to the End of the Nineteenth </w:t>
      </w:r>
      <w:r w:rsidRPr="00262D41">
        <w:rPr>
          <w:rFonts w:eastAsia="Times New Roman" w:cs="Times New Roman"/>
          <w:color w:val="222222"/>
          <w:szCs w:val="24"/>
          <w:u w:val="single"/>
        </w:rPr>
        <w:t>Century</w:t>
      </w:r>
      <w:r>
        <w:rPr>
          <w:rFonts w:eastAsia="Times New Roman" w:cs="Times New Roman"/>
          <w:color w:val="222222"/>
          <w:szCs w:val="24"/>
        </w:rPr>
        <w:t xml:space="preserve">.  </w:t>
      </w:r>
      <w:r w:rsidR="00B01853">
        <w:rPr>
          <w:rFonts w:eastAsia="Times New Roman" w:cs="Times New Roman"/>
          <w:color w:val="222222"/>
          <w:szCs w:val="24"/>
        </w:rPr>
        <w:t>New York:  Columbia University Press.</w:t>
      </w:r>
    </w:p>
    <w:p w14:paraId="7E420039" w14:textId="3FB5D7D5" w:rsidR="00DE1A00" w:rsidRDefault="00DE1A00" w:rsidP="00844746">
      <w:pPr>
        <w:pBdr>
          <w:bottom w:val="single" w:sz="4" w:space="1" w:color="auto"/>
        </w:pBdr>
        <w:shd w:val="clear" w:color="auto" w:fill="FFFFFF"/>
        <w:spacing w:line="480" w:lineRule="auto"/>
        <w:ind w:left="576" w:hanging="576"/>
        <w:rPr>
          <w:rFonts w:eastAsia="Times New Roman" w:cs="Times New Roman"/>
          <w:color w:val="222222"/>
          <w:szCs w:val="24"/>
        </w:rPr>
      </w:pPr>
      <w:r w:rsidRPr="00262D41">
        <w:rPr>
          <w:rFonts w:eastAsia="Times New Roman" w:cs="Times New Roman"/>
          <w:color w:val="222222"/>
          <w:szCs w:val="24"/>
        </w:rPr>
        <w:t>Higgs</w:t>
      </w:r>
      <w:r>
        <w:rPr>
          <w:rFonts w:eastAsia="Times New Roman" w:cs="Times New Roman"/>
          <w:color w:val="222222"/>
          <w:szCs w:val="24"/>
        </w:rPr>
        <w:t xml:space="preserve">, Robert. 2010. “Private Capital Consumption: Another Downside of the Wartime </w:t>
      </w:r>
      <w:r>
        <w:rPr>
          <w:rFonts w:eastAsia="Times New Roman" w:cs="Times New Roman"/>
          <w:color w:val="222222"/>
          <w:szCs w:val="24"/>
        </w:rPr>
        <w:tab/>
        <w:t xml:space="preserve">“Miracle of Production.” , available at </w:t>
      </w:r>
      <w:hyperlink r:id="rId15" w:history="1">
        <w:r w:rsidR="00FA2DCC" w:rsidRPr="007B4322">
          <w:rPr>
            <w:rStyle w:val="Hyperlink"/>
            <w:rFonts w:eastAsia="Times New Roman" w:cs="Times New Roman"/>
            <w:szCs w:val="24"/>
          </w:rPr>
          <w:t>https://fee.org/articles/private-capital-consumption-another-downside-of-the-wartime-miracle-of-production/?utm_medium=popular_widget</w:t>
        </w:r>
      </w:hyperlink>
      <w:r>
        <w:rPr>
          <w:rFonts w:eastAsia="Times New Roman" w:cs="Times New Roman"/>
          <w:color w:val="222222"/>
          <w:szCs w:val="24"/>
        </w:rPr>
        <w:t xml:space="preserve"> </w:t>
      </w:r>
      <w:r w:rsidRPr="006870EC">
        <w:rPr>
          <w:rFonts w:eastAsia="Times New Roman" w:cs="Times New Roman"/>
          <w:color w:val="222222"/>
          <w:szCs w:val="24"/>
        </w:rPr>
        <w:t xml:space="preserve"> </w:t>
      </w:r>
      <w:r>
        <w:rPr>
          <w:rFonts w:eastAsia="Times New Roman" w:cs="Times New Roman"/>
          <w:color w:val="222222"/>
          <w:szCs w:val="24"/>
        </w:rPr>
        <w:t>accessed February 6, 2017.</w:t>
      </w:r>
    </w:p>
    <w:p w14:paraId="3FC396C5" w14:textId="77777777" w:rsidR="00FA2DCC" w:rsidRDefault="00810721" w:rsidP="00844746">
      <w:pPr>
        <w:pBdr>
          <w:bottom w:val="single" w:sz="4" w:space="1" w:color="auto"/>
        </w:pBdr>
        <w:shd w:val="clear" w:color="auto" w:fill="FFFFFF"/>
        <w:spacing w:line="480" w:lineRule="auto"/>
        <w:ind w:left="576" w:hanging="576"/>
        <w:rPr>
          <w:rFonts w:cs="Times New Roman"/>
          <w:color w:val="333333"/>
          <w:szCs w:val="24"/>
          <w:shd w:val="clear" w:color="auto" w:fill="FFFFFF"/>
        </w:rPr>
      </w:pPr>
      <w:r>
        <w:rPr>
          <w:rFonts w:cs="Times New Roman"/>
          <w:color w:val="333333"/>
          <w:szCs w:val="24"/>
          <w:shd w:val="clear" w:color="auto" w:fill="FFFFFF"/>
        </w:rPr>
        <w:t>Koistin</w:t>
      </w:r>
      <w:r w:rsidR="00FA2DCC">
        <w:rPr>
          <w:rFonts w:cs="Times New Roman"/>
          <w:color w:val="333333"/>
          <w:szCs w:val="24"/>
          <w:shd w:val="clear" w:color="auto" w:fill="FFFFFF"/>
        </w:rPr>
        <w:t>en, Paul A. C. 200</w:t>
      </w:r>
      <w:r w:rsidR="00B957E9">
        <w:rPr>
          <w:rFonts w:cs="Times New Roman"/>
          <w:color w:val="333333"/>
          <w:szCs w:val="24"/>
          <w:shd w:val="clear" w:color="auto" w:fill="FFFFFF"/>
        </w:rPr>
        <w:t xml:space="preserve">4. </w:t>
      </w:r>
      <w:r w:rsidR="00FA2DCC">
        <w:rPr>
          <w:rFonts w:cs="Times New Roman"/>
          <w:color w:val="333333"/>
          <w:szCs w:val="24"/>
          <w:u w:val="single"/>
          <w:shd w:val="clear" w:color="auto" w:fill="FFFFFF"/>
        </w:rPr>
        <w:t>Arsenal of World War II:  The Political Economy of American Warfare, 1940-</w:t>
      </w:r>
      <w:r w:rsidR="00FA2DCC" w:rsidRPr="00FA2DCC">
        <w:rPr>
          <w:rFonts w:cs="Times New Roman"/>
          <w:color w:val="333333"/>
          <w:szCs w:val="24"/>
          <w:u w:val="single"/>
          <w:shd w:val="clear" w:color="auto" w:fill="FFFFFF"/>
        </w:rPr>
        <w:t>1945</w:t>
      </w:r>
      <w:r w:rsidR="00FA2DCC">
        <w:rPr>
          <w:rFonts w:cs="Times New Roman"/>
          <w:color w:val="333333"/>
          <w:szCs w:val="24"/>
          <w:shd w:val="clear" w:color="auto" w:fill="FFFFFF"/>
        </w:rPr>
        <w:t>.  Lawrence, KS:  University Press of Kansas.</w:t>
      </w:r>
    </w:p>
    <w:p w14:paraId="51D73419" w14:textId="77777777" w:rsidR="00D81AD2" w:rsidRDefault="00D81AD2" w:rsidP="00844746">
      <w:pPr>
        <w:pBdr>
          <w:bottom w:val="single" w:sz="4" w:space="1" w:color="auto"/>
        </w:pBdr>
        <w:shd w:val="clear" w:color="auto" w:fill="FFFFFF"/>
        <w:spacing w:line="480" w:lineRule="auto"/>
        <w:ind w:left="576" w:hanging="576"/>
        <w:rPr>
          <w:rFonts w:cs="Times New Roman"/>
          <w:color w:val="333333"/>
          <w:szCs w:val="24"/>
          <w:shd w:val="clear" w:color="auto" w:fill="FFFFFF"/>
        </w:rPr>
      </w:pPr>
      <w:r>
        <w:rPr>
          <w:rFonts w:cs="Times New Roman"/>
          <w:color w:val="333333"/>
          <w:szCs w:val="24"/>
          <w:shd w:val="clear" w:color="auto" w:fill="FFFFFF"/>
        </w:rPr>
        <w:t xml:space="preserve">Lindert, Peter H. and Jeffrey G. Williamson. 2016. </w:t>
      </w:r>
      <w:r>
        <w:rPr>
          <w:rFonts w:cs="Times New Roman"/>
          <w:color w:val="333333"/>
          <w:szCs w:val="24"/>
          <w:u w:val="single"/>
          <w:shd w:val="clear" w:color="auto" w:fill="FFFFFF"/>
        </w:rPr>
        <w:t xml:space="preserve">Unequal Gains:  American Growth and Inequality Since </w:t>
      </w:r>
      <w:r w:rsidRPr="00D81AD2">
        <w:rPr>
          <w:rFonts w:cs="Times New Roman"/>
          <w:color w:val="333333"/>
          <w:szCs w:val="24"/>
          <w:u w:val="single"/>
          <w:shd w:val="clear" w:color="auto" w:fill="FFFFFF"/>
        </w:rPr>
        <w:t>1700</w:t>
      </w:r>
      <w:r>
        <w:rPr>
          <w:rFonts w:cs="Times New Roman"/>
          <w:color w:val="333333"/>
          <w:szCs w:val="24"/>
          <w:shd w:val="clear" w:color="auto" w:fill="FFFFFF"/>
        </w:rPr>
        <w:t>.   Princeton:  Princeton University Press.</w:t>
      </w:r>
    </w:p>
    <w:p w14:paraId="72D6B123" w14:textId="2858C617" w:rsidR="00844746" w:rsidRDefault="000260AB" w:rsidP="00844746">
      <w:pPr>
        <w:pBdr>
          <w:bottom w:val="single" w:sz="4" w:space="1" w:color="auto"/>
        </w:pBdr>
        <w:shd w:val="clear" w:color="auto" w:fill="FFFFFF"/>
        <w:spacing w:line="480" w:lineRule="auto"/>
        <w:ind w:left="576" w:hanging="576"/>
        <w:rPr>
          <w:sz w:val="20"/>
          <w:szCs w:val="20"/>
        </w:rPr>
      </w:pPr>
      <w:r w:rsidRPr="00D81AD2">
        <w:rPr>
          <w:rFonts w:cs="Times New Roman"/>
          <w:color w:val="333333"/>
          <w:szCs w:val="24"/>
          <w:shd w:val="clear" w:color="auto" w:fill="FFFFFF"/>
        </w:rPr>
        <w:t>McCloskey</w:t>
      </w:r>
      <w:r>
        <w:rPr>
          <w:rFonts w:cs="Times New Roman"/>
          <w:color w:val="333333"/>
          <w:szCs w:val="24"/>
          <w:shd w:val="clear" w:color="auto" w:fill="FFFFFF"/>
        </w:rPr>
        <w:t>, Deirdre.</w:t>
      </w:r>
      <w:r w:rsidR="00844746">
        <w:rPr>
          <w:rFonts w:cs="Times New Roman"/>
          <w:color w:val="333333"/>
          <w:szCs w:val="24"/>
          <w:shd w:val="clear" w:color="auto" w:fill="FFFFFF"/>
        </w:rPr>
        <w:t xml:space="preserve"> 2016.</w:t>
      </w:r>
      <w:r>
        <w:rPr>
          <w:rFonts w:cs="Times New Roman"/>
          <w:color w:val="333333"/>
          <w:szCs w:val="24"/>
          <w:shd w:val="clear" w:color="auto" w:fill="FFFFFF"/>
        </w:rPr>
        <w:t xml:space="preserve"> </w:t>
      </w:r>
      <w:r w:rsidR="00844746">
        <w:rPr>
          <w:rFonts w:cs="Times New Roman"/>
          <w:color w:val="333333"/>
          <w:szCs w:val="24"/>
          <w:shd w:val="clear" w:color="auto" w:fill="FFFFFF"/>
        </w:rPr>
        <w:t xml:space="preserve">“Relax, Economic Pessimists, the Sky Will Not Fall.”  Available at </w:t>
      </w:r>
      <w:hyperlink r:id="rId16" w:history="1">
        <w:r w:rsidR="00844746" w:rsidRPr="00844746">
          <w:rPr>
            <w:rStyle w:val="Hyperlink"/>
            <w:szCs w:val="24"/>
          </w:rPr>
          <w:t>http://www.prospectmagazine.co.uk/magazine/relax-economic-pessimists-robert-gordon-lawrence-summers-economic-growth-not-over</w:t>
        </w:r>
      </w:hyperlink>
      <w:r w:rsidR="00844746">
        <w:rPr>
          <w:szCs w:val="24"/>
        </w:rPr>
        <w:t>.</w:t>
      </w:r>
      <w:r w:rsidR="00844746" w:rsidRPr="00844746">
        <w:rPr>
          <w:szCs w:val="24"/>
        </w:rPr>
        <w:t xml:space="preserve"> </w:t>
      </w:r>
    </w:p>
    <w:p w14:paraId="5FE797C0" w14:textId="749E2AA3" w:rsidR="000260AB" w:rsidRDefault="000260AB" w:rsidP="00844746">
      <w:pPr>
        <w:pBdr>
          <w:bottom w:val="single" w:sz="4" w:space="1" w:color="auto"/>
        </w:pBdr>
        <w:shd w:val="clear" w:color="auto" w:fill="FFFFFF"/>
        <w:spacing w:line="480" w:lineRule="auto"/>
        <w:ind w:left="576" w:hanging="576"/>
        <w:rPr>
          <w:sz w:val="20"/>
          <w:szCs w:val="20"/>
        </w:rPr>
      </w:pPr>
      <w:r>
        <w:rPr>
          <w:rFonts w:cs="Times New Roman"/>
          <w:color w:val="333333"/>
          <w:szCs w:val="24"/>
          <w:shd w:val="clear" w:color="auto" w:fill="FFFFFF"/>
        </w:rPr>
        <w:lastRenderedPageBreak/>
        <w:t xml:space="preserve">Mokyr, Joel. 2016. “Technology and Economic Growth.”  Available at </w:t>
      </w:r>
      <w:hyperlink r:id="rId17" w:history="1">
        <w:r w:rsidRPr="00844746">
          <w:rPr>
            <w:rStyle w:val="Hyperlink"/>
            <w:szCs w:val="24"/>
          </w:rPr>
          <w:t>h</w:t>
        </w:r>
        <w:r w:rsidRPr="000260AB">
          <w:rPr>
            <w:rStyle w:val="Hyperlink"/>
            <w:szCs w:val="24"/>
          </w:rPr>
          <w:t>ttps://www.project-syndicate.org/commentary/technology-and-economic-growth-by-joel-mokyr-2016-11</w:t>
        </w:r>
      </w:hyperlink>
      <w:r>
        <w:rPr>
          <w:sz w:val="20"/>
          <w:szCs w:val="20"/>
        </w:rPr>
        <w:t>.</w:t>
      </w:r>
    </w:p>
    <w:p w14:paraId="450F7627" w14:textId="464F85B8" w:rsidR="00DE1A00" w:rsidRPr="007B40EE" w:rsidRDefault="00DE1A00" w:rsidP="00844746">
      <w:pPr>
        <w:pBdr>
          <w:bottom w:val="single" w:sz="4" w:space="1" w:color="auto"/>
        </w:pBdr>
        <w:shd w:val="clear" w:color="auto" w:fill="FFFFFF"/>
        <w:spacing w:line="480" w:lineRule="auto"/>
        <w:ind w:left="576" w:hanging="576"/>
        <w:rPr>
          <w:rFonts w:cs="Times New Roman"/>
          <w:color w:val="333333"/>
          <w:szCs w:val="24"/>
          <w:shd w:val="clear" w:color="auto" w:fill="FFFFFF"/>
        </w:rPr>
      </w:pPr>
      <w:r w:rsidRPr="007B40EE">
        <w:rPr>
          <w:rFonts w:cs="Times New Roman"/>
          <w:color w:val="333333"/>
          <w:szCs w:val="24"/>
          <w:shd w:val="clear" w:color="auto" w:fill="FFFFFF"/>
        </w:rPr>
        <w:t xml:space="preserve">National Bureau of Economic Research, Number of New Private Nonfarm Housing Units Started, One-Family for United States [A0201AUSA176NNBR], retrieved from FRED, Federal Reserve Bank of St. Louis; </w:t>
      </w:r>
      <w:hyperlink r:id="rId18" w:history="1">
        <w:r w:rsidR="00065B16" w:rsidRPr="00E47B7B">
          <w:rPr>
            <w:rStyle w:val="Hyperlink"/>
            <w:rFonts w:cs="Times New Roman"/>
            <w:szCs w:val="24"/>
            <w:shd w:val="clear" w:color="auto" w:fill="FFFFFF"/>
          </w:rPr>
          <w:t>https://fred.stlouisfed.org/series/A0201AUSA176NNBR</w:t>
        </w:r>
      </w:hyperlink>
      <w:r w:rsidR="00065B16">
        <w:rPr>
          <w:rFonts w:cs="Times New Roman"/>
          <w:color w:val="333333"/>
          <w:szCs w:val="24"/>
          <w:shd w:val="clear" w:color="auto" w:fill="FFFFFF"/>
        </w:rPr>
        <w:t xml:space="preserve">, </w:t>
      </w:r>
      <w:r w:rsidRPr="007B40EE">
        <w:rPr>
          <w:rFonts w:cs="Times New Roman"/>
          <w:color w:val="333333"/>
          <w:szCs w:val="24"/>
          <w:shd w:val="clear" w:color="auto" w:fill="FFFFFF"/>
        </w:rPr>
        <w:t xml:space="preserve"> February 11, 2017.</w:t>
      </w:r>
    </w:p>
    <w:p w14:paraId="7D34A249" w14:textId="0E53EB4D" w:rsidR="00DE1A00" w:rsidRPr="000F79DD" w:rsidRDefault="00DE1A00" w:rsidP="00844746">
      <w:pPr>
        <w:pBdr>
          <w:bottom w:val="single" w:sz="4" w:space="1" w:color="auto"/>
        </w:pBdr>
        <w:shd w:val="clear" w:color="auto" w:fill="FFFFFF"/>
        <w:spacing w:line="480" w:lineRule="auto"/>
        <w:ind w:left="576" w:hanging="576"/>
        <w:rPr>
          <w:rFonts w:eastAsia="Times New Roman" w:cs="Times New Roman"/>
          <w:color w:val="222222"/>
          <w:szCs w:val="24"/>
        </w:rPr>
      </w:pPr>
      <w:r w:rsidRPr="00B01853">
        <w:rPr>
          <w:rFonts w:eastAsia="Times New Roman" w:cs="Times New Roman"/>
          <w:color w:val="222222"/>
          <w:szCs w:val="24"/>
        </w:rPr>
        <w:t>Ristuccia</w:t>
      </w:r>
      <w:r w:rsidRPr="000F79DD">
        <w:rPr>
          <w:rFonts w:eastAsia="Times New Roman" w:cs="Times New Roman"/>
          <w:color w:val="222222"/>
          <w:szCs w:val="24"/>
        </w:rPr>
        <w:t xml:space="preserve">, Christiano Andrea and Adam Tooze. 2013. “Machine Tools and Mass Production in the Armaments Boom:  Germany and the United States, 1929-44.” </w:t>
      </w:r>
      <w:r w:rsidRPr="000F79DD">
        <w:rPr>
          <w:rFonts w:eastAsia="Times New Roman" w:cs="Times New Roman"/>
          <w:color w:val="222222"/>
          <w:szCs w:val="24"/>
          <w:u w:val="single"/>
        </w:rPr>
        <w:t>Economic History Review</w:t>
      </w:r>
      <w:r w:rsidRPr="000F79DD">
        <w:rPr>
          <w:rFonts w:eastAsia="Times New Roman" w:cs="Times New Roman"/>
          <w:color w:val="222222"/>
          <w:szCs w:val="24"/>
        </w:rPr>
        <w:t xml:space="preserve"> 66: 953-974.</w:t>
      </w:r>
    </w:p>
    <w:p w14:paraId="6742CED7" w14:textId="77777777" w:rsidR="00DE1A00" w:rsidRDefault="00DE1A00" w:rsidP="00844746">
      <w:pPr>
        <w:pBdr>
          <w:bottom w:val="single" w:sz="4" w:space="1" w:color="auto"/>
        </w:pBdr>
        <w:shd w:val="clear" w:color="auto" w:fill="FFFFFF"/>
        <w:spacing w:line="480" w:lineRule="auto"/>
        <w:ind w:left="576" w:hanging="576"/>
        <w:rPr>
          <w:rFonts w:eastAsia="Times New Roman" w:cs="Times New Roman"/>
          <w:color w:val="222222"/>
          <w:szCs w:val="24"/>
        </w:rPr>
      </w:pPr>
      <w:r>
        <w:rPr>
          <w:rFonts w:eastAsia="Times New Roman" w:cs="Times New Roman"/>
          <w:color w:val="222222"/>
          <w:szCs w:val="24"/>
        </w:rPr>
        <w:t xml:space="preserve">Rockoff, Hugh. 2012. </w:t>
      </w:r>
      <w:r>
        <w:rPr>
          <w:rFonts w:eastAsia="Times New Roman" w:cs="Times New Roman"/>
          <w:color w:val="222222"/>
          <w:szCs w:val="24"/>
          <w:u w:val="single"/>
        </w:rPr>
        <w:t xml:space="preserve">America’s Economic Way of </w:t>
      </w:r>
      <w:r w:rsidRPr="00D070FD">
        <w:rPr>
          <w:rFonts w:eastAsia="Times New Roman" w:cs="Times New Roman"/>
          <w:color w:val="222222"/>
          <w:szCs w:val="24"/>
          <w:u w:val="single"/>
        </w:rPr>
        <w:t>War</w:t>
      </w:r>
      <w:r>
        <w:rPr>
          <w:rFonts w:eastAsia="Times New Roman" w:cs="Times New Roman"/>
          <w:color w:val="222222"/>
          <w:szCs w:val="24"/>
        </w:rPr>
        <w:t>.  Cambridge:  Cambridge University Press.</w:t>
      </w:r>
    </w:p>
    <w:p w14:paraId="757BCFEA" w14:textId="77777777" w:rsidR="00262D41" w:rsidRDefault="00262D41" w:rsidP="00844746">
      <w:pPr>
        <w:pBdr>
          <w:bottom w:val="single" w:sz="4" w:space="1" w:color="auto"/>
        </w:pBdr>
        <w:shd w:val="clear" w:color="auto" w:fill="FFFFFF"/>
        <w:spacing w:line="480" w:lineRule="auto"/>
        <w:ind w:left="576" w:hanging="576"/>
        <w:rPr>
          <w:rFonts w:eastAsia="Times New Roman" w:cs="Times New Roman"/>
          <w:color w:val="222222"/>
          <w:szCs w:val="24"/>
        </w:rPr>
      </w:pPr>
      <w:r>
        <w:rPr>
          <w:rFonts w:eastAsia="Times New Roman" w:cs="Times New Roman"/>
          <w:color w:val="222222"/>
          <w:szCs w:val="24"/>
        </w:rPr>
        <w:t xml:space="preserve">Ruttan, Vernon. 2006. </w:t>
      </w:r>
      <w:r w:rsidRPr="00262D41">
        <w:rPr>
          <w:rFonts w:eastAsia="Times New Roman" w:cs="Times New Roman"/>
          <w:color w:val="222222"/>
          <w:szCs w:val="24"/>
          <w:u w:val="single"/>
        </w:rPr>
        <w:softHyphen/>
        <w:t>Is War Necessary for Economic Growth? Military Procurement and Economic Development</w:t>
      </w:r>
      <w:r>
        <w:rPr>
          <w:rFonts w:eastAsia="Times New Roman" w:cs="Times New Roman"/>
          <w:color w:val="222222"/>
          <w:szCs w:val="24"/>
        </w:rPr>
        <w:t>.  Oxford:  Oxford University Press.</w:t>
      </w:r>
    </w:p>
    <w:p w14:paraId="090605EB" w14:textId="34F6A745" w:rsidR="00DE1A00" w:rsidRDefault="00DE1A00" w:rsidP="00844746">
      <w:pPr>
        <w:pBdr>
          <w:bottom w:val="single" w:sz="4" w:space="1" w:color="auto"/>
        </w:pBdr>
        <w:shd w:val="clear" w:color="auto" w:fill="FFFFFF"/>
        <w:spacing w:line="480" w:lineRule="auto"/>
        <w:ind w:left="576" w:hanging="576"/>
        <w:rPr>
          <w:rFonts w:eastAsia="Times New Roman" w:cs="Times New Roman"/>
          <w:color w:val="222222"/>
          <w:szCs w:val="24"/>
        </w:rPr>
      </w:pPr>
      <w:r w:rsidRPr="00D070FD">
        <w:rPr>
          <w:rFonts w:eastAsia="Times New Roman" w:cs="Times New Roman"/>
          <w:color w:val="222222"/>
          <w:szCs w:val="24"/>
        </w:rPr>
        <w:t>Schweitzer</w:t>
      </w:r>
      <w:r>
        <w:rPr>
          <w:rFonts w:eastAsia="Times New Roman" w:cs="Times New Roman"/>
          <w:color w:val="222222"/>
          <w:szCs w:val="24"/>
        </w:rPr>
        <w:t xml:space="preserve">, Mary. 1980. “World War II and Female Labor Force Participation Rates.”  </w:t>
      </w:r>
      <w:r>
        <w:rPr>
          <w:rFonts w:eastAsia="Times New Roman" w:cs="Times New Roman"/>
          <w:color w:val="222222"/>
          <w:szCs w:val="24"/>
          <w:u w:val="single"/>
        </w:rPr>
        <w:t xml:space="preserve">Journal of Economic </w:t>
      </w:r>
      <w:r w:rsidRPr="006853C6">
        <w:rPr>
          <w:rFonts w:eastAsia="Times New Roman" w:cs="Times New Roman"/>
          <w:color w:val="222222"/>
          <w:szCs w:val="24"/>
          <w:u w:val="single"/>
        </w:rPr>
        <w:t>History</w:t>
      </w:r>
      <w:r>
        <w:rPr>
          <w:rFonts w:eastAsia="Times New Roman" w:cs="Times New Roman"/>
          <w:color w:val="222222"/>
          <w:szCs w:val="24"/>
        </w:rPr>
        <w:t xml:space="preserve"> 40 (March):  89-95.</w:t>
      </w:r>
    </w:p>
    <w:p w14:paraId="1DFF6E1B" w14:textId="77777777" w:rsidR="00F7301C" w:rsidRDefault="00DE1A00" w:rsidP="00F7301C">
      <w:pPr>
        <w:pBdr>
          <w:bottom w:val="single" w:sz="4" w:space="1" w:color="auto"/>
        </w:pBdr>
        <w:shd w:val="clear" w:color="auto" w:fill="FFFFFF"/>
        <w:spacing w:line="480" w:lineRule="auto"/>
        <w:ind w:left="576" w:hanging="576"/>
        <w:rPr>
          <w:rFonts w:eastAsia="Times New Roman" w:cs="Times New Roman"/>
          <w:color w:val="222222"/>
          <w:szCs w:val="24"/>
        </w:rPr>
      </w:pPr>
      <w:r>
        <w:rPr>
          <w:rFonts w:eastAsia="Times New Roman" w:cs="Times New Roman"/>
          <w:color w:val="222222"/>
          <w:szCs w:val="24"/>
        </w:rPr>
        <w:t xml:space="preserve">Smith, R. Elberton. 1959.  </w:t>
      </w:r>
      <w:r>
        <w:rPr>
          <w:rFonts w:eastAsia="Times New Roman" w:cs="Times New Roman"/>
          <w:color w:val="222222"/>
          <w:szCs w:val="24"/>
          <w:u w:val="single"/>
        </w:rPr>
        <w:t xml:space="preserve">The Army and Economic </w:t>
      </w:r>
      <w:r w:rsidRPr="00D070FD">
        <w:rPr>
          <w:rFonts w:eastAsia="Times New Roman" w:cs="Times New Roman"/>
          <w:color w:val="222222"/>
          <w:szCs w:val="24"/>
          <w:u w:val="single"/>
        </w:rPr>
        <w:t>Mobilization</w:t>
      </w:r>
      <w:r>
        <w:rPr>
          <w:rFonts w:eastAsia="Times New Roman" w:cs="Times New Roman"/>
          <w:color w:val="222222"/>
          <w:szCs w:val="24"/>
        </w:rPr>
        <w:t>.  Washingt</w:t>
      </w:r>
      <w:r w:rsidR="00F7301C">
        <w:rPr>
          <w:rFonts w:eastAsia="Times New Roman" w:cs="Times New Roman"/>
          <w:color w:val="222222"/>
          <w:szCs w:val="24"/>
        </w:rPr>
        <w:t>on: Government Printing Office.</w:t>
      </w:r>
    </w:p>
    <w:p w14:paraId="4DC51073" w14:textId="0A168BD7" w:rsidR="001410B2" w:rsidRPr="00F7301C" w:rsidRDefault="001410B2" w:rsidP="00F7301C">
      <w:pPr>
        <w:pBdr>
          <w:bottom w:val="single" w:sz="4" w:space="1" w:color="auto"/>
        </w:pBdr>
        <w:shd w:val="clear" w:color="auto" w:fill="FFFFFF"/>
        <w:spacing w:line="480" w:lineRule="auto"/>
        <w:ind w:left="576" w:hanging="576"/>
        <w:rPr>
          <w:rFonts w:eastAsia="Times New Roman" w:cs="Times New Roman"/>
          <w:color w:val="222222"/>
          <w:szCs w:val="24"/>
        </w:rPr>
      </w:pPr>
      <w:r w:rsidRPr="00F7301C">
        <w:rPr>
          <w:rFonts w:eastAsia="Times New Roman" w:cs="Times New Roman"/>
          <w:color w:val="222222"/>
          <w:szCs w:val="24"/>
        </w:rPr>
        <w:t xml:space="preserve">Thompson, Peter. 2001. </w:t>
      </w:r>
      <w:r w:rsidR="00F7301C">
        <w:rPr>
          <w:rFonts w:eastAsia="Times New Roman" w:cs="Times New Roman"/>
          <w:color w:val="222222"/>
          <w:szCs w:val="24"/>
        </w:rPr>
        <w:t>“</w:t>
      </w:r>
      <w:r w:rsidRPr="00F7301C">
        <w:rPr>
          <w:rFonts w:eastAsia="Times New Roman" w:cs="Times New Roman"/>
          <w:bCs/>
          <w:color w:val="333333"/>
          <w:kern w:val="36"/>
          <w:szCs w:val="24"/>
        </w:rPr>
        <w:t>How Much Did the Liberty Shipbuilders Learn? New Evidence for an Old Case Study</w:t>
      </w:r>
      <w:r w:rsidR="00F7301C">
        <w:rPr>
          <w:rFonts w:eastAsia="Times New Roman" w:cs="Times New Roman"/>
          <w:bCs/>
          <w:color w:val="333333"/>
          <w:kern w:val="36"/>
          <w:szCs w:val="24"/>
        </w:rPr>
        <w:t>.”</w:t>
      </w:r>
      <w:r w:rsidRPr="00F7301C">
        <w:rPr>
          <w:rFonts w:eastAsia="Times New Roman" w:cs="Times New Roman"/>
          <w:bCs/>
          <w:color w:val="333333"/>
          <w:kern w:val="36"/>
          <w:szCs w:val="24"/>
        </w:rPr>
        <w:t xml:space="preserve"> </w:t>
      </w:r>
      <w:r w:rsidRPr="00F7301C">
        <w:rPr>
          <w:rFonts w:eastAsia="Times New Roman" w:cs="Times New Roman"/>
          <w:iCs/>
          <w:color w:val="333333"/>
          <w:szCs w:val="24"/>
          <w:u w:val="single"/>
        </w:rPr>
        <w:t>Journal of Political Economy</w:t>
      </w:r>
      <w:r w:rsidRPr="00F7301C">
        <w:rPr>
          <w:rFonts w:eastAsia="Times New Roman" w:cs="Times New Roman"/>
          <w:iCs/>
          <w:color w:val="333333"/>
          <w:szCs w:val="24"/>
        </w:rPr>
        <w:t xml:space="preserve"> 109 (February</w:t>
      </w:r>
      <w:r w:rsidR="00F7301C" w:rsidRPr="00F7301C">
        <w:rPr>
          <w:rFonts w:eastAsia="Times New Roman" w:cs="Times New Roman"/>
          <w:iCs/>
          <w:color w:val="333333"/>
          <w:szCs w:val="24"/>
        </w:rPr>
        <w:t>: 103-137.</w:t>
      </w:r>
    </w:p>
    <w:p w14:paraId="40EA309D" w14:textId="77777777" w:rsidR="00F7301C" w:rsidRPr="001410B2" w:rsidRDefault="00F7301C" w:rsidP="001410B2">
      <w:pPr>
        <w:shd w:val="clear" w:color="auto" w:fill="FFFFFF"/>
        <w:rPr>
          <w:rFonts w:ascii="Arial" w:eastAsia="Times New Roman" w:hAnsi="Arial" w:cs="Arial"/>
          <w:color w:val="333333"/>
          <w:sz w:val="21"/>
          <w:szCs w:val="21"/>
        </w:rPr>
      </w:pPr>
    </w:p>
    <w:p w14:paraId="38BEACAF" w14:textId="56122130" w:rsidR="00950D57" w:rsidRDefault="00950D57" w:rsidP="00844746">
      <w:pPr>
        <w:pBdr>
          <w:bottom w:val="single" w:sz="4" w:space="1" w:color="auto"/>
        </w:pBdr>
        <w:shd w:val="clear" w:color="auto" w:fill="FFFFFF"/>
        <w:spacing w:line="480" w:lineRule="auto"/>
        <w:ind w:left="576" w:hanging="576"/>
        <w:rPr>
          <w:rFonts w:eastAsia="Times New Roman" w:cs="Times New Roman"/>
          <w:color w:val="222222"/>
          <w:szCs w:val="24"/>
        </w:rPr>
      </w:pPr>
      <w:r>
        <w:rPr>
          <w:rFonts w:eastAsia="Times New Roman" w:cs="Times New Roman"/>
          <w:color w:val="222222"/>
          <w:szCs w:val="24"/>
        </w:rPr>
        <w:lastRenderedPageBreak/>
        <w:t xml:space="preserve">United States Department of Commerce. 1947.  </w:t>
      </w:r>
      <w:r>
        <w:rPr>
          <w:rFonts w:eastAsia="Times New Roman" w:cs="Times New Roman"/>
          <w:color w:val="222222"/>
          <w:szCs w:val="24"/>
          <w:u w:val="single"/>
        </w:rPr>
        <w:t>Statistical Abstract of the United States</w:t>
      </w:r>
      <w:r>
        <w:rPr>
          <w:rFonts w:eastAsia="Times New Roman" w:cs="Times New Roman"/>
          <w:color w:val="222222"/>
          <w:szCs w:val="24"/>
        </w:rPr>
        <w:t>. Washington: Government Printing Office.</w:t>
      </w:r>
    </w:p>
    <w:p w14:paraId="5D48C825" w14:textId="5F5AC82F" w:rsidR="00DE1A00" w:rsidRDefault="00DE1A00" w:rsidP="00844746">
      <w:pPr>
        <w:pBdr>
          <w:bottom w:val="single" w:sz="4" w:space="1" w:color="auto"/>
        </w:pBdr>
        <w:shd w:val="clear" w:color="auto" w:fill="FFFFFF"/>
        <w:spacing w:line="480" w:lineRule="auto"/>
        <w:ind w:left="576" w:hanging="576"/>
        <w:rPr>
          <w:rFonts w:eastAsia="Times New Roman" w:cs="Times New Roman"/>
          <w:color w:val="222222"/>
          <w:szCs w:val="24"/>
        </w:rPr>
      </w:pPr>
      <w:r w:rsidRPr="00065B16">
        <w:rPr>
          <w:rFonts w:eastAsia="Times New Roman" w:cs="Times New Roman"/>
          <w:color w:val="222222"/>
          <w:szCs w:val="24"/>
        </w:rPr>
        <w:t>United</w:t>
      </w:r>
      <w:r>
        <w:rPr>
          <w:rFonts w:eastAsia="Times New Roman" w:cs="Times New Roman"/>
          <w:color w:val="222222"/>
          <w:szCs w:val="24"/>
        </w:rPr>
        <w:t xml:space="preserve"> States Department of Commerce, Office of Business Economics. 1966. </w:t>
      </w:r>
      <w:r>
        <w:rPr>
          <w:rFonts w:eastAsia="Times New Roman" w:cs="Times New Roman"/>
          <w:color w:val="222222"/>
          <w:szCs w:val="24"/>
          <w:u w:val="single"/>
        </w:rPr>
        <w:t>The National Income and Product Accounts of the United States, 1929-</w:t>
      </w:r>
      <w:r w:rsidRPr="00A7481D">
        <w:rPr>
          <w:rFonts w:eastAsia="Times New Roman" w:cs="Times New Roman"/>
          <w:color w:val="222222"/>
          <w:szCs w:val="24"/>
          <w:u w:val="single"/>
        </w:rPr>
        <w:t>65</w:t>
      </w:r>
      <w:r>
        <w:rPr>
          <w:rFonts w:eastAsia="Times New Roman" w:cs="Times New Roman"/>
          <w:color w:val="222222"/>
          <w:szCs w:val="24"/>
        </w:rPr>
        <w:t>.  Washington:  Government Printing Office.</w:t>
      </w:r>
    </w:p>
    <w:p w14:paraId="4C33246F" w14:textId="77777777" w:rsidR="00DE1A00" w:rsidRDefault="00DE1A00" w:rsidP="00844746">
      <w:pPr>
        <w:pBdr>
          <w:bottom w:val="single" w:sz="4" w:space="1" w:color="auto"/>
        </w:pBdr>
        <w:shd w:val="clear" w:color="auto" w:fill="FFFFFF"/>
        <w:spacing w:line="480" w:lineRule="auto"/>
        <w:ind w:left="576" w:hanging="576"/>
        <w:rPr>
          <w:rFonts w:eastAsia="Times New Roman" w:cs="Times New Roman"/>
          <w:color w:val="222222"/>
          <w:szCs w:val="24"/>
        </w:rPr>
      </w:pPr>
      <w:r>
        <w:rPr>
          <w:rFonts w:eastAsia="Times New Roman" w:cs="Times New Roman"/>
          <w:color w:val="222222"/>
          <w:szCs w:val="24"/>
        </w:rPr>
        <w:t xml:space="preserve">United States Bureau of Economic Analysis, National Income and Product Account tables, and Fixed Asset Tables, both available at </w:t>
      </w:r>
      <w:hyperlink r:id="rId19" w:history="1">
        <w:r w:rsidRPr="00AD5869">
          <w:rPr>
            <w:rStyle w:val="Hyperlink"/>
            <w:rFonts w:eastAsia="Times New Roman" w:cs="Times New Roman"/>
            <w:szCs w:val="24"/>
          </w:rPr>
          <w:t>http://www.bea.gov</w:t>
        </w:r>
      </w:hyperlink>
      <w:r>
        <w:rPr>
          <w:rFonts w:eastAsia="Times New Roman" w:cs="Times New Roman"/>
          <w:color w:val="222222"/>
          <w:szCs w:val="24"/>
        </w:rPr>
        <w:t>.  Accessed January 23, 2016.</w:t>
      </w:r>
    </w:p>
    <w:p w14:paraId="61098CDD" w14:textId="77777777" w:rsidR="00DE1A00" w:rsidRDefault="00DE1A00" w:rsidP="00844746">
      <w:pPr>
        <w:pBdr>
          <w:bottom w:val="single" w:sz="4" w:space="1" w:color="auto"/>
        </w:pBdr>
        <w:shd w:val="clear" w:color="auto" w:fill="FFFFFF"/>
        <w:spacing w:line="480" w:lineRule="auto"/>
        <w:ind w:left="576" w:hanging="576"/>
        <w:rPr>
          <w:rFonts w:eastAsia="Times New Roman" w:cs="Times New Roman"/>
          <w:color w:val="222222"/>
          <w:szCs w:val="24"/>
        </w:rPr>
      </w:pPr>
      <w:r>
        <w:rPr>
          <w:rFonts w:eastAsia="Times New Roman" w:cs="Times New Roman"/>
          <w:color w:val="222222"/>
          <w:szCs w:val="24"/>
        </w:rPr>
        <w:t xml:space="preserve">United States Bureau of Labor Statistics. 2004. “Multifactor Productivity in U.S. Manufacturing and in 20 Manufacturing Industries.” Dated February 10. </w:t>
      </w:r>
    </w:p>
    <w:p w14:paraId="466DF29F" w14:textId="77777777" w:rsidR="00DE1A00" w:rsidRDefault="00DE1A00" w:rsidP="00844746">
      <w:pPr>
        <w:pBdr>
          <w:bottom w:val="single" w:sz="4" w:space="1" w:color="auto"/>
        </w:pBdr>
        <w:shd w:val="clear" w:color="auto" w:fill="FFFFFF"/>
        <w:spacing w:line="480" w:lineRule="auto"/>
        <w:ind w:left="576" w:hanging="576"/>
        <w:rPr>
          <w:rFonts w:eastAsia="Times New Roman" w:cs="Times New Roman"/>
          <w:color w:val="222222"/>
          <w:szCs w:val="24"/>
        </w:rPr>
      </w:pPr>
      <w:r w:rsidRPr="00A7481D">
        <w:rPr>
          <w:rFonts w:eastAsia="Times New Roman" w:cs="Times New Roman"/>
          <w:color w:val="222222"/>
          <w:szCs w:val="24"/>
        </w:rPr>
        <w:t>Walton</w:t>
      </w:r>
      <w:r w:rsidRPr="000F79DD">
        <w:rPr>
          <w:rFonts w:eastAsia="Times New Roman" w:cs="Times New Roman"/>
          <w:color w:val="222222"/>
          <w:szCs w:val="24"/>
        </w:rPr>
        <w:t xml:space="preserve">, Francis. 1956.  </w:t>
      </w:r>
      <w:r w:rsidRPr="000F79DD">
        <w:rPr>
          <w:rFonts w:eastAsia="Times New Roman" w:cs="Times New Roman"/>
          <w:color w:val="222222"/>
          <w:szCs w:val="24"/>
          <w:u w:val="single"/>
        </w:rPr>
        <w:t>The Miracle of World War II: How American Industry Made Victory Possible</w:t>
      </w:r>
      <w:r w:rsidRPr="000F79DD">
        <w:rPr>
          <w:rFonts w:eastAsia="Times New Roman" w:cs="Times New Roman"/>
          <w:color w:val="222222"/>
          <w:szCs w:val="24"/>
        </w:rPr>
        <w:t>.  New York: Macmillan.</w:t>
      </w:r>
    </w:p>
    <w:p w14:paraId="75B72372" w14:textId="77777777" w:rsidR="002D685E" w:rsidRDefault="002D685E" w:rsidP="00844746">
      <w:pPr>
        <w:pBdr>
          <w:bottom w:val="single" w:sz="4" w:space="1" w:color="auto"/>
        </w:pBdr>
        <w:shd w:val="clear" w:color="auto" w:fill="FFFFFF"/>
        <w:spacing w:line="480" w:lineRule="auto"/>
        <w:ind w:left="576" w:hanging="576"/>
        <w:rPr>
          <w:rFonts w:eastAsia="Times New Roman" w:cs="Times New Roman"/>
          <w:color w:val="222222"/>
          <w:szCs w:val="24"/>
        </w:rPr>
      </w:pPr>
      <w:r>
        <w:rPr>
          <w:rFonts w:eastAsia="Times New Roman" w:cs="Times New Roman"/>
          <w:color w:val="222222"/>
          <w:szCs w:val="24"/>
        </w:rPr>
        <w:t xml:space="preserve">Weisgall, Jonathan. 1994. </w:t>
      </w:r>
      <w:r>
        <w:rPr>
          <w:rFonts w:eastAsia="Times New Roman" w:cs="Times New Roman"/>
          <w:color w:val="222222"/>
          <w:szCs w:val="24"/>
          <w:u w:val="single"/>
        </w:rPr>
        <w:t xml:space="preserve">Operation Crossroads: The Atomic Tests at Bikini Atoll. </w:t>
      </w:r>
      <w:r>
        <w:rPr>
          <w:rFonts w:eastAsia="Times New Roman" w:cs="Times New Roman"/>
          <w:color w:val="222222"/>
          <w:szCs w:val="24"/>
        </w:rPr>
        <w:t>Annapolis:  Naval Institute Press.</w:t>
      </w:r>
    </w:p>
    <w:p w14:paraId="03018CAA" w14:textId="7E5749CC" w:rsidR="00DE1A00" w:rsidRDefault="00DE1A00" w:rsidP="00844746">
      <w:pPr>
        <w:pBdr>
          <w:bottom w:val="single" w:sz="4" w:space="1" w:color="auto"/>
        </w:pBdr>
        <w:shd w:val="clear" w:color="auto" w:fill="FFFFFF"/>
        <w:spacing w:line="480" w:lineRule="auto"/>
        <w:ind w:left="576" w:hanging="576"/>
        <w:rPr>
          <w:rFonts w:eastAsia="Times New Roman" w:cs="Times New Roman"/>
          <w:color w:val="222222"/>
          <w:szCs w:val="24"/>
        </w:rPr>
      </w:pPr>
      <w:r>
        <w:rPr>
          <w:rFonts w:eastAsia="Times New Roman" w:cs="Times New Roman"/>
          <w:color w:val="222222"/>
          <w:szCs w:val="24"/>
        </w:rPr>
        <w:t xml:space="preserve">Wikipedia.  2017a.  s.v. “List of Most-Produced Aircraft.”  Available at </w:t>
      </w:r>
      <w:hyperlink r:id="rId20" w:history="1">
        <w:r w:rsidRPr="00A466AE">
          <w:rPr>
            <w:rStyle w:val="Hyperlink"/>
            <w:rFonts w:eastAsia="Times New Roman" w:cs="Times New Roman"/>
            <w:szCs w:val="24"/>
          </w:rPr>
          <w:t>https://en.wikipedia.org/wiki/List_of_most-produced_aircraft</w:t>
        </w:r>
      </w:hyperlink>
      <w:r>
        <w:rPr>
          <w:rFonts w:eastAsia="Times New Roman" w:cs="Times New Roman"/>
          <w:color w:val="222222"/>
          <w:szCs w:val="24"/>
        </w:rPr>
        <w:t xml:space="preserve"> ; accessed January 18, 2017.</w:t>
      </w:r>
    </w:p>
    <w:p w14:paraId="6D7E137F" w14:textId="1CA11E52" w:rsidR="00DE1A00" w:rsidRDefault="00DE1A00" w:rsidP="00844746">
      <w:pPr>
        <w:pBdr>
          <w:bottom w:val="single" w:sz="4" w:space="1" w:color="auto"/>
        </w:pBdr>
        <w:shd w:val="clear" w:color="auto" w:fill="FFFFFF"/>
        <w:spacing w:line="480" w:lineRule="auto"/>
        <w:ind w:left="576" w:hanging="576"/>
        <w:rPr>
          <w:rFonts w:eastAsia="Times New Roman" w:cs="Times New Roman"/>
          <w:color w:val="222222"/>
          <w:szCs w:val="24"/>
        </w:rPr>
      </w:pPr>
      <w:r>
        <w:rPr>
          <w:rFonts w:eastAsia="Times New Roman" w:cs="Times New Roman"/>
          <w:color w:val="222222"/>
          <w:szCs w:val="24"/>
        </w:rPr>
        <w:t xml:space="preserve">Wikipedia, 2017b. s.v. “World War II Aircraft Production.”  Available at </w:t>
      </w:r>
      <w:hyperlink r:id="rId21" w:history="1">
        <w:r w:rsidRPr="00A466AE">
          <w:rPr>
            <w:rStyle w:val="Hyperlink"/>
            <w:rFonts w:eastAsia="Times New Roman" w:cs="Times New Roman"/>
            <w:szCs w:val="24"/>
          </w:rPr>
          <w:t>https://en.wikipedia.org/wiki/World_War_II_aircraft_production</w:t>
        </w:r>
      </w:hyperlink>
      <w:r>
        <w:rPr>
          <w:rFonts w:eastAsia="Times New Roman" w:cs="Times New Roman"/>
          <w:color w:val="222222"/>
          <w:szCs w:val="24"/>
        </w:rPr>
        <w:t>; accessed January 18, 2017.</w:t>
      </w:r>
    </w:p>
    <w:p w14:paraId="18BEE2C2" w14:textId="77777777" w:rsidR="00DE1A00" w:rsidRDefault="00DE1A00" w:rsidP="00844746">
      <w:pPr>
        <w:pBdr>
          <w:bottom w:val="single" w:sz="4" w:space="1" w:color="auto"/>
        </w:pBdr>
        <w:shd w:val="clear" w:color="auto" w:fill="FFFFFF"/>
        <w:spacing w:line="480" w:lineRule="auto"/>
        <w:ind w:left="576" w:hanging="576"/>
        <w:rPr>
          <w:rFonts w:eastAsia="Times New Roman" w:cs="Times New Roman"/>
          <w:color w:val="222222"/>
          <w:szCs w:val="24"/>
        </w:rPr>
      </w:pPr>
      <w:r>
        <w:rPr>
          <w:rFonts w:eastAsia="Times New Roman" w:cs="Times New Roman"/>
          <w:color w:val="222222"/>
          <w:szCs w:val="24"/>
        </w:rPr>
        <w:t xml:space="preserve">Wilson, Mark R.  2016. </w:t>
      </w:r>
      <w:r>
        <w:rPr>
          <w:rFonts w:eastAsia="Times New Roman" w:cs="Times New Roman"/>
          <w:color w:val="222222"/>
          <w:szCs w:val="24"/>
          <w:u w:val="single"/>
        </w:rPr>
        <w:t>Destructive Creation:  American Business and the Winning of World War II</w:t>
      </w:r>
      <w:r>
        <w:rPr>
          <w:rFonts w:eastAsia="Times New Roman" w:cs="Times New Roman"/>
          <w:color w:val="222222"/>
          <w:szCs w:val="24"/>
        </w:rPr>
        <w:t>.  Philadelphia:  University of Pennsylvania Press.</w:t>
      </w:r>
      <w:r w:rsidDel="00EE6674">
        <w:rPr>
          <w:rFonts w:eastAsia="Times New Roman" w:cs="Times New Roman"/>
          <w:color w:val="222222"/>
          <w:szCs w:val="24"/>
        </w:rPr>
        <w:t xml:space="preserve"> </w:t>
      </w:r>
    </w:p>
    <w:p w14:paraId="7B985EA6" w14:textId="71FFE3D6" w:rsidR="003966C1" w:rsidRDefault="00DE1A00" w:rsidP="00273E37">
      <w:pPr>
        <w:pBdr>
          <w:bottom w:val="single" w:sz="4" w:space="1" w:color="auto"/>
        </w:pBdr>
        <w:shd w:val="clear" w:color="auto" w:fill="FFFFFF"/>
        <w:spacing w:line="480" w:lineRule="auto"/>
        <w:ind w:left="576" w:hanging="576"/>
        <w:rPr>
          <w:rFonts w:eastAsia="Times New Roman" w:cs="Times New Roman"/>
          <w:color w:val="222222"/>
          <w:szCs w:val="24"/>
        </w:rPr>
      </w:pPr>
      <w:r>
        <w:rPr>
          <w:rFonts w:eastAsia="Times New Roman" w:cs="Times New Roman"/>
          <w:color w:val="222222"/>
          <w:szCs w:val="24"/>
        </w:rPr>
        <w:lastRenderedPageBreak/>
        <w:t xml:space="preserve">Wright, Gavin.  2017. “World War II, the Cold War, and the Knowledge Economies of the </w:t>
      </w:r>
      <w:r w:rsidR="00764AD5">
        <w:rPr>
          <w:rFonts w:eastAsia="Times New Roman" w:cs="Times New Roman"/>
          <w:color w:val="222222"/>
          <w:szCs w:val="24"/>
        </w:rPr>
        <w:t>Pacific Coast.”  Working paper, Stanford University.</w:t>
      </w:r>
    </w:p>
    <w:p w14:paraId="00D48BDF" w14:textId="524506E3" w:rsidR="002F53B7" w:rsidRDefault="002F53B7" w:rsidP="00273E37">
      <w:pPr>
        <w:pBdr>
          <w:bottom w:val="single" w:sz="4" w:space="1" w:color="auto"/>
        </w:pBdr>
        <w:shd w:val="clear" w:color="auto" w:fill="FFFFFF"/>
        <w:spacing w:line="480" w:lineRule="auto"/>
        <w:ind w:left="576" w:hanging="576"/>
      </w:pPr>
    </w:p>
    <w:p w14:paraId="1057CC4E" w14:textId="77777777" w:rsidR="004F52A7" w:rsidRDefault="004F52A7" w:rsidP="002F53B7">
      <w:pPr>
        <w:rPr>
          <w:sz w:val="20"/>
        </w:rPr>
        <w:sectPr w:rsidR="004F52A7" w:rsidSect="00273E37">
          <w:footerReference w:type="default" r:id="rId22"/>
          <w:footerReference w:type="first" r:id="rId23"/>
          <w:pgSz w:w="12240" w:h="15840"/>
          <w:pgMar w:top="1440" w:right="1440" w:bottom="1440" w:left="1440" w:header="720" w:footer="720" w:gutter="0"/>
          <w:pgNumType w:start="0"/>
          <w:cols w:space="720"/>
          <w:docGrid w:linePitch="360"/>
        </w:sectPr>
      </w:pPr>
    </w:p>
    <w:tbl>
      <w:tblPr>
        <w:tblW w:w="12727" w:type="dxa"/>
        <w:tblLayout w:type="fixed"/>
        <w:tblCellMar>
          <w:left w:w="0" w:type="dxa"/>
          <w:right w:w="0" w:type="dxa"/>
        </w:tblCellMar>
        <w:tblLook w:val="04A0" w:firstRow="1" w:lastRow="0" w:firstColumn="1" w:lastColumn="0" w:noHBand="0" w:noVBand="1"/>
      </w:tblPr>
      <w:tblGrid>
        <w:gridCol w:w="976"/>
        <w:gridCol w:w="976"/>
        <w:gridCol w:w="104"/>
        <w:gridCol w:w="872"/>
        <w:gridCol w:w="207"/>
        <w:gridCol w:w="769"/>
        <w:gridCol w:w="310"/>
        <w:gridCol w:w="666"/>
        <w:gridCol w:w="250"/>
        <w:gridCol w:w="726"/>
        <w:gridCol w:w="174"/>
        <w:gridCol w:w="802"/>
        <w:gridCol w:w="98"/>
        <w:gridCol w:w="810"/>
        <w:gridCol w:w="68"/>
        <w:gridCol w:w="742"/>
        <w:gridCol w:w="234"/>
        <w:gridCol w:w="1015"/>
        <w:gridCol w:w="11"/>
        <w:gridCol w:w="965"/>
        <w:gridCol w:w="295"/>
        <w:gridCol w:w="681"/>
        <w:gridCol w:w="759"/>
        <w:gridCol w:w="217"/>
      </w:tblGrid>
      <w:tr w:rsidR="002F53B7" w14:paraId="75CA1366" w14:textId="77777777" w:rsidTr="00730CB1">
        <w:trPr>
          <w:gridAfter w:val="1"/>
          <w:wAfter w:w="217" w:type="dxa"/>
          <w:trHeight w:val="290"/>
        </w:trPr>
        <w:tc>
          <w:tcPr>
            <w:tcW w:w="976" w:type="dxa"/>
            <w:tcBorders>
              <w:top w:val="nil"/>
              <w:left w:val="nil"/>
              <w:bottom w:val="nil"/>
              <w:right w:val="nil"/>
            </w:tcBorders>
            <w:shd w:val="clear" w:color="auto" w:fill="auto"/>
            <w:noWrap/>
            <w:vAlign w:val="bottom"/>
            <w:hideMark/>
          </w:tcPr>
          <w:p w14:paraId="25B11CA1" w14:textId="0C220649" w:rsidR="002F53B7" w:rsidRDefault="002F53B7" w:rsidP="002F53B7">
            <w:pPr>
              <w:rPr>
                <w:sz w:val="20"/>
              </w:rPr>
            </w:pPr>
          </w:p>
        </w:tc>
        <w:tc>
          <w:tcPr>
            <w:tcW w:w="1080" w:type="dxa"/>
            <w:gridSpan w:val="2"/>
            <w:tcBorders>
              <w:top w:val="nil"/>
              <w:left w:val="nil"/>
              <w:bottom w:val="nil"/>
              <w:right w:val="nil"/>
            </w:tcBorders>
            <w:shd w:val="clear" w:color="auto" w:fill="auto"/>
            <w:noWrap/>
            <w:vAlign w:val="bottom"/>
            <w:hideMark/>
          </w:tcPr>
          <w:p w14:paraId="16A407E6" w14:textId="77777777" w:rsidR="002F53B7" w:rsidRDefault="002F53B7" w:rsidP="002F53B7">
            <w:pPr>
              <w:rPr>
                <w:sz w:val="20"/>
                <w:szCs w:val="20"/>
              </w:rPr>
            </w:pPr>
          </w:p>
        </w:tc>
        <w:tc>
          <w:tcPr>
            <w:tcW w:w="1079" w:type="dxa"/>
            <w:gridSpan w:val="2"/>
            <w:tcBorders>
              <w:top w:val="nil"/>
              <w:left w:val="nil"/>
              <w:bottom w:val="nil"/>
              <w:right w:val="nil"/>
            </w:tcBorders>
            <w:shd w:val="clear" w:color="auto" w:fill="auto"/>
            <w:noWrap/>
            <w:vAlign w:val="bottom"/>
            <w:hideMark/>
          </w:tcPr>
          <w:p w14:paraId="2DCFB7B8" w14:textId="09BB1025" w:rsidR="002F53B7" w:rsidRDefault="00C7037B" w:rsidP="002F53B7">
            <w:pPr>
              <w:rPr>
                <w:sz w:val="20"/>
                <w:szCs w:val="20"/>
              </w:rPr>
            </w:pPr>
            <w:r>
              <w:rPr>
                <w:sz w:val="20"/>
                <w:szCs w:val="20"/>
              </w:rPr>
              <w:t xml:space="preserve">                     </w:t>
            </w:r>
          </w:p>
        </w:tc>
        <w:tc>
          <w:tcPr>
            <w:tcW w:w="1079" w:type="dxa"/>
            <w:gridSpan w:val="2"/>
            <w:tcBorders>
              <w:top w:val="nil"/>
              <w:left w:val="nil"/>
              <w:bottom w:val="nil"/>
              <w:right w:val="nil"/>
            </w:tcBorders>
            <w:shd w:val="clear" w:color="auto" w:fill="auto"/>
            <w:noWrap/>
            <w:vAlign w:val="bottom"/>
            <w:hideMark/>
          </w:tcPr>
          <w:p w14:paraId="14C7CFAC" w14:textId="77777777" w:rsidR="002F53B7" w:rsidRDefault="002F53B7" w:rsidP="002F53B7">
            <w:pPr>
              <w:rPr>
                <w:sz w:val="20"/>
                <w:szCs w:val="20"/>
              </w:rPr>
            </w:pPr>
          </w:p>
        </w:tc>
        <w:tc>
          <w:tcPr>
            <w:tcW w:w="916" w:type="dxa"/>
            <w:gridSpan w:val="2"/>
            <w:tcBorders>
              <w:top w:val="nil"/>
              <w:left w:val="nil"/>
              <w:bottom w:val="nil"/>
              <w:right w:val="nil"/>
            </w:tcBorders>
            <w:shd w:val="clear" w:color="auto" w:fill="auto"/>
            <w:noWrap/>
            <w:vAlign w:val="bottom"/>
            <w:hideMark/>
          </w:tcPr>
          <w:p w14:paraId="5076AFB2" w14:textId="77777777" w:rsidR="002F53B7" w:rsidRDefault="002F53B7" w:rsidP="002F53B7">
            <w:pPr>
              <w:rPr>
                <w:sz w:val="20"/>
                <w:szCs w:val="20"/>
              </w:rPr>
            </w:pPr>
          </w:p>
        </w:tc>
        <w:tc>
          <w:tcPr>
            <w:tcW w:w="900" w:type="dxa"/>
            <w:gridSpan w:val="2"/>
            <w:tcBorders>
              <w:top w:val="nil"/>
              <w:left w:val="nil"/>
              <w:bottom w:val="nil"/>
              <w:right w:val="nil"/>
            </w:tcBorders>
            <w:shd w:val="clear" w:color="auto" w:fill="auto"/>
            <w:noWrap/>
            <w:vAlign w:val="bottom"/>
            <w:hideMark/>
          </w:tcPr>
          <w:p w14:paraId="743F1651" w14:textId="1731BD91" w:rsidR="002F53B7" w:rsidRDefault="002F53B7" w:rsidP="002F53B7">
            <w:pPr>
              <w:rPr>
                <w:sz w:val="20"/>
                <w:szCs w:val="20"/>
              </w:rPr>
            </w:pPr>
          </w:p>
        </w:tc>
        <w:tc>
          <w:tcPr>
            <w:tcW w:w="900" w:type="dxa"/>
            <w:gridSpan w:val="2"/>
            <w:tcBorders>
              <w:top w:val="nil"/>
              <w:left w:val="nil"/>
              <w:bottom w:val="nil"/>
              <w:right w:val="nil"/>
            </w:tcBorders>
            <w:shd w:val="clear" w:color="auto" w:fill="auto"/>
            <w:noWrap/>
            <w:vAlign w:val="bottom"/>
            <w:hideMark/>
          </w:tcPr>
          <w:p w14:paraId="33481112" w14:textId="77777777" w:rsidR="002F53B7" w:rsidRDefault="002F53B7" w:rsidP="002F53B7">
            <w:pPr>
              <w:rPr>
                <w:sz w:val="20"/>
                <w:szCs w:val="20"/>
              </w:rPr>
            </w:pPr>
          </w:p>
        </w:tc>
        <w:tc>
          <w:tcPr>
            <w:tcW w:w="1620" w:type="dxa"/>
            <w:gridSpan w:val="3"/>
            <w:tcBorders>
              <w:top w:val="nil"/>
              <w:left w:val="nil"/>
              <w:bottom w:val="nil"/>
              <w:right w:val="nil"/>
            </w:tcBorders>
            <w:shd w:val="clear" w:color="auto" w:fill="auto"/>
            <w:noWrap/>
            <w:vAlign w:val="bottom"/>
            <w:hideMark/>
          </w:tcPr>
          <w:p w14:paraId="44D5D4D2" w14:textId="77777777" w:rsidR="00C7037B" w:rsidRDefault="002F53B7" w:rsidP="00C7037B">
            <w:pPr>
              <w:rPr>
                <w:rFonts w:ascii="Calibri" w:hAnsi="Calibri" w:cs="Calibri"/>
                <w:color w:val="000000"/>
                <w:sz w:val="22"/>
              </w:rPr>
            </w:pPr>
            <w:r>
              <w:rPr>
                <w:rFonts w:ascii="Calibri" w:hAnsi="Calibri" w:cs="Calibri"/>
                <w:color w:val="000000"/>
                <w:sz w:val="22"/>
              </w:rPr>
              <w:t>Table 1</w:t>
            </w:r>
          </w:p>
          <w:p w14:paraId="6EC3ABE3" w14:textId="766A796D" w:rsidR="002F53B7" w:rsidRDefault="002F53B7" w:rsidP="002F53B7">
            <w:pPr>
              <w:jc w:val="center"/>
              <w:rPr>
                <w:rFonts w:ascii="Calibri" w:hAnsi="Calibri" w:cs="Calibri"/>
                <w:color w:val="000000"/>
                <w:sz w:val="22"/>
              </w:rPr>
            </w:pPr>
          </w:p>
        </w:tc>
        <w:tc>
          <w:tcPr>
            <w:tcW w:w="1260" w:type="dxa"/>
            <w:gridSpan w:val="3"/>
            <w:tcBorders>
              <w:top w:val="nil"/>
              <w:left w:val="nil"/>
              <w:bottom w:val="nil"/>
              <w:right w:val="nil"/>
            </w:tcBorders>
            <w:shd w:val="clear" w:color="auto" w:fill="auto"/>
            <w:noWrap/>
            <w:vAlign w:val="bottom"/>
            <w:hideMark/>
          </w:tcPr>
          <w:p w14:paraId="63A62730" w14:textId="77777777" w:rsidR="002F53B7" w:rsidRDefault="002F53B7" w:rsidP="002F53B7">
            <w:pPr>
              <w:jc w:val="center"/>
              <w:rPr>
                <w:rFonts w:ascii="Calibri" w:hAnsi="Calibri" w:cs="Calibri"/>
                <w:color w:val="000000"/>
                <w:sz w:val="22"/>
              </w:rPr>
            </w:pPr>
          </w:p>
        </w:tc>
        <w:tc>
          <w:tcPr>
            <w:tcW w:w="1260" w:type="dxa"/>
            <w:gridSpan w:val="2"/>
            <w:tcBorders>
              <w:top w:val="nil"/>
              <w:left w:val="nil"/>
              <w:bottom w:val="nil"/>
              <w:right w:val="nil"/>
            </w:tcBorders>
            <w:shd w:val="clear" w:color="auto" w:fill="auto"/>
            <w:noWrap/>
            <w:vAlign w:val="bottom"/>
            <w:hideMark/>
          </w:tcPr>
          <w:p w14:paraId="783A42DD" w14:textId="77777777" w:rsidR="002F53B7" w:rsidRDefault="002F53B7" w:rsidP="002F53B7">
            <w:pPr>
              <w:rPr>
                <w:sz w:val="20"/>
                <w:szCs w:val="20"/>
              </w:rPr>
            </w:pPr>
          </w:p>
        </w:tc>
        <w:tc>
          <w:tcPr>
            <w:tcW w:w="1440" w:type="dxa"/>
            <w:gridSpan w:val="2"/>
            <w:tcBorders>
              <w:top w:val="nil"/>
              <w:left w:val="nil"/>
              <w:bottom w:val="nil"/>
              <w:right w:val="nil"/>
            </w:tcBorders>
            <w:shd w:val="clear" w:color="auto" w:fill="auto"/>
            <w:noWrap/>
            <w:vAlign w:val="bottom"/>
            <w:hideMark/>
          </w:tcPr>
          <w:p w14:paraId="6E23FDBC" w14:textId="77777777" w:rsidR="002F53B7" w:rsidRDefault="002F53B7" w:rsidP="002F53B7">
            <w:pPr>
              <w:rPr>
                <w:sz w:val="20"/>
                <w:szCs w:val="20"/>
              </w:rPr>
            </w:pPr>
          </w:p>
        </w:tc>
      </w:tr>
      <w:tr w:rsidR="002F53B7" w14:paraId="27034367" w14:textId="77777777" w:rsidTr="00730CB1">
        <w:trPr>
          <w:gridAfter w:val="1"/>
          <w:wAfter w:w="217" w:type="dxa"/>
          <w:trHeight w:val="290"/>
        </w:trPr>
        <w:tc>
          <w:tcPr>
            <w:tcW w:w="976" w:type="dxa"/>
            <w:tcBorders>
              <w:top w:val="nil"/>
              <w:left w:val="nil"/>
              <w:bottom w:val="nil"/>
              <w:right w:val="nil"/>
            </w:tcBorders>
            <w:shd w:val="clear" w:color="auto" w:fill="auto"/>
            <w:noWrap/>
            <w:vAlign w:val="bottom"/>
            <w:hideMark/>
          </w:tcPr>
          <w:p w14:paraId="645724DE" w14:textId="77777777" w:rsidR="002F53B7" w:rsidRDefault="002F53B7" w:rsidP="002F53B7">
            <w:pPr>
              <w:rPr>
                <w:sz w:val="20"/>
                <w:szCs w:val="20"/>
              </w:rPr>
            </w:pPr>
          </w:p>
        </w:tc>
        <w:tc>
          <w:tcPr>
            <w:tcW w:w="1080" w:type="dxa"/>
            <w:gridSpan w:val="2"/>
            <w:tcBorders>
              <w:top w:val="nil"/>
              <w:left w:val="nil"/>
              <w:bottom w:val="nil"/>
              <w:right w:val="nil"/>
            </w:tcBorders>
            <w:shd w:val="clear" w:color="auto" w:fill="auto"/>
            <w:noWrap/>
            <w:vAlign w:val="bottom"/>
            <w:hideMark/>
          </w:tcPr>
          <w:p w14:paraId="7E2E3961" w14:textId="77777777" w:rsidR="002F53B7" w:rsidRDefault="002F53B7" w:rsidP="002F53B7">
            <w:pPr>
              <w:rPr>
                <w:sz w:val="20"/>
                <w:szCs w:val="20"/>
              </w:rPr>
            </w:pPr>
          </w:p>
        </w:tc>
        <w:tc>
          <w:tcPr>
            <w:tcW w:w="1079" w:type="dxa"/>
            <w:gridSpan w:val="2"/>
            <w:tcBorders>
              <w:top w:val="nil"/>
              <w:left w:val="nil"/>
              <w:bottom w:val="nil"/>
              <w:right w:val="nil"/>
            </w:tcBorders>
            <w:shd w:val="clear" w:color="auto" w:fill="auto"/>
            <w:noWrap/>
            <w:vAlign w:val="bottom"/>
            <w:hideMark/>
          </w:tcPr>
          <w:p w14:paraId="4E5C2B2F" w14:textId="77777777" w:rsidR="002F53B7" w:rsidRDefault="002F53B7" w:rsidP="002F53B7">
            <w:pPr>
              <w:rPr>
                <w:sz w:val="20"/>
                <w:szCs w:val="20"/>
              </w:rPr>
            </w:pPr>
          </w:p>
        </w:tc>
        <w:tc>
          <w:tcPr>
            <w:tcW w:w="1079" w:type="dxa"/>
            <w:gridSpan w:val="2"/>
            <w:tcBorders>
              <w:top w:val="nil"/>
              <w:left w:val="nil"/>
              <w:bottom w:val="nil"/>
              <w:right w:val="nil"/>
            </w:tcBorders>
            <w:shd w:val="clear" w:color="auto" w:fill="auto"/>
            <w:noWrap/>
            <w:vAlign w:val="bottom"/>
            <w:hideMark/>
          </w:tcPr>
          <w:p w14:paraId="40F1881C" w14:textId="77777777" w:rsidR="002F53B7" w:rsidRDefault="002F53B7" w:rsidP="002F53B7">
            <w:pPr>
              <w:rPr>
                <w:sz w:val="20"/>
                <w:szCs w:val="20"/>
              </w:rPr>
            </w:pPr>
          </w:p>
        </w:tc>
        <w:tc>
          <w:tcPr>
            <w:tcW w:w="916" w:type="dxa"/>
            <w:gridSpan w:val="2"/>
            <w:tcBorders>
              <w:top w:val="nil"/>
              <w:left w:val="nil"/>
              <w:bottom w:val="nil"/>
              <w:right w:val="nil"/>
            </w:tcBorders>
            <w:shd w:val="clear" w:color="auto" w:fill="auto"/>
            <w:noWrap/>
            <w:vAlign w:val="bottom"/>
            <w:hideMark/>
          </w:tcPr>
          <w:p w14:paraId="0CFF7271" w14:textId="77777777" w:rsidR="002F53B7" w:rsidRDefault="002F53B7" w:rsidP="002F53B7">
            <w:pPr>
              <w:rPr>
                <w:sz w:val="20"/>
                <w:szCs w:val="20"/>
              </w:rPr>
            </w:pPr>
          </w:p>
        </w:tc>
        <w:tc>
          <w:tcPr>
            <w:tcW w:w="5940" w:type="dxa"/>
            <w:gridSpan w:val="12"/>
            <w:tcBorders>
              <w:top w:val="nil"/>
              <w:left w:val="nil"/>
              <w:bottom w:val="nil"/>
              <w:right w:val="nil"/>
            </w:tcBorders>
            <w:shd w:val="clear" w:color="auto" w:fill="auto"/>
            <w:noWrap/>
            <w:vAlign w:val="bottom"/>
            <w:hideMark/>
          </w:tcPr>
          <w:p w14:paraId="3ED60B7A" w14:textId="77777777" w:rsidR="002F53B7" w:rsidRDefault="002F53B7" w:rsidP="002F53B7">
            <w:pPr>
              <w:rPr>
                <w:rFonts w:ascii="Calibri" w:hAnsi="Calibri" w:cs="Calibri"/>
                <w:color w:val="000000"/>
                <w:sz w:val="22"/>
              </w:rPr>
            </w:pPr>
            <w:r>
              <w:rPr>
                <w:rFonts w:ascii="Calibri" w:hAnsi="Calibri" w:cs="Calibri"/>
                <w:color w:val="000000"/>
                <w:sz w:val="22"/>
              </w:rPr>
              <w:t>Manufacturing Productivity Growth: 1929-41; 1941-48</w:t>
            </w:r>
          </w:p>
        </w:tc>
        <w:tc>
          <w:tcPr>
            <w:tcW w:w="1440" w:type="dxa"/>
            <w:gridSpan w:val="2"/>
            <w:tcBorders>
              <w:top w:val="nil"/>
              <w:left w:val="nil"/>
              <w:bottom w:val="nil"/>
              <w:right w:val="nil"/>
            </w:tcBorders>
            <w:shd w:val="clear" w:color="auto" w:fill="auto"/>
            <w:noWrap/>
            <w:vAlign w:val="bottom"/>
            <w:hideMark/>
          </w:tcPr>
          <w:p w14:paraId="34832A87" w14:textId="77777777" w:rsidR="002F53B7" w:rsidRDefault="002F53B7" w:rsidP="002F53B7">
            <w:pPr>
              <w:rPr>
                <w:rFonts w:ascii="Calibri" w:hAnsi="Calibri" w:cs="Calibri"/>
                <w:color w:val="000000"/>
                <w:sz w:val="22"/>
              </w:rPr>
            </w:pPr>
          </w:p>
        </w:tc>
      </w:tr>
      <w:tr w:rsidR="002F53B7" w14:paraId="2E9224CA" w14:textId="77777777" w:rsidTr="00730CB1">
        <w:trPr>
          <w:gridAfter w:val="1"/>
          <w:wAfter w:w="217" w:type="dxa"/>
          <w:trHeight w:val="290"/>
        </w:trPr>
        <w:tc>
          <w:tcPr>
            <w:tcW w:w="976" w:type="dxa"/>
            <w:tcBorders>
              <w:top w:val="nil"/>
              <w:left w:val="nil"/>
              <w:bottom w:val="nil"/>
              <w:right w:val="nil"/>
            </w:tcBorders>
            <w:shd w:val="clear" w:color="auto" w:fill="auto"/>
            <w:noWrap/>
            <w:vAlign w:val="bottom"/>
            <w:hideMark/>
          </w:tcPr>
          <w:p w14:paraId="433D8F66" w14:textId="77777777" w:rsidR="002F53B7" w:rsidRDefault="002F53B7" w:rsidP="002F53B7">
            <w:pPr>
              <w:rPr>
                <w:sz w:val="20"/>
                <w:szCs w:val="20"/>
              </w:rPr>
            </w:pPr>
          </w:p>
        </w:tc>
        <w:tc>
          <w:tcPr>
            <w:tcW w:w="1080" w:type="dxa"/>
            <w:gridSpan w:val="2"/>
            <w:tcBorders>
              <w:top w:val="nil"/>
              <w:left w:val="nil"/>
              <w:bottom w:val="nil"/>
              <w:right w:val="nil"/>
            </w:tcBorders>
            <w:shd w:val="clear" w:color="auto" w:fill="auto"/>
            <w:noWrap/>
            <w:vAlign w:val="bottom"/>
            <w:hideMark/>
          </w:tcPr>
          <w:p w14:paraId="2BB312C0" w14:textId="77777777" w:rsidR="002F53B7" w:rsidRDefault="002F53B7" w:rsidP="002F53B7">
            <w:pPr>
              <w:rPr>
                <w:sz w:val="20"/>
                <w:szCs w:val="20"/>
              </w:rPr>
            </w:pPr>
          </w:p>
        </w:tc>
        <w:tc>
          <w:tcPr>
            <w:tcW w:w="1079" w:type="dxa"/>
            <w:gridSpan w:val="2"/>
            <w:tcBorders>
              <w:top w:val="nil"/>
              <w:left w:val="nil"/>
              <w:bottom w:val="nil"/>
              <w:right w:val="nil"/>
            </w:tcBorders>
            <w:shd w:val="clear" w:color="auto" w:fill="auto"/>
            <w:noWrap/>
            <w:vAlign w:val="bottom"/>
            <w:hideMark/>
          </w:tcPr>
          <w:p w14:paraId="0FE3094C" w14:textId="77777777" w:rsidR="002F53B7" w:rsidRDefault="002F53B7" w:rsidP="002F53B7">
            <w:pPr>
              <w:rPr>
                <w:sz w:val="20"/>
                <w:szCs w:val="20"/>
              </w:rPr>
            </w:pPr>
          </w:p>
        </w:tc>
        <w:tc>
          <w:tcPr>
            <w:tcW w:w="1079" w:type="dxa"/>
            <w:gridSpan w:val="2"/>
            <w:tcBorders>
              <w:top w:val="nil"/>
              <w:left w:val="nil"/>
              <w:bottom w:val="nil"/>
              <w:right w:val="nil"/>
            </w:tcBorders>
            <w:shd w:val="clear" w:color="auto" w:fill="auto"/>
            <w:noWrap/>
            <w:vAlign w:val="bottom"/>
            <w:hideMark/>
          </w:tcPr>
          <w:p w14:paraId="13E86F45" w14:textId="77777777" w:rsidR="002F53B7" w:rsidRDefault="002F53B7" w:rsidP="002F53B7">
            <w:pPr>
              <w:rPr>
                <w:sz w:val="20"/>
                <w:szCs w:val="20"/>
              </w:rPr>
            </w:pPr>
          </w:p>
        </w:tc>
        <w:tc>
          <w:tcPr>
            <w:tcW w:w="916" w:type="dxa"/>
            <w:gridSpan w:val="2"/>
            <w:tcBorders>
              <w:top w:val="nil"/>
              <w:left w:val="nil"/>
              <w:bottom w:val="nil"/>
              <w:right w:val="nil"/>
            </w:tcBorders>
            <w:shd w:val="clear" w:color="auto" w:fill="auto"/>
            <w:noWrap/>
            <w:vAlign w:val="bottom"/>
            <w:hideMark/>
          </w:tcPr>
          <w:p w14:paraId="5701688E" w14:textId="77777777" w:rsidR="002F53B7" w:rsidRDefault="002F53B7" w:rsidP="002F53B7">
            <w:pPr>
              <w:rPr>
                <w:sz w:val="20"/>
                <w:szCs w:val="20"/>
              </w:rPr>
            </w:pPr>
          </w:p>
        </w:tc>
        <w:tc>
          <w:tcPr>
            <w:tcW w:w="900" w:type="dxa"/>
            <w:gridSpan w:val="2"/>
            <w:tcBorders>
              <w:top w:val="nil"/>
              <w:left w:val="nil"/>
              <w:bottom w:val="nil"/>
              <w:right w:val="nil"/>
            </w:tcBorders>
            <w:shd w:val="clear" w:color="auto" w:fill="auto"/>
            <w:noWrap/>
            <w:vAlign w:val="bottom"/>
            <w:hideMark/>
          </w:tcPr>
          <w:p w14:paraId="6C14FC28" w14:textId="77777777" w:rsidR="002F53B7" w:rsidRDefault="002F53B7" w:rsidP="002F53B7">
            <w:pPr>
              <w:rPr>
                <w:sz w:val="20"/>
                <w:szCs w:val="20"/>
              </w:rPr>
            </w:pPr>
          </w:p>
        </w:tc>
        <w:tc>
          <w:tcPr>
            <w:tcW w:w="900" w:type="dxa"/>
            <w:gridSpan w:val="2"/>
            <w:tcBorders>
              <w:top w:val="nil"/>
              <w:left w:val="nil"/>
              <w:bottom w:val="nil"/>
              <w:right w:val="nil"/>
            </w:tcBorders>
            <w:shd w:val="clear" w:color="auto" w:fill="auto"/>
            <w:noWrap/>
            <w:vAlign w:val="bottom"/>
            <w:hideMark/>
          </w:tcPr>
          <w:p w14:paraId="7C1A6BEF" w14:textId="77777777" w:rsidR="002F53B7" w:rsidRDefault="002F53B7" w:rsidP="002F53B7">
            <w:pPr>
              <w:rPr>
                <w:sz w:val="20"/>
                <w:szCs w:val="20"/>
              </w:rPr>
            </w:pPr>
          </w:p>
        </w:tc>
        <w:tc>
          <w:tcPr>
            <w:tcW w:w="810" w:type="dxa"/>
            <w:tcBorders>
              <w:top w:val="nil"/>
              <w:left w:val="nil"/>
              <w:bottom w:val="nil"/>
              <w:right w:val="nil"/>
            </w:tcBorders>
            <w:shd w:val="clear" w:color="auto" w:fill="auto"/>
            <w:noWrap/>
            <w:vAlign w:val="bottom"/>
            <w:hideMark/>
          </w:tcPr>
          <w:p w14:paraId="1CABB520" w14:textId="77777777" w:rsidR="002F53B7" w:rsidRDefault="002F53B7" w:rsidP="002F53B7">
            <w:pPr>
              <w:rPr>
                <w:sz w:val="20"/>
                <w:szCs w:val="20"/>
              </w:rPr>
            </w:pPr>
          </w:p>
        </w:tc>
        <w:tc>
          <w:tcPr>
            <w:tcW w:w="810" w:type="dxa"/>
            <w:gridSpan w:val="2"/>
            <w:tcBorders>
              <w:top w:val="nil"/>
              <w:left w:val="nil"/>
              <w:bottom w:val="nil"/>
              <w:right w:val="nil"/>
            </w:tcBorders>
            <w:shd w:val="clear" w:color="auto" w:fill="auto"/>
            <w:noWrap/>
            <w:vAlign w:val="bottom"/>
            <w:hideMark/>
          </w:tcPr>
          <w:p w14:paraId="02504580" w14:textId="77777777" w:rsidR="002F53B7" w:rsidRDefault="002F53B7" w:rsidP="002F53B7">
            <w:pPr>
              <w:rPr>
                <w:sz w:val="20"/>
                <w:szCs w:val="20"/>
              </w:rPr>
            </w:pPr>
          </w:p>
        </w:tc>
        <w:tc>
          <w:tcPr>
            <w:tcW w:w="1260" w:type="dxa"/>
            <w:gridSpan w:val="3"/>
            <w:tcBorders>
              <w:top w:val="nil"/>
              <w:left w:val="nil"/>
              <w:bottom w:val="nil"/>
              <w:right w:val="nil"/>
            </w:tcBorders>
            <w:shd w:val="clear" w:color="auto" w:fill="auto"/>
            <w:noWrap/>
            <w:vAlign w:val="bottom"/>
            <w:hideMark/>
          </w:tcPr>
          <w:p w14:paraId="5C86EDCE" w14:textId="77777777" w:rsidR="002F53B7" w:rsidRDefault="002F53B7" w:rsidP="002F53B7">
            <w:pPr>
              <w:rPr>
                <w:sz w:val="20"/>
                <w:szCs w:val="20"/>
              </w:rPr>
            </w:pPr>
          </w:p>
        </w:tc>
        <w:tc>
          <w:tcPr>
            <w:tcW w:w="1260" w:type="dxa"/>
            <w:gridSpan w:val="2"/>
            <w:tcBorders>
              <w:top w:val="nil"/>
              <w:left w:val="nil"/>
              <w:bottom w:val="nil"/>
              <w:right w:val="nil"/>
            </w:tcBorders>
            <w:shd w:val="clear" w:color="auto" w:fill="auto"/>
            <w:noWrap/>
            <w:vAlign w:val="bottom"/>
            <w:hideMark/>
          </w:tcPr>
          <w:p w14:paraId="3F5DDB6B" w14:textId="77777777" w:rsidR="002F53B7" w:rsidRDefault="002F53B7" w:rsidP="002F53B7">
            <w:pPr>
              <w:rPr>
                <w:sz w:val="20"/>
                <w:szCs w:val="20"/>
              </w:rPr>
            </w:pPr>
          </w:p>
        </w:tc>
        <w:tc>
          <w:tcPr>
            <w:tcW w:w="1440" w:type="dxa"/>
            <w:gridSpan w:val="2"/>
            <w:tcBorders>
              <w:top w:val="nil"/>
              <w:left w:val="nil"/>
              <w:bottom w:val="nil"/>
              <w:right w:val="nil"/>
            </w:tcBorders>
            <w:shd w:val="clear" w:color="auto" w:fill="auto"/>
            <w:noWrap/>
            <w:vAlign w:val="bottom"/>
            <w:hideMark/>
          </w:tcPr>
          <w:p w14:paraId="0EB771B7" w14:textId="77777777" w:rsidR="002F53B7" w:rsidRDefault="002F53B7" w:rsidP="002F53B7">
            <w:pPr>
              <w:rPr>
                <w:sz w:val="20"/>
                <w:szCs w:val="20"/>
              </w:rPr>
            </w:pPr>
          </w:p>
        </w:tc>
      </w:tr>
      <w:tr w:rsidR="002F53B7" w14:paraId="7904DDD9" w14:textId="77777777" w:rsidTr="00730CB1">
        <w:trPr>
          <w:gridAfter w:val="1"/>
          <w:wAfter w:w="217" w:type="dxa"/>
          <w:trHeight w:val="252"/>
        </w:trPr>
        <w:tc>
          <w:tcPr>
            <w:tcW w:w="976" w:type="dxa"/>
            <w:tcBorders>
              <w:top w:val="nil"/>
              <w:left w:val="nil"/>
              <w:bottom w:val="nil"/>
              <w:right w:val="nil"/>
            </w:tcBorders>
            <w:shd w:val="clear" w:color="auto" w:fill="auto"/>
            <w:noWrap/>
            <w:vAlign w:val="bottom"/>
            <w:hideMark/>
          </w:tcPr>
          <w:p w14:paraId="379A32C6" w14:textId="77777777" w:rsidR="002F53B7" w:rsidRDefault="002F53B7" w:rsidP="002F53B7">
            <w:pPr>
              <w:rPr>
                <w:sz w:val="20"/>
                <w:szCs w:val="20"/>
              </w:rPr>
            </w:pPr>
          </w:p>
        </w:tc>
        <w:tc>
          <w:tcPr>
            <w:tcW w:w="1080" w:type="dxa"/>
            <w:gridSpan w:val="2"/>
            <w:tcBorders>
              <w:top w:val="nil"/>
              <w:left w:val="nil"/>
              <w:bottom w:val="nil"/>
              <w:right w:val="nil"/>
            </w:tcBorders>
            <w:shd w:val="clear" w:color="auto" w:fill="auto"/>
            <w:noWrap/>
            <w:vAlign w:val="bottom"/>
            <w:hideMark/>
          </w:tcPr>
          <w:p w14:paraId="319AA428" w14:textId="77777777" w:rsidR="002F53B7" w:rsidRDefault="002F53B7" w:rsidP="002F53B7">
            <w:pPr>
              <w:rPr>
                <w:sz w:val="20"/>
                <w:szCs w:val="20"/>
              </w:rPr>
            </w:pPr>
          </w:p>
        </w:tc>
        <w:tc>
          <w:tcPr>
            <w:tcW w:w="1079" w:type="dxa"/>
            <w:gridSpan w:val="2"/>
            <w:tcBorders>
              <w:top w:val="nil"/>
              <w:left w:val="nil"/>
              <w:bottom w:val="nil"/>
              <w:right w:val="nil"/>
            </w:tcBorders>
            <w:shd w:val="clear" w:color="auto" w:fill="auto"/>
            <w:noWrap/>
            <w:vAlign w:val="bottom"/>
            <w:hideMark/>
          </w:tcPr>
          <w:p w14:paraId="14985E49" w14:textId="77777777" w:rsidR="002F53B7" w:rsidRDefault="002F53B7" w:rsidP="002F53B7">
            <w:pPr>
              <w:rPr>
                <w:rFonts w:ascii="Calibri" w:hAnsi="Calibri" w:cs="Calibri"/>
                <w:color w:val="000000"/>
                <w:sz w:val="22"/>
              </w:rPr>
            </w:pPr>
            <w:r>
              <w:rPr>
                <w:rFonts w:ascii="Calibri" w:hAnsi="Calibri" w:cs="Calibri"/>
                <w:color w:val="000000"/>
                <w:sz w:val="22"/>
              </w:rPr>
              <w:t>Nominal</w:t>
            </w:r>
          </w:p>
        </w:tc>
        <w:tc>
          <w:tcPr>
            <w:tcW w:w="1079" w:type="dxa"/>
            <w:gridSpan w:val="2"/>
            <w:tcBorders>
              <w:top w:val="nil"/>
              <w:left w:val="nil"/>
              <w:bottom w:val="nil"/>
              <w:right w:val="nil"/>
            </w:tcBorders>
            <w:shd w:val="clear" w:color="auto" w:fill="auto"/>
            <w:noWrap/>
            <w:vAlign w:val="bottom"/>
            <w:hideMark/>
          </w:tcPr>
          <w:p w14:paraId="3465E27F" w14:textId="77777777" w:rsidR="002F53B7" w:rsidRDefault="002F53B7" w:rsidP="002F53B7">
            <w:pPr>
              <w:rPr>
                <w:rFonts w:ascii="Calibri" w:hAnsi="Calibri" w:cs="Calibri"/>
                <w:color w:val="000000"/>
                <w:sz w:val="22"/>
              </w:rPr>
            </w:pPr>
            <w:r>
              <w:rPr>
                <w:rFonts w:ascii="Calibri" w:hAnsi="Calibri" w:cs="Calibri"/>
                <w:color w:val="000000"/>
                <w:sz w:val="22"/>
              </w:rPr>
              <w:t>Nominal</w:t>
            </w:r>
          </w:p>
        </w:tc>
        <w:tc>
          <w:tcPr>
            <w:tcW w:w="916" w:type="dxa"/>
            <w:gridSpan w:val="2"/>
            <w:tcBorders>
              <w:top w:val="nil"/>
              <w:left w:val="nil"/>
              <w:bottom w:val="nil"/>
              <w:right w:val="nil"/>
            </w:tcBorders>
            <w:shd w:val="clear" w:color="auto" w:fill="auto"/>
            <w:noWrap/>
            <w:vAlign w:val="bottom"/>
            <w:hideMark/>
          </w:tcPr>
          <w:p w14:paraId="43AF0305" w14:textId="445D6D52" w:rsidR="002F53B7" w:rsidRDefault="002F53B7" w:rsidP="002F53B7">
            <w:pPr>
              <w:jc w:val="center"/>
              <w:rPr>
                <w:rFonts w:ascii="Calibri" w:hAnsi="Calibri" w:cs="Calibri"/>
                <w:color w:val="000000"/>
                <w:sz w:val="22"/>
              </w:rPr>
            </w:pPr>
            <w:r>
              <w:rPr>
                <w:rFonts w:ascii="Calibri" w:hAnsi="Calibri" w:cs="Calibri"/>
                <w:color w:val="000000"/>
                <w:sz w:val="22"/>
              </w:rPr>
              <w:t>Deflator</w:t>
            </w:r>
            <w:r w:rsidR="002F7D56">
              <w:rPr>
                <w:rFonts w:ascii="Calibri" w:hAnsi="Calibri" w:cs="Calibri"/>
                <w:color w:val="000000"/>
                <w:sz w:val="22"/>
              </w:rPr>
              <w:t xml:space="preserve">  - </w:t>
            </w:r>
          </w:p>
        </w:tc>
        <w:tc>
          <w:tcPr>
            <w:tcW w:w="900" w:type="dxa"/>
            <w:gridSpan w:val="2"/>
            <w:tcBorders>
              <w:top w:val="nil"/>
              <w:left w:val="nil"/>
              <w:bottom w:val="nil"/>
              <w:right w:val="nil"/>
            </w:tcBorders>
            <w:shd w:val="clear" w:color="auto" w:fill="auto"/>
            <w:noWrap/>
            <w:vAlign w:val="bottom"/>
            <w:hideMark/>
          </w:tcPr>
          <w:p w14:paraId="2C13AB56" w14:textId="6E557C24" w:rsidR="002F53B7" w:rsidRDefault="002F7D56" w:rsidP="002F53B7">
            <w:pPr>
              <w:jc w:val="center"/>
              <w:rPr>
                <w:rFonts w:ascii="Calibri" w:hAnsi="Calibri" w:cs="Calibri"/>
                <w:color w:val="000000"/>
                <w:sz w:val="22"/>
              </w:rPr>
            </w:pPr>
            <w:r>
              <w:rPr>
                <w:rFonts w:ascii="Calibri" w:hAnsi="Calibri" w:cs="Calibri"/>
                <w:color w:val="000000"/>
                <w:sz w:val="22"/>
              </w:rPr>
              <w:t>1958=100</w:t>
            </w:r>
          </w:p>
        </w:tc>
        <w:tc>
          <w:tcPr>
            <w:tcW w:w="900" w:type="dxa"/>
            <w:gridSpan w:val="2"/>
            <w:tcBorders>
              <w:top w:val="nil"/>
              <w:left w:val="nil"/>
              <w:bottom w:val="nil"/>
              <w:right w:val="nil"/>
            </w:tcBorders>
            <w:shd w:val="clear" w:color="auto" w:fill="auto"/>
            <w:noWrap/>
            <w:vAlign w:val="bottom"/>
            <w:hideMark/>
          </w:tcPr>
          <w:p w14:paraId="09A0D7E4" w14:textId="77777777" w:rsidR="002F53B7" w:rsidRDefault="002F53B7" w:rsidP="002F53B7">
            <w:pPr>
              <w:jc w:val="center"/>
              <w:rPr>
                <w:rFonts w:ascii="Calibri" w:hAnsi="Calibri" w:cs="Calibri"/>
                <w:color w:val="000000"/>
                <w:sz w:val="22"/>
              </w:rPr>
            </w:pPr>
            <w:r>
              <w:rPr>
                <w:rFonts w:ascii="Calibri" w:hAnsi="Calibri" w:cs="Calibri"/>
                <w:color w:val="000000"/>
                <w:sz w:val="22"/>
              </w:rPr>
              <w:t xml:space="preserve">Real </w:t>
            </w:r>
          </w:p>
        </w:tc>
        <w:tc>
          <w:tcPr>
            <w:tcW w:w="810" w:type="dxa"/>
            <w:tcBorders>
              <w:top w:val="nil"/>
              <w:left w:val="nil"/>
              <w:bottom w:val="nil"/>
              <w:right w:val="nil"/>
            </w:tcBorders>
            <w:shd w:val="clear" w:color="auto" w:fill="auto"/>
            <w:noWrap/>
            <w:vAlign w:val="bottom"/>
            <w:hideMark/>
          </w:tcPr>
          <w:p w14:paraId="7A86EA8A" w14:textId="77777777" w:rsidR="002F53B7" w:rsidRDefault="002F53B7" w:rsidP="002F53B7">
            <w:pPr>
              <w:jc w:val="center"/>
              <w:rPr>
                <w:rFonts w:ascii="Calibri" w:hAnsi="Calibri" w:cs="Calibri"/>
                <w:color w:val="000000"/>
                <w:sz w:val="22"/>
              </w:rPr>
            </w:pPr>
          </w:p>
        </w:tc>
        <w:tc>
          <w:tcPr>
            <w:tcW w:w="810" w:type="dxa"/>
            <w:gridSpan w:val="2"/>
            <w:tcBorders>
              <w:top w:val="nil"/>
              <w:left w:val="nil"/>
              <w:bottom w:val="nil"/>
              <w:right w:val="nil"/>
            </w:tcBorders>
            <w:shd w:val="clear" w:color="auto" w:fill="auto"/>
            <w:noWrap/>
            <w:vAlign w:val="bottom"/>
            <w:hideMark/>
          </w:tcPr>
          <w:p w14:paraId="24E0B07D" w14:textId="77777777" w:rsidR="002F53B7" w:rsidRDefault="002F53B7" w:rsidP="002F53B7">
            <w:pPr>
              <w:jc w:val="center"/>
              <w:rPr>
                <w:rFonts w:ascii="Calibri" w:hAnsi="Calibri" w:cs="Calibri"/>
                <w:color w:val="000000"/>
                <w:sz w:val="22"/>
              </w:rPr>
            </w:pPr>
            <w:r>
              <w:rPr>
                <w:rFonts w:ascii="Calibri" w:hAnsi="Calibri" w:cs="Calibri"/>
                <w:color w:val="000000"/>
                <w:sz w:val="22"/>
              </w:rPr>
              <w:t xml:space="preserve">Adjusted </w:t>
            </w:r>
          </w:p>
        </w:tc>
        <w:tc>
          <w:tcPr>
            <w:tcW w:w="1260" w:type="dxa"/>
            <w:gridSpan w:val="3"/>
            <w:tcBorders>
              <w:top w:val="nil"/>
              <w:left w:val="nil"/>
              <w:bottom w:val="nil"/>
              <w:right w:val="nil"/>
            </w:tcBorders>
            <w:shd w:val="clear" w:color="auto" w:fill="auto"/>
            <w:noWrap/>
            <w:vAlign w:val="bottom"/>
            <w:hideMark/>
          </w:tcPr>
          <w:p w14:paraId="5ADF64BB" w14:textId="77777777" w:rsidR="002F53B7" w:rsidRDefault="002F53B7" w:rsidP="002F53B7">
            <w:pPr>
              <w:jc w:val="center"/>
              <w:rPr>
                <w:rFonts w:ascii="Calibri" w:hAnsi="Calibri" w:cs="Calibri"/>
                <w:color w:val="000000"/>
                <w:sz w:val="22"/>
              </w:rPr>
            </w:pPr>
            <w:r>
              <w:rPr>
                <w:rFonts w:ascii="Calibri" w:hAnsi="Calibri" w:cs="Calibri"/>
                <w:color w:val="000000"/>
                <w:sz w:val="22"/>
              </w:rPr>
              <w:t>Manu</w:t>
            </w:r>
          </w:p>
        </w:tc>
        <w:tc>
          <w:tcPr>
            <w:tcW w:w="1260" w:type="dxa"/>
            <w:gridSpan w:val="2"/>
            <w:tcBorders>
              <w:top w:val="nil"/>
              <w:left w:val="nil"/>
              <w:bottom w:val="nil"/>
              <w:right w:val="nil"/>
            </w:tcBorders>
            <w:shd w:val="clear" w:color="auto" w:fill="auto"/>
            <w:noWrap/>
            <w:vAlign w:val="bottom"/>
            <w:hideMark/>
          </w:tcPr>
          <w:p w14:paraId="4728320D" w14:textId="77777777" w:rsidR="002F53B7" w:rsidRDefault="002F53B7" w:rsidP="002F53B7">
            <w:pPr>
              <w:jc w:val="center"/>
              <w:rPr>
                <w:rFonts w:ascii="Calibri" w:hAnsi="Calibri" w:cs="Calibri"/>
                <w:color w:val="000000"/>
                <w:sz w:val="22"/>
              </w:rPr>
            </w:pPr>
            <w:r>
              <w:rPr>
                <w:rFonts w:ascii="Calibri" w:hAnsi="Calibri" w:cs="Calibri"/>
                <w:color w:val="000000"/>
                <w:sz w:val="22"/>
              </w:rPr>
              <w:t>Labor</w:t>
            </w:r>
          </w:p>
        </w:tc>
        <w:tc>
          <w:tcPr>
            <w:tcW w:w="1440" w:type="dxa"/>
            <w:gridSpan w:val="2"/>
            <w:tcBorders>
              <w:top w:val="nil"/>
              <w:left w:val="nil"/>
              <w:bottom w:val="nil"/>
              <w:right w:val="nil"/>
            </w:tcBorders>
            <w:shd w:val="clear" w:color="auto" w:fill="auto"/>
            <w:noWrap/>
            <w:vAlign w:val="bottom"/>
            <w:hideMark/>
          </w:tcPr>
          <w:p w14:paraId="6C14E793" w14:textId="77777777" w:rsidR="002F53B7" w:rsidRDefault="002F53B7" w:rsidP="002F53B7">
            <w:pPr>
              <w:jc w:val="center"/>
              <w:rPr>
                <w:rFonts w:ascii="Calibri" w:hAnsi="Calibri" w:cs="Calibri"/>
                <w:color w:val="000000"/>
                <w:sz w:val="22"/>
              </w:rPr>
            </w:pPr>
          </w:p>
        </w:tc>
      </w:tr>
      <w:tr w:rsidR="002F53B7" w14:paraId="58FC7813" w14:textId="77777777" w:rsidTr="00730CB1">
        <w:trPr>
          <w:gridAfter w:val="1"/>
          <w:wAfter w:w="217" w:type="dxa"/>
          <w:trHeight w:val="290"/>
        </w:trPr>
        <w:tc>
          <w:tcPr>
            <w:tcW w:w="976" w:type="dxa"/>
            <w:tcBorders>
              <w:top w:val="nil"/>
              <w:left w:val="nil"/>
              <w:bottom w:val="nil"/>
              <w:right w:val="nil"/>
            </w:tcBorders>
            <w:shd w:val="clear" w:color="auto" w:fill="auto"/>
            <w:noWrap/>
            <w:vAlign w:val="bottom"/>
            <w:hideMark/>
          </w:tcPr>
          <w:p w14:paraId="4ABFB9F4" w14:textId="77777777" w:rsidR="002F53B7" w:rsidRDefault="002F53B7" w:rsidP="002F53B7">
            <w:pPr>
              <w:rPr>
                <w:sz w:val="20"/>
                <w:szCs w:val="20"/>
              </w:rPr>
            </w:pPr>
          </w:p>
        </w:tc>
        <w:tc>
          <w:tcPr>
            <w:tcW w:w="1080" w:type="dxa"/>
            <w:gridSpan w:val="2"/>
            <w:tcBorders>
              <w:top w:val="nil"/>
              <w:left w:val="nil"/>
              <w:bottom w:val="nil"/>
              <w:right w:val="nil"/>
            </w:tcBorders>
            <w:shd w:val="clear" w:color="auto" w:fill="auto"/>
            <w:noWrap/>
            <w:vAlign w:val="bottom"/>
            <w:hideMark/>
          </w:tcPr>
          <w:p w14:paraId="384DA3AD" w14:textId="77777777" w:rsidR="002F53B7" w:rsidRDefault="002F53B7" w:rsidP="002F53B7">
            <w:pPr>
              <w:rPr>
                <w:sz w:val="20"/>
                <w:szCs w:val="20"/>
              </w:rPr>
            </w:pPr>
          </w:p>
        </w:tc>
        <w:tc>
          <w:tcPr>
            <w:tcW w:w="1079" w:type="dxa"/>
            <w:gridSpan w:val="2"/>
            <w:tcBorders>
              <w:top w:val="nil"/>
              <w:left w:val="nil"/>
              <w:bottom w:val="nil"/>
              <w:right w:val="nil"/>
            </w:tcBorders>
            <w:shd w:val="clear" w:color="auto" w:fill="auto"/>
            <w:noWrap/>
            <w:vAlign w:val="bottom"/>
            <w:hideMark/>
          </w:tcPr>
          <w:p w14:paraId="158CFC1E" w14:textId="77777777" w:rsidR="002F53B7" w:rsidRDefault="002F53B7" w:rsidP="002F53B7">
            <w:pPr>
              <w:rPr>
                <w:rFonts w:ascii="Calibri" w:hAnsi="Calibri" w:cs="Calibri"/>
                <w:color w:val="000000"/>
                <w:sz w:val="22"/>
              </w:rPr>
            </w:pPr>
            <w:r>
              <w:rPr>
                <w:rFonts w:ascii="Calibri" w:hAnsi="Calibri" w:cs="Calibri"/>
                <w:color w:val="000000"/>
                <w:sz w:val="22"/>
              </w:rPr>
              <w:t>Output</w:t>
            </w:r>
          </w:p>
        </w:tc>
        <w:tc>
          <w:tcPr>
            <w:tcW w:w="1079" w:type="dxa"/>
            <w:gridSpan w:val="2"/>
            <w:tcBorders>
              <w:top w:val="nil"/>
              <w:left w:val="nil"/>
              <w:bottom w:val="nil"/>
              <w:right w:val="nil"/>
            </w:tcBorders>
            <w:shd w:val="clear" w:color="auto" w:fill="auto"/>
            <w:noWrap/>
            <w:vAlign w:val="bottom"/>
            <w:hideMark/>
          </w:tcPr>
          <w:p w14:paraId="5CB0BD53" w14:textId="77777777" w:rsidR="002F53B7" w:rsidRDefault="002F53B7" w:rsidP="002F53B7">
            <w:pPr>
              <w:rPr>
                <w:rFonts w:ascii="Calibri" w:hAnsi="Calibri" w:cs="Calibri"/>
                <w:color w:val="000000"/>
                <w:sz w:val="22"/>
              </w:rPr>
            </w:pPr>
            <w:r>
              <w:rPr>
                <w:rFonts w:ascii="Calibri" w:hAnsi="Calibri" w:cs="Calibri"/>
                <w:color w:val="000000"/>
                <w:sz w:val="22"/>
              </w:rPr>
              <w:t>Durables</w:t>
            </w:r>
          </w:p>
        </w:tc>
        <w:tc>
          <w:tcPr>
            <w:tcW w:w="916" w:type="dxa"/>
            <w:gridSpan w:val="2"/>
            <w:tcBorders>
              <w:top w:val="nil"/>
              <w:left w:val="nil"/>
              <w:bottom w:val="nil"/>
              <w:right w:val="nil"/>
            </w:tcBorders>
            <w:shd w:val="clear" w:color="auto" w:fill="auto"/>
            <w:noWrap/>
            <w:vAlign w:val="bottom"/>
            <w:hideMark/>
          </w:tcPr>
          <w:p w14:paraId="035BFC5D" w14:textId="77777777" w:rsidR="002F53B7" w:rsidRDefault="002F53B7" w:rsidP="002F53B7">
            <w:pPr>
              <w:jc w:val="center"/>
              <w:rPr>
                <w:rFonts w:ascii="Calibri" w:hAnsi="Calibri" w:cs="Calibri"/>
                <w:color w:val="000000"/>
                <w:sz w:val="22"/>
              </w:rPr>
            </w:pPr>
            <w:r>
              <w:rPr>
                <w:rFonts w:ascii="Calibri" w:hAnsi="Calibri" w:cs="Calibri"/>
                <w:color w:val="000000"/>
                <w:sz w:val="22"/>
              </w:rPr>
              <w:t>Durables</w:t>
            </w:r>
          </w:p>
        </w:tc>
        <w:tc>
          <w:tcPr>
            <w:tcW w:w="900" w:type="dxa"/>
            <w:gridSpan w:val="2"/>
            <w:tcBorders>
              <w:top w:val="nil"/>
              <w:left w:val="nil"/>
              <w:bottom w:val="nil"/>
              <w:right w:val="nil"/>
            </w:tcBorders>
            <w:shd w:val="clear" w:color="auto" w:fill="auto"/>
            <w:noWrap/>
            <w:vAlign w:val="bottom"/>
            <w:hideMark/>
          </w:tcPr>
          <w:p w14:paraId="7AED1BC7" w14:textId="5F746506" w:rsidR="002F53B7" w:rsidRDefault="002F53B7" w:rsidP="002F53B7">
            <w:pPr>
              <w:jc w:val="center"/>
              <w:rPr>
                <w:rFonts w:ascii="Calibri" w:hAnsi="Calibri" w:cs="Calibri"/>
                <w:color w:val="000000"/>
                <w:sz w:val="22"/>
              </w:rPr>
            </w:pPr>
            <w:r>
              <w:rPr>
                <w:rFonts w:ascii="Calibri" w:hAnsi="Calibri" w:cs="Calibri"/>
                <w:color w:val="000000"/>
                <w:sz w:val="22"/>
              </w:rPr>
              <w:t>Nondur</w:t>
            </w:r>
          </w:p>
        </w:tc>
        <w:tc>
          <w:tcPr>
            <w:tcW w:w="900" w:type="dxa"/>
            <w:gridSpan w:val="2"/>
            <w:tcBorders>
              <w:top w:val="nil"/>
              <w:left w:val="nil"/>
              <w:bottom w:val="nil"/>
              <w:right w:val="nil"/>
            </w:tcBorders>
            <w:shd w:val="clear" w:color="auto" w:fill="auto"/>
            <w:noWrap/>
            <w:vAlign w:val="bottom"/>
            <w:hideMark/>
          </w:tcPr>
          <w:p w14:paraId="754F90A2" w14:textId="77777777" w:rsidR="002F53B7" w:rsidRDefault="002F53B7" w:rsidP="002F53B7">
            <w:pPr>
              <w:jc w:val="center"/>
              <w:rPr>
                <w:rFonts w:ascii="Calibri" w:hAnsi="Calibri" w:cs="Calibri"/>
                <w:color w:val="000000"/>
                <w:sz w:val="22"/>
              </w:rPr>
            </w:pPr>
            <w:r>
              <w:rPr>
                <w:rFonts w:ascii="Calibri" w:hAnsi="Calibri" w:cs="Calibri"/>
                <w:color w:val="000000"/>
                <w:sz w:val="22"/>
              </w:rPr>
              <w:t>Output</w:t>
            </w:r>
          </w:p>
        </w:tc>
        <w:tc>
          <w:tcPr>
            <w:tcW w:w="810" w:type="dxa"/>
            <w:tcBorders>
              <w:top w:val="nil"/>
              <w:left w:val="nil"/>
              <w:bottom w:val="nil"/>
              <w:right w:val="nil"/>
            </w:tcBorders>
            <w:shd w:val="clear" w:color="auto" w:fill="auto"/>
            <w:noWrap/>
            <w:vAlign w:val="bottom"/>
            <w:hideMark/>
          </w:tcPr>
          <w:p w14:paraId="086C940F" w14:textId="77777777" w:rsidR="002F53B7" w:rsidRDefault="002F53B7" w:rsidP="002F53B7">
            <w:pPr>
              <w:jc w:val="center"/>
              <w:rPr>
                <w:rFonts w:ascii="Calibri" w:hAnsi="Calibri" w:cs="Calibri"/>
                <w:color w:val="000000"/>
                <w:sz w:val="22"/>
              </w:rPr>
            </w:pPr>
            <w:r>
              <w:rPr>
                <w:rFonts w:ascii="Calibri" w:hAnsi="Calibri" w:cs="Calibri"/>
                <w:color w:val="000000"/>
                <w:sz w:val="22"/>
              </w:rPr>
              <w:t>FTEs</w:t>
            </w:r>
          </w:p>
        </w:tc>
        <w:tc>
          <w:tcPr>
            <w:tcW w:w="810" w:type="dxa"/>
            <w:gridSpan w:val="2"/>
            <w:tcBorders>
              <w:top w:val="nil"/>
              <w:left w:val="nil"/>
              <w:bottom w:val="nil"/>
              <w:right w:val="nil"/>
            </w:tcBorders>
            <w:shd w:val="clear" w:color="auto" w:fill="auto"/>
            <w:noWrap/>
            <w:vAlign w:val="bottom"/>
            <w:hideMark/>
          </w:tcPr>
          <w:p w14:paraId="4878CB01" w14:textId="77777777" w:rsidR="002F53B7" w:rsidRDefault="002F53B7" w:rsidP="002F53B7">
            <w:pPr>
              <w:jc w:val="center"/>
              <w:rPr>
                <w:rFonts w:ascii="Calibri" w:hAnsi="Calibri" w:cs="Calibri"/>
                <w:color w:val="000000"/>
                <w:sz w:val="22"/>
              </w:rPr>
            </w:pPr>
            <w:r>
              <w:rPr>
                <w:rFonts w:ascii="Calibri" w:hAnsi="Calibri" w:cs="Calibri"/>
                <w:color w:val="000000"/>
                <w:sz w:val="22"/>
              </w:rPr>
              <w:t>FTEs</w:t>
            </w:r>
          </w:p>
        </w:tc>
        <w:tc>
          <w:tcPr>
            <w:tcW w:w="1260" w:type="dxa"/>
            <w:gridSpan w:val="3"/>
            <w:tcBorders>
              <w:top w:val="nil"/>
              <w:left w:val="nil"/>
              <w:bottom w:val="nil"/>
              <w:right w:val="nil"/>
            </w:tcBorders>
            <w:shd w:val="clear" w:color="auto" w:fill="auto"/>
            <w:noWrap/>
            <w:vAlign w:val="bottom"/>
            <w:hideMark/>
          </w:tcPr>
          <w:p w14:paraId="5D10D11C" w14:textId="77777777" w:rsidR="002F53B7" w:rsidRDefault="002F53B7" w:rsidP="002F53B7">
            <w:pPr>
              <w:jc w:val="center"/>
              <w:rPr>
                <w:rFonts w:ascii="Calibri" w:hAnsi="Calibri" w:cs="Calibri"/>
                <w:color w:val="000000"/>
                <w:sz w:val="22"/>
              </w:rPr>
            </w:pPr>
            <w:r>
              <w:rPr>
                <w:rFonts w:ascii="Calibri" w:hAnsi="Calibri" w:cs="Calibri"/>
                <w:color w:val="000000"/>
                <w:sz w:val="22"/>
              </w:rPr>
              <w:t>Capital</w:t>
            </w:r>
          </w:p>
        </w:tc>
        <w:tc>
          <w:tcPr>
            <w:tcW w:w="1260" w:type="dxa"/>
            <w:gridSpan w:val="2"/>
            <w:tcBorders>
              <w:top w:val="nil"/>
              <w:left w:val="nil"/>
              <w:bottom w:val="nil"/>
              <w:right w:val="nil"/>
            </w:tcBorders>
            <w:shd w:val="clear" w:color="auto" w:fill="auto"/>
            <w:noWrap/>
            <w:vAlign w:val="bottom"/>
            <w:hideMark/>
          </w:tcPr>
          <w:p w14:paraId="693300A7" w14:textId="77777777" w:rsidR="002F53B7" w:rsidRDefault="002F53B7" w:rsidP="002F53B7">
            <w:pPr>
              <w:jc w:val="center"/>
              <w:rPr>
                <w:rFonts w:ascii="Calibri" w:hAnsi="Calibri" w:cs="Calibri"/>
                <w:color w:val="000000"/>
                <w:sz w:val="22"/>
              </w:rPr>
            </w:pPr>
            <w:r>
              <w:rPr>
                <w:rFonts w:ascii="Calibri" w:hAnsi="Calibri" w:cs="Calibri"/>
                <w:color w:val="000000"/>
                <w:sz w:val="22"/>
              </w:rPr>
              <w:t>Prod.</w:t>
            </w:r>
          </w:p>
        </w:tc>
        <w:tc>
          <w:tcPr>
            <w:tcW w:w="1440" w:type="dxa"/>
            <w:gridSpan w:val="2"/>
            <w:tcBorders>
              <w:top w:val="nil"/>
              <w:left w:val="nil"/>
              <w:bottom w:val="nil"/>
              <w:right w:val="nil"/>
            </w:tcBorders>
            <w:shd w:val="clear" w:color="auto" w:fill="auto"/>
            <w:noWrap/>
            <w:vAlign w:val="bottom"/>
            <w:hideMark/>
          </w:tcPr>
          <w:p w14:paraId="64ACEC92" w14:textId="77777777" w:rsidR="002F53B7" w:rsidRDefault="002F53B7" w:rsidP="002F53B7">
            <w:pPr>
              <w:jc w:val="center"/>
              <w:rPr>
                <w:rFonts w:ascii="Calibri" w:hAnsi="Calibri" w:cs="Calibri"/>
                <w:color w:val="000000"/>
                <w:sz w:val="22"/>
              </w:rPr>
            </w:pPr>
            <w:r>
              <w:rPr>
                <w:rFonts w:ascii="Calibri" w:hAnsi="Calibri" w:cs="Calibri"/>
                <w:color w:val="000000"/>
                <w:sz w:val="22"/>
              </w:rPr>
              <w:t>TFP</w:t>
            </w:r>
          </w:p>
        </w:tc>
      </w:tr>
      <w:tr w:rsidR="002F53B7" w14:paraId="79C5F031" w14:textId="77777777" w:rsidTr="00730CB1">
        <w:trPr>
          <w:gridAfter w:val="1"/>
          <w:wAfter w:w="217" w:type="dxa"/>
          <w:trHeight w:val="290"/>
        </w:trPr>
        <w:tc>
          <w:tcPr>
            <w:tcW w:w="976" w:type="dxa"/>
            <w:tcBorders>
              <w:top w:val="nil"/>
              <w:left w:val="nil"/>
              <w:bottom w:val="nil"/>
              <w:right w:val="nil"/>
            </w:tcBorders>
            <w:shd w:val="clear" w:color="auto" w:fill="auto"/>
            <w:noWrap/>
            <w:vAlign w:val="bottom"/>
            <w:hideMark/>
          </w:tcPr>
          <w:p w14:paraId="68976557" w14:textId="77777777" w:rsidR="002F53B7" w:rsidRDefault="002F53B7" w:rsidP="002F53B7">
            <w:pPr>
              <w:jc w:val="center"/>
              <w:rPr>
                <w:rFonts w:ascii="Calibri" w:hAnsi="Calibri" w:cs="Calibri"/>
                <w:color w:val="000000"/>
                <w:sz w:val="22"/>
              </w:rPr>
            </w:pPr>
          </w:p>
        </w:tc>
        <w:tc>
          <w:tcPr>
            <w:tcW w:w="1080" w:type="dxa"/>
            <w:gridSpan w:val="2"/>
            <w:tcBorders>
              <w:top w:val="nil"/>
              <w:left w:val="nil"/>
              <w:bottom w:val="nil"/>
              <w:right w:val="nil"/>
            </w:tcBorders>
            <w:shd w:val="clear" w:color="auto" w:fill="auto"/>
            <w:noWrap/>
            <w:vAlign w:val="bottom"/>
            <w:hideMark/>
          </w:tcPr>
          <w:p w14:paraId="13179ECA" w14:textId="77777777" w:rsidR="002F53B7" w:rsidRDefault="002F53B7" w:rsidP="002F53B7">
            <w:pPr>
              <w:rPr>
                <w:sz w:val="20"/>
                <w:szCs w:val="20"/>
              </w:rPr>
            </w:pPr>
          </w:p>
        </w:tc>
        <w:tc>
          <w:tcPr>
            <w:tcW w:w="1079" w:type="dxa"/>
            <w:gridSpan w:val="2"/>
            <w:tcBorders>
              <w:top w:val="nil"/>
              <w:left w:val="nil"/>
              <w:bottom w:val="nil"/>
              <w:right w:val="nil"/>
            </w:tcBorders>
            <w:shd w:val="clear" w:color="auto" w:fill="auto"/>
            <w:noWrap/>
            <w:vAlign w:val="bottom"/>
            <w:hideMark/>
          </w:tcPr>
          <w:p w14:paraId="0C33593E" w14:textId="77777777" w:rsidR="002F53B7" w:rsidRDefault="002F53B7" w:rsidP="002F53B7">
            <w:pPr>
              <w:rPr>
                <w:sz w:val="20"/>
                <w:szCs w:val="20"/>
              </w:rPr>
            </w:pPr>
          </w:p>
        </w:tc>
        <w:tc>
          <w:tcPr>
            <w:tcW w:w="1079" w:type="dxa"/>
            <w:gridSpan w:val="2"/>
            <w:tcBorders>
              <w:top w:val="nil"/>
              <w:left w:val="nil"/>
              <w:bottom w:val="nil"/>
              <w:right w:val="nil"/>
            </w:tcBorders>
            <w:shd w:val="clear" w:color="auto" w:fill="auto"/>
            <w:noWrap/>
            <w:vAlign w:val="bottom"/>
            <w:hideMark/>
          </w:tcPr>
          <w:p w14:paraId="28F3594B" w14:textId="77777777" w:rsidR="002F53B7" w:rsidRDefault="002F53B7" w:rsidP="002F53B7">
            <w:pPr>
              <w:rPr>
                <w:sz w:val="20"/>
                <w:szCs w:val="20"/>
              </w:rPr>
            </w:pPr>
          </w:p>
        </w:tc>
        <w:tc>
          <w:tcPr>
            <w:tcW w:w="916" w:type="dxa"/>
            <w:gridSpan w:val="2"/>
            <w:tcBorders>
              <w:top w:val="nil"/>
              <w:left w:val="nil"/>
              <w:bottom w:val="nil"/>
              <w:right w:val="nil"/>
            </w:tcBorders>
            <w:shd w:val="clear" w:color="auto" w:fill="auto"/>
            <w:noWrap/>
            <w:vAlign w:val="bottom"/>
            <w:hideMark/>
          </w:tcPr>
          <w:p w14:paraId="1AB56DD0" w14:textId="77777777" w:rsidR="002F53B7" w:rsidRDefault="002F53B7" w:rsidP="002F53B7">
            <w:pPr>
              <w:rPr>
                <w:sz w:val="20"/>
                <w:szCs w:val="20"/>
              </w:rPr>
            </w:pPr>
          </w:p>
        </w:tc>
        <w:tc>
          <w:tcPr>
            <w:tcW w:w="900" w:type="dxa"/>
            <w:gridSpan w:val="2"/>
            <w:tcBorders>
              <w:top w:val="nil"/>
              <w:left w:val="nil"/>
              <w:bottom w:val="nil"/>
              <w:right w:val="nil"/>
            </w:tcBorders>
            <w:shd w:val="clear" w:color="auto" w:fill="auto"/>
            <w:noWrap/>
            <w:vAlign w:val="bottom"/>
            <w:hideMark/>
          </w:tcPr>
          <w:p w14:paraId="3D4276B1" w14:textId="77777777" w:rsidR="002F53B7" w:rsidRDefault="002F53B7" w:rsidP="002F53B7">
            <w:pPr>
              <w:rPr>
                <w:sz w:val="20"/>
                <w:szCs w:val="20"/>
              </w:rPr>
            </w:pPr>
          </w:p>
        </w:tc>
        <w:tc>
          <w:tcPr>
            <w:tcW w:w="900" w:type="dxa"/>
            <w:gridSpan w:val="2"/>
            <w:tcBorders>
              <w:top w:val="nil"/>
              <w:left w:val="nil"/>
              <w:bottom w:val="nil"/>
              <w:right w:val="nil"/>
            </w:tcBorders>
            <w:shd w:val="clear" w:color="auto" w:fill="auto"/>
            <w:noWrap/>
            <w:vAlign w:val="bottom"/>
            <w:hideMark/>
          </w:tcPr>
          <w:p w14:paraId="39D02BA2" w14:textId="77777777" w:rsidR="002F53B7" w:rsidRDefault="002F53B7" w:rsidP="002F53B7">
            <w:pPr>
              <w:rPr>
                <w:sz w:val="20"/>
                <w:szCs w:val="20"/>
              </w:rPr>
            </w:pPr>
          </w:p>
        </w:tc>
        <w:tc>
          <w:tcPr>
            <w:tcW w:w="810" w:type="dxa"/>
            <w:tcBorders>
              <w:top w:val="nil"/>
              <w:left w:val="nil"/>
              <w:bottom w:val="nil"/>
              <w:right w:val="nil"/>
            </w:tcBorders>
            <w:shd w:val="clear" w:color="auto" w:fill="auto"/>
            <w:noWrap/>
            <w:vAlign w:val="bottom"/>
            <w:hideMark/>
          </w:tcPr>
          <w:p w14:paraId="0226BCB3" w14:textId="77777777" w:rsidR="002F53B7" w:rsidRDefault="002F53B7" w:rsidP="002F53B7">
            <w:pPr>
              <w:rPr>
                <w:sz w:val="20"/>
                <w:szCs w:val="20"/>
              </w:rPr>
            </w:pPr>
          </w:p>
        </w:tc>
        <w:tc>
          <w:tcPr>
            <w:tcW w:w="810" w:type="dxa"/>
            <w:gridSpan w:val="2"/>
            <w:tcBorders>
              <w:top w:val="nil"/>
              <w:left w:val="nil"/>
              <w:bottom w:val="nil"/>
              <w:right w:val="nil"/>
            </w:tcBorders>
            <w:shd w:val="clear" w:color="auto" w:fill="auto"/>
            <w:noWrap/>
            <w:vAlign w:val="bottom"/>
            <w:hideMark/>
          </w:tcPr>
          <w:p w14:paraId="2321C026" w14:textId="77777777" w:rsidR="002F53B7" w:rsidRDefault="002F53B7" w:rsidP="002F53B7">
            <w:pPr>
              <w:rPr>
                <w:sz w:val="20"/>
                <w:szCs w:val="20"/>
              </w:rPr>
            </w:pPr>
          </w:p>
        </w:tc>
        <w:tc>
          <w:tcPr>
            <w:tcW w:w="1260" w:type="dxa"/>
            <w:gridSpan w:val="3"/>
            <w:tcBorders>
              <w:top w:val="nil"/>
              <w:left w:val="nil"/>
              <w:bottom w:val="nil"/>
              <w:right w:val="nil"/>
            </w:tcBorders>
            <w:shd w:val="clear" w:color="auto" w:fill="auto"/>
            <w:noWrap/>
            <w:vAlign w:val="bottom"/>
            <w:hideMark/>
          </w:tcPr>
          <w:p w14:paraId="60D53038" w14:textId="77777777" w:rsidR="002F53B7" w:rsidRDefault="002F53B7" w:rsidP="002F53B7">
            <w:pPr>
              <w:rPr>
                <w:sz w:val="20"/>
                <w:szCs w:val="20"/>
              </w:rPr>
            </w:pPr>
          </w:p>
        </w:tc>
        <w:tc>
          <w:tcPr>
            <w:tcW w:w="1260" w:type="dxa"/>
            <w:gridSpan w:val="2"/>
            <w:tcBorders>
              <w:top w:val="nil"/>
              <w:left w:val="nil"/>
              <w:bottom w:val="nil"/>
              <w:right w:val="nil"/>
            </w:tcBorders>
            <w:shd w:val="clear" w:color="auto" w:fill="auto"/>
            <w:noWrap/>
            <w:vAlign w:val="bottom"/>
            <w:hideMark/>
          </w:tcPr>
          <w:p w14:paraId="6DA7D0F2" w14:textId="77777777" w:rsidR="002F53B7" w:rsidRDefault="002F53B7" w:rsidP="002F53B7">
            <w:pPr>
              <w:rPr>
                <w:sz w:val="20"/>
                <w:szCs w:val="20"/>
              </w:rPr>
            </w:pPr>
          </w:p>
        </w:tc>
        <w:tc>
          <w:tcPr>
            <w:tcW w:w="1440" w:type="dxa"/>
            <w:gridSpan w:val="2"/>
            <w:tcBorders>
              <w:top w:val="nil"/>
              <w:left w:val="nil"/>
              <w:bottom w:val="nil"/>
              <w:right w:val="nil"/>
            </w:tcBorders>
            <w:shd w:val="clear" w:color="auto" w:fill="auto"/>
            <w:noWrap/>
            <w:vAlign w:val="bottom"/>
            <w:hideMark/>
          </w:tcPr>
          <w:p w14:paraId="5A07D6BD" w14:textId="77777777" w:rsidR="002F53B7" w:rsidRDefault="002F53B7" w:rsidP="002F53B7">
            <w:pPr>
              <w:jc w:val="center"/>
              <w:rPr>
                <w:sz w:val="20"/>
                <w:szCs w:val="20"/>
              </w:rPr>
            </w:pPr>
          </w:p>
        </w:tc>
      </w:tr>
      <w:tr w:rsidR="002F53B7" w14:paraId="7A20AF59" w14:textId="77777777" w:rsidTr="00730CB1">
        <w:trPr>
          <w:gridAfter w:val="1"/>
          <w:wAfter w:w="217" w:type="dxa"/>
          <w:trHeight w:val="290"/>
        </w:trPr>
        <w:tc>
          <w:tcPr>
            <w:tcW w:w="976" w:type="dxa"/>
            <w:tcBorders>
              <w:top w:val="nil"/>
              <w:left w:val="nil"/>
              <w:bottom w:val="nil"/>
              <w:right w:val="nil"/>
            </w:tcBorders>
            <w:shd w:val="clear" w:color="auto" w:fill="auto"/>
            <w:noWrap/>
            <w:vAlign w:val="bottom"/>
            <w:hideMark/>
          </w:tcPr>
          <w:p w14:paraId="399C7858" w14:textId="77777777" w:rsidR="002F53B7" w:rsidRDefault="002F53B7" w:rsidP="002F53B7">
            <w:pPr>
              <w:rPr>
                <w:rFonts w:ascii="Calibri" w:hAnsi="Calibri" w:cs="Calibri"/>
                <w:color w:val="000000"/>
                <w:sz w:val="22"/>
              </w:rPr>
            </w:pPr>
            <w:r>
              <w:rPr>
                <w:rFonts w:ascii="Calibri" w:hAnsi="Calibri" w:cs="Calibri"/>
                <w:color w:val="000000"/>
                <w:sz w:val="22"/>
              </w:rPr>
              <w:t>Levels</w:t>
            </w:r>
          </w:p>
        </w:tc>
        <w:tc>
          <w:tcPr>
            <w:tcW w:w="1080" w:type="dxa"/>
            <w:gridSpan w:val="2"/>
            <w:tcBorders>
              <w:top w:val="nil"/>
              <w:left w:val="nil"/>
              <w:bottom w:val="nil"/>
              <w:right w:val="nil"/>
            </w:tcBorders>
            <w:shd w:val="clear" w:color="auto" w:fill="auto"/>
            <w:noWrap/>
            <w:vAlign w:val="bottom"/>
            <w:hideMark/>
          </w:tcPr>
          <w:p w14:paraId="42C19B37" w14:textId="77777777" w:rsidR="002F53B7" w:rsidRDefault="002F53B7" w:rsidP="002F53B7">
            <w:pPr>
              <w:jc w:val="right"/>
              <w:rPr>
                <w:rFonts w:ascii="Calibri" w:hAnsi="Calibri" w:cs="Calibri"/>
                <w:color w:val="000000"/>
                <w:sz w:val="22"/>
              </w:rPr>
            </w:pPr>
            <w:r>
              <w:rPr>
                <w:rFonts w:ascii="Calibri" w:hAnsi="Calibri" w:cs="Calibri"/>
                <w:color w:val="000000"/>
                <w:sz w:val="22"/>
              </w:rPr>
              <w:t>1929</w:t>
            </w:r>
          </w:p>
        </w:tc>
        <w:tc>
          <w:tcPr>
            <w:tcW w:w="1079" w:type="dxa"/>
            <w:gridSpan w:val="2"/>
            <w:tcBorders>
              <w:top w:val="nil"/>
              <w:left w:val="nil"/>
              <w:bottom w:val="nil"/>
              <w:right w:val="nil"/>
            </w:tcBorders>
            <w:shd w:val="clear" w:color="auto" w:fill="auto"/>
            <w:noWrap/>
            <w:vAlign w:val="bottom"/>
            <w:hideMark/>
          </w:tcPr>
          <w:p w14:paraId="186C5F41" w14:textId="77777777" w:rsidR="002F53B7" w:rsidRDefault="002F53B7" w:rsidP="002F53B7">
            <w:pPr>
              <w:jc w:val="right"/>
              <w:rPr>
                <w:rFonts w:ascii="Calibri" w:hAnsi="Calibri" w:cs="Calibri"/>
                <w:color w:val="000000"/>
                <w:sz w:val="22"/>
              </w:rPr>
            </w:pPr>
            <w:r>
              <w:rPr>
                <w:rFonts w:ascii="Calibri" w:hAnsi="Calibri" w:cs="Calibri"/>
                <w:color w:val="000000"/>
                <w:sz w:val="22"/>
              </w:rPr>
              <w:t>21945</w:t>
            </w:r>
          </w:p>
        </w:tc>
        <w:tc>
          <w:tcPr>
            <w:tcW w:w="1079" w:type="dxa"/>
            <w:gridSpan w:val="2"/>
            <w:tcBorders>
              <w:top w:val="nil"/>
              <w:left w:val="nil"/>
              <w:bottom w:val="nil"/>
              <w:right w:val="nil"/>
            </w:tcBorders>
            <w:shd w:val="clear" w:color="auto" w:fill="auto"/>
            <w:noWrap/>
            <w:vAlign w:val="bottom"/>
            <w:hideMark/>
          </w:tcPr>
          <w:p w14:paraId="108F0507" w14:textId="77777777" w:rsidR="002F53B7" w:rsidRDefault="002F53B7" w:rsidP="002F53B7">
            <w:pPr>
              <w:jc w:val="right"/>
              <w:rPr>
                <w:rFonts w:ascii="Calibri" w:hAnsi="Calibri" w:cs="Calibri"/>
                <w:color w:val="000000"/>
                <w:sz w:val="22"/>
              </w:rPr>
            </w:pPr>
            <w:r>
              <w:rPr>
                <w:rFonts w:ascii="Calibri" w:hAnsi="Calibri" w:cs="Calibri"/>
                <w:color w:val="000000"/>
                <w:sz w:val="22"/>
              </w:rPr>
              <w:t>11303</w:t>
            </w:r>
          </w:p>
        </w:tc>
        <w:tc>
          <w:tcPr>
            <w:tcW w:w="916" w:type="dxa"/>
            <w:gridSpan w:val="2"/>
            <w:tcBorders>
              <w:top w:val="nil"/>
              <w:left w:val="nil"/>
              <w:bottom w:val="nil"/>
              <w:right w:val="nil"/>
            </w:tcBorders>
            <w:shd w:val="clear" w:color="auto" w:fill="auto"/>
            <w:noWrap/>
            <w:vAlign w:val="bottom"/>
            <w:hideMark/>
          </w:tcPr>
          <w:p w14:paraId="59C08ACC" w14:textId="77777777" w:rsidR="002F53B7" w:rsidRDefault="002F53B7" w:rsidP="002F53B7">
            <w:pPr>
              <w:jc w:val="right"/>
              <w:rPr>
                <w:rFonts w:ascii="Calibri" w:hAnsi="Calibri" w:cs="Calibri"/>
                <w:color w:val="000000"/>
                <w:sz w:val="22"/>
              </w:rPr>
            </w:pPr>
            <w:r>
              <w:rPr>
                <w:rFonts w:ascii="Calibri" w:hAnsi="Calibri" w:cs="Calibri"/>
                <w:color w:val="000000"/>
                <w:sz w:val="22"/>
              </w:rPr>
              <w:t>56.4</w:t>
            </w:r>
          </w:p>
        </w:tc>
        <w:tc>
          <w:tcPr>
            <w:tcW w:w="900" w:type="dxa"/>
            <w:gridSpan w:val="2"/>
            <w:tcBorders>
              <w:top w:val="nil"/>
              <w:left w:val="nil"/>
              <w:bottom w:val="nil"/>
              <w:right w:val="nil"/>
            </w:tcBorders>
            <w:shd w:val="clear" w:color="auto" w:fill="auto"/>
            <w:noWrap/>
            <w:vAlign w:val="bottom"/>
            <w:hideMark/>
          </w:tcPr>
          <w:p w14:paraId="4A99A939" w14:textId="77777777" w:rsidR="002F53B7" w:rsidRDefault="002F53B7" w:rsidP="002F53B7">
            <w:pPr>
              <w:jc w:val="right"/>
              <w:rPr>
                <w:rFonts w:ascii="Calibri" w:hAnsi="Calibri" w:cs="Calibri"/>
                <w:color w:val="000000"/>
                <w:sz w:val="22"/>
              </w:rPr>
            </w:pPr>
            <w:r>
              <w:rPr>
                <w:rFonts w:ascii="Calibri" w:hAnsi="Calibri" w:cs="Calibri"/>
                <w:color w:val="000000"/>
                <w:sz w:val="22"/>
              </w:rPr>
              <w:t>54.5</w:t>
            </w:r>
          </w:p>
        </w:tc>
        <w:tc>
          <w:tcPr>
            <w:tcW w:w="900" w:type="dxa"/>
            <w:gridSpan w:val="2"/>
            <w:tcBorders>
              <w:top w:val="nil"/>
              <w:left w:val="nil"/>
              <w:bottom w:val="nil"/>
              <w:right w:val="nil"/>
            </w:tcBorders>
            <w:shd w:val="clear" w:color="auto" w:fill="auto"/>
            <w:noWrap/>
            <w:vAlign w:val="bottom"/>
            <w:hideMark/>
          </w:tcPr>
          <w:p w14:paraId="03FDC5E1" w14:textId="05598AAA" w:rsidR="002F53B7" w:rsidRDefault="002F7D56" w:rsidP="002F53B7">
            <w:pPr>
              <w:jc w:val="right"/>
              <w:rPr>
                <w:rFonts w:ascii="Calibri" w:hAnsi="Calibri" w:cs="Calibri"/>
                <w:color w:val="000000"/>
                <w:sz w:val="22"/>
              </w:rPr>
            </w:pPr>
            <w:r>
              <w:rPr>
                <w:rFonts w:ascii="Calibri" w:hAnsi="Calibri" w:cs="Calibri"/>
                <w:color w:val="000000"/>
                <w:sz w:val="22"/>
              </w:rPr>
              <w:t>395</w:t>
            </w:r>
            <w:r w:rsidR="002F53B7">
              <w:rPr>
                <w:rFonts w:ascii="Calibri" w:hAnsi="Calibri" w:cs="Calibri"/>
                <w:color w:val="000000"/>
                <w:sz w:val="22"/>
              </w:rPr>
              <w:t>67</w:t>
            </w:r>
          </w:p>
        </w:tc>
        <w:tc>
          <w:tcPr>
            <w:tcW w:w="810" w:type="dxa"/>
            <w:tcBorders>
              <w:top w:val="nil"/>
              <w:left w:val="nil"/>
              <w:bottom w:val="nil"/>
              <w:right w:val="nil"/>
            </w:tcBorders>
            <w:shd w:val="clear" w:color="auto" w:fill="auto"/>
            <w:noWrap/>
            <w:vAlign w:val="bottom"/>
            <w:hideMark/>
          </w:tcPr>
          <w:p w14:paraId="399CF7DE" w14:textId="77777777" w:rsidR="002F53B7" w:rsidRDefault="002F53B7" w:rsidP="002F53B7">
            <w:pPr>
              <w:jc w:val="right"/>
              <w:rPr>
                <w:rFonts w:ascii="Calibri" w:hAnsi="Calibri" w:cs="Calibri"/>
                <w:color w:val="000000"/>
                <w:sz w:val="22"/>
              </w:rPr>
            </w:pPr>
            <w:r>
              <w:rPr>
                <w:rFonts w:ascii="Calibri" w:hAnsi="Calibri" w:cs="Calibri"/>
                <w:color w:val="000000"/>
                <w:sz w:val="22"/>
              </w:rPr>
              <w:t>10428</w:t>
            </w:r>
          </w:p>
        </w:tc>
        <w:tc>
          <w:tcPr>
            <w:tcW w:w="810" w:type="dxa"/>
            <w:gridSpan w:val="2"/>
            <w:tcBorders>
              <w:top w:val="nil"/>
              <w:left w:val="nil"/>
              <w:bottom w:val="nil"/>
              <w:right w:val="nil"/>
            </w:tcBorders>
            <w:shd w:val="clear" w:color="auto" w:fill="auto"/>
            <w:noWrap/>
            <w:vAlign w:val="bottom"/>
            <w:hideMark/>
          </w:tcPr>
          <w:p w14:paraId="55DDE327" w14:textId="77777777" w:rsidR="002F53B7" w:rsidRDefault="002F53B7" w:rsidP="002F53B7">
            <w:pPr>
              <w:jc w:val="right"/>
              <w:rPr>
                <w:rFonts w:ascii="Calibri" w:hAnsi="Calibri" w:cs="Calibri"/>
                <w:color w:val="000000"/>
                <w:sz w:val="22"/>
              </w:rPr>
            </w:pPr>
            <w:r>
              <w:rPr>
                <w:rFonts w:ascii="Calibri" w:hAnsi="Calibri" w:cs="Calibri"/>
                <w:color w:val="000000"/>
                <w:sz w:val="22"/>
              </w:rPr>
              <w:t>10428</w:t>
            </w:r>
          </w:p>
        </w:tc>
        <w:tc>
          <w:tcPr>
            <w:tcW w:w="1260" w:type="dxa"/>
            <w:gridSpan w:val="3"/>
            <w:tcBorders>
              <w:top w:val="nil"/>
              <w:left w:val="nil"/>
              <w:bottom w:val="nil"/>
              <w:right w:val="nil"/>
            </w:tcBorders>
            <w:shd w:val="clear" w:color="auto" w:fill="auto"/>
            <w:noWrap/>
            <w:vAlign w:val="bottom"/>
            <w:hideMark/>
          </w:tcPr>
          <w:p w14:paraId="3C603166" w14:textId="77777777" w:rsidR="002F53B7" w:rsidRDefault="002F53B7" w:rsidP="002F53B7">
            <w:pPr>
              <w:jc w:val="right"/>
              <w:rPr>
                <w:rFonts w:ascii="Calibri" w:hAnsi="Calibri" w:cs="Calibri"/>
                <w:color w:val="000000"/>
                <w:sz w:val="22"/>
              </w:rPr>
            </w:pPr>
            <w:r>
              <w:rPr>
                <w:rFonts w:ascii="Calibri" w:hAnsi="Calibri" w:cs="Calibri"/>
                <w:color w:val="000000"/>
                <w:sz w:val="22"/>
              </w:rPr>
              <w:t>10.136</w:t>
            </w:r>
          </w:p>
        </w:tc>
        <w:tc>
          <w:tcPr>
            <w:tcW w:w="1260" w:type="dxa"/>
            <w:gridSpan w:val="2"/>
            <w:tcBorders>
              <w:top w:val="nil"/>
              <w:left w:val="nil"/>
              <w:bottom w:val="nil"/>
              <w:right w:val="nil"/>
            </w:tcBorders>
            <w:shd w:val="clear" w:color="auto" w:fill="auto"/>
            <w:noWrap/>
            <w:vAlign w:val="bottom"/>
            <w:hideMark/>
          </w:tcPr>
          <w:p w14:paraId="5153F4EA" w14:textId="77777777" w:rsidR="002F53B7" w:rsidRDefault="002F53B7" w:rsidP="002F53B7">
            <w:pPr>
              <w:jc w:val="right"/>
              <w:rPr>
                <w:rFonts w:ascii="Calibri" w:hAnsi="Calibri" w:cs="Calibri"/>
                <w:color w:val="000000"/>
                <w:sz w:val="22"/>
              </w:rPr>
            </w:pPr>
          </w:p>
        </w:tc>
        <w:tc>
          <w:tcPr>
            <w:tcW w:w="1440" w:type="dxa"/>
            <w:gridSpan w:val="2"/>
            <w:tcBorders>
              <w:top w:val="nil"/>
              <w:left w:val="nil"/>
              <w:bottom w:val="nil"/>
              <w:right w:val="nil"/>
            </w:tcBorders>
            <w:shd w:val="clear" w:color="auto" w:fill="auto"/>
            <w:noWrap/>
            <w:vAlign w:val="bottom"/>
            <w:hideMark/>
          </w:tcPr>
          <w:p w14:paraId="1CE78D33" w14:textId="77777777" w:rsidR="002F53B7" w:rsidRDefault="002F53B7" w:rsidP="002F53B7">
            <w:pPr>
              <w:rPr>
                <w:sz w:val="20"/>
                <w:szCs w:val="20"/>
              </w:rPr>
            </w:pPr>
          </w:p>
        </w:tc>
      </w:tr>
      <w:tr w:rsidR="002F53B7" w14:paraId="39A157CB" w14:textId="77777777" w:rsidTr="00730CB1">
        <w:trPr>
          <w:gridAfter w:val="1"/>
          <w:wAfter w:w="217" w:type="dxa"/>
          <w:trHeight w:val="290"/>
        </w:trPr>
        <w:tc>
          <w:tcPr>
            <w:tcW w:w="976" w:type="dxa"/>
            <w:tcBorders>
              <w:top w:val="nil"/>
              <w:left w:val="nil"/>
              <w:bottom w:val="nil"/>
              <w:right w:val="nil"/>
            </w:tcBorders>
            <w:shd w:val="clear" w:color="auto" w:fill="auto"/>
            <w:noWrap/>
            <w:vAlign w:val="bottom"/>
            <w:hideMark/>
          </w:tcPr>
          <w:p w14:paraId="52F3D0A8" w14:textId="77777777" w:rsidR="002F53B7" w:rsidRDefault="002F53B7" w:rsidP="002F53B7">
            <w:pPr>
              <w:rPr>
                <w:sz w:val="20"/>
                <w:szCs w:val="20"/>
              </w:rPr>
            </w:pPr>
          </w:p>
        </w:tc>
        <w:tc>
          <w:tcPr>
            <w:tcW w:w="1080" w:type="dxa"/>
            <w:gridSpan w:val="2"/>
            <w:tcBorders>
              <w:top w:val="nil"/>
              <w:left w:val="nil"/>
              <w:bottom w:val="nil"/>
              <w:right w:val="nil"/>
            </w:tcBorders>
            <w:shd w:val="clear" w:color="auto" w:fill="auto"/>
            <w:noWrap/>
            <w:vAlign w:val="bottom"/>
            <w:hideMark/>
          </w:tcPr>
          <w:p w14:paraId="6E98A973" w14:textId="77777777" w:rsidR="002F53B7" w:rsidRDefault="002F53B7" w:rsidP="002F53B7">
            <w:pPr>
              <w:rPr>
                <w:sz w:val="20"/>
                <w:szCs w:val="20"/>
              </w:rPr>
            </w:pPr>
          </w:p>
        </w:tc>
        <w:tc>
          <w:tcPr>
            <w:tcW w:w="1079" w:type="dxa"/>
            <w:gridSpan w:val="2"/>
            <w:tcBorders>
              <w:top w:val="nil"/>
              <w:left w:val="nil"/>
              <w:bottom w:val="nil"/>
              <w:right w:val="nil"/>
            </w:tcBorders>
            <w:shd w:val="clear" w:color="auto" w:fill="auto"/>
            <w:noWrap/>
            <w:vAlign w:val="bottom"/>
            <w:hideMark/>
          </w:tcPr>
          <w:p w14:paraId="71A99A9C" w14:textId="77777777" w:rsidR="002F53B7" w:rsidRDefault="002F53B7" w:rsidP="002F53B7">
            <w:pPr>
              <w:rPr>
                <w:sz w:val="20"/>
                <w:szCs w:val="20"/>
              </w:rPr>
            </w:pPr>
          </w:p>
        </w:tc>
        <w:tc>
          <w:tcPr>
            <w:tcW w:w="1079" w:type="dxa"/>
            <w:gridSpan w:val="2"/>
            <w:tcBorders>
              <w:top w:val="nil"/>
              <w:left w:val="nil"/>
              <w:bottom w:val="nil"/>
              <w:right w:val="nil"/>
            </w:tcBorders>
            <w:shd w:val="clear" w:color="auto" w:fill="auto"/>
            <w:noWrap/>
            <w:vAlign w:val="bottom"/>
            <w:hideMark/>
          </w:tcPr>
          <w:p w14:paraId="129D3A00" w14:textId="77777777" w:rsidR="002F53B7" w:rsidRDefault="002F53B7" w:rsidP="002F53B7">
            <w:pPr>
              <w:rPr>
                <w:sz w:val="20"/>
                <w:szCs w:val="20"/>
              </w:rPr>
            </w:pPr>
          </w:p>
        </w:tc>
        <w:tc>
          <w:tcPr>
            <w:tcW w:w="916" w:type="dxa"/>
            <w:gridSpan w:val="2"/>
            <w:tcBorders>
              <w:top w:val="nil"/>
              <w:left w:val="nil"/>
              <w:bottom w:val="nil"/>
              <w:right w:val="nil"/>
            </w:tcBorders>
            <w:shd w:val="clear" w:color="auto" w:fill="auto"/>
            <w:noWrap/>
            <w:vAlign w:val="bottom"/>
            <w:hideMark/>
          </w:tcPr>
          <w:p w14:paraId="34C6D80F" w14:textId="77777777" w:rsidR="002F53B7" w:rsidRDefault="002F53B7" w:rsidP="002F53B7">
            <w:pPr>
              <w:rPr>
                <w:sz w:val="20"/>
                <w:szCs w:val="20"/>
              </w:rPr>
            </w:pPr>
          </w:p>
        </w:tc>
        <w:tc>
          <w:tcPr>
            <w:tcW w:w="900" w:type="dxa"/>
            <w:gridSpan w:val="2"/>
            <w:tcBorders>
              <w:top w:val="nil"/>
              <w:left w:val="nil"/>
              <w:bottom w:val="nil"/>
              <w:right w:val="nil"/>
            </w:tcBorders>
            <w:shd w:val="clear" w:color="auto" w:fill="auto"/>
            <w:noWrap/>
            <w:vAlign w:val="bottom"/>
            <w:hideMark/>
          </w:tcPr>
          <w:p w14:paraId="4B5B8AEB" w14:textId="77777777" w:rsidR="002F53B7" w:rsidRDefault="002F53B7" w:rsidP="002F53B7">
            <w:pPr>
              <w:rPr>
                <w:sz w:val="20"/>
                <w:szCs w:val="20"/>
              </w:rPr>
            </w:pPr>
          </w:p>
        </w:tc>
        <w:tc>
          <w:tcPr>
            <w:tcW w:w="900" w:type="dxa"/>
            <w:gridSpan w:val="2"/>
            <w:tcBorders>
              <w:top w:val="nil"/>
              <w:left w:val="nil"/>
              <w:bottom w:val="nil"/>
              <w:right w:val="nil"/>
            </w:tcBorders>
            <w:shd w:val="clear" w:color="auto" w:fill="auto"/>
            <w:noWrap/>
            <w:vAlign w:val="bottom"/>
            <w:hideMark/>
          </w:tcPr>
          <w:p w14:paraId="11ED408D" w14:textId="77777777" w:rsidR="002F53B7" w:rsidRDefault="002F53B7" w:rsidP="002F53B7">
            <w:pPr>
              <w:rPr>
                <w:sz w:val="20"/>
                <w:szCs w:val="20"/>
              </w:rPr>
            </w:pPr>
          </w:p>
        </w:tc>
        <w:tc>
          <w:tcPr>
            <w:tcW w:w="810" w:type="dxa"/>
            <w:tcBorders>
              <w:top w:val="nil"/>
              <w:left w:val="nil"/>
              <w:bottom w:val="nil"/>
              <w:right w:val="nil"/>
            </w:tcBorders>
            <w:shd w:val="clear" w:color="auto" w:fill="auto"/>
            <w:noWrap/>
            <w:vAlign w:val="bottom"/>
            <w:hideMark/>
          </w:tcPr>
          <w:p w14:paraId="55D21945" w14:textId="77777777" w:rsidR="002F53B7" w:rsidRDefault="002F53B7" w:rsidP="002F53B7">
            <w:pPr>
              <w:rPr>
                <w:sz w:val="20"/>
                <w:szCs w:val="20"/>
              </w:rPr>
            </w:pPr>
          </w:p>
        </w:tc>
        <w:tc>
          <w:tcPr>
            <w:tcW w:w="810" w:type="dxa"/>
            <w:gridSpan w:val="2"/>
            <w:tcBorders>
              <w:top w:val="nil"/>
              <w:left w:val="nil"/>
              <w:bottom w:val="nil"/>
              <w:right w:val="nil"/>
            </w:tcBorders>
            <w:shd w:val="clear" w:color="auto" w:fill="auto"/>
            <w:noWrap/>
            <w:vAlign w:val="bottom"/>
            <w:hideMark/>
          </w:tcPr>
          <w:p w14:paraId="782040CF" w14:textId="77777777" w:rsidR="002F53B7" w:rsidRDefault="002F53B7" w:rsidP="002F53B7">
            <w:pPr>
              <w:rPr>
                <w:sz w:val="20"/>
                <w:szCs w:val="20"/>
              </w:rPr>
            </w:pPr>
          </w:p>
        </w:tc>
        <w:tc>
          <w:tcPr>
            <w:tcW w:w="1260" w:type="dxa"/>
            <w:gridSpan w:val="3"/>
            <w:tcBorders>
              <w:top w:val="nil"/>
              <w:left w:val="nil"/>
              <w:bottom w:val="nil"/>
              <w:right w:val="nil"/>
            </w:tcBorders>
            <w:shd w:val="clear" w:color="auto" w:fill="auto"/>
            <w:noWrap/>
            <w:vAlign w:val="bottom"/>
            <w:hideMark/>
          </w:tcPr>
          <w:p w14:paraId="08632FC0" w14:textId="77777777" w:rsidR="002F53B7" w:rsidRDefault="002F53B7" w:rsidP="002F53B7">
            <w:pPr>
              <w:rPr>
                <w:sz w:val="20"/>
                <w:szCs w:val="20"/>
              </w:rPr>
            </w:pPr>
          </w:p>
        </w:tc>
        <w:tc>
          <w:tcPr>
            <w:tcW w:w="1260" w:type="dxa"/>
            <w:gridSpan w:val="2"/>
            <w:tcBorders>
              <w:top w:val="nil"/>
              <w:left w:val="nil"/>
              <w:bottom w:val="nil"/>
              <w:right w:val="nil"/>
            </w:tcBorders>
            <w:shd w:val="clear" w:color="auto" w:fill="auto"/>
            <w:noWrap/>
            <w:vAlign w:val="bottom"/>
            <w:hideMark/>
          </w:tcPr>
          <w:p w14:paraId="602B979D" w14:textId="77777777" w:rsidR="002F53B7" w:rsidRDefault="002F53B7" w:rsidP="002F53B7">
            <w:pPr>
              <w:rPr>
                <w:sz w:val="20"/>
                <w:szCs w:val="20"/>
              </w:rPr>
            </w:pPr>
          </w:p>
        </w:tc>
        <w:tc>
          <w:tcPr>
            <w:tcW w:w="1440" w:type="dxa"/>
            <w:gridSpan w:val="2"/>
            <w:tcBorders>
              <w:top w:val="nil"/>
              <w:left w:val="nil"/>
              <w:bottom w:val="nil"/>
              <w:right w:val="nil"/>
            </w:tcBorders>
            <w:shd w:val="clear" w:color="auto" w:fill="auto"/>
            <w:noWrap/>
            <w:vAlign w:val="bottom"/>
            <w:hideMark/>
          </w:tcPr>
          <w:p w14:paraId="03644B17" w14:textId="77777777" w:rsidR="002F53B7" w:rsidRDefault="002F53B7" w:rsidP="002F53B7">
            <w:pPr>
              <w:rPr>
                <w:sz w:val="20"/>
                <w:szCs w:val="20"/>
              </w:rPr>
            </w:pPr>
          </w:p>
        </w:tc>
      </w:tr>
      <w:tr w:rsidR="002F53B7" w14:paraId="7522E5C2" w14:textId="77777777" w:rsidTr="00730CB1">
        <w:trPr>
          <w:gridAfter w:val="1"/>
          <w:wAfter w:w="217" w:type="dxa"/>
          <w:trHeight w:val="290"/>
        </w:trPr>
        <w:tc>
          <w:tcPr>
            <w:tcW w:w="976" w:type="dxa"/>
            <w:tcBorders>
              <w:top w:val="nil"/>
              <w:left w:val="nil"/>
              <w:bottom w:val="nil"/>
              <w:right w:val="nil"/>
            </w:tcBorders>
            <w:shd w:val="clear" w:color="auto" w:fill="auto"/>
            <w:noWrap/>
            <w:vAlign w:val="bottom"/>
            <w:hideMark/>
          </w:tcPr>
          <w:p w14:paraId="7DB1E78D" w14:textId="77777777" w:rsidR="002F53B7" w:rsidRDefault="002F53B7" w:rsidP="002F53B7">
            <w:pPr>
              <w:rPr>
                <w:sz w:val="20"/>
                <w:szCs w:val="20"/>
              </w:rPr>
            </w:pPr>
          </w:p>
        </w:tc>
        <w:tc>
          <w:tcPr>
            <w:tcW w:w="1080" w:type="dxa"/>
            <w:gridSpan w:val="2"/>
            <w:tcBorders>
              <w:top w:val="nil"/>
              <w:left w:val="nil"/>
              <w:bottom w:val="nil"/>
              <w:right w:val="nil"/>
            </w:tcBorders>
            <w:shd w:val="clear" w:color="auto" w:fill="auto"/>
            <w:noWrap/>
            <w:vAlign w:val="bottom"/>
            <w:hideMark/>
          </w:tcPr>
          <w:p w14:paraId="2D0D0023" w14:textId="77777777" w:rsidR="002F53B7" w:rsidRDefault="002F53B7" w:rsidP="002F53B7">
            <w:pPr>
              <w:jc w:val="right"/>
              <w:rPr>
                <w:rFonts w:ascii="Calibri" w:hAnsi="Calibri" w:cs="Calibri"/>
                <w:color w:val="000000"/>
                <w:sz w:val="22"/>
              </w:rPr>
            </w:pPr>
            <w:r>
              <w:rPr>
                <w:rFonts w:ascii="Calibri" w:hAnsi="Calibri" w:cs="Calibri"/>
                <w:color w:val="000000"/>
                <w:sz w:val="22"/>
              </w:rPr>
              <w:t>1941</w:t>
            </w:r>
          </w:p>
        </w:tc>
        <w:tc>
          <w:tcPr>
            <w:tcW w:w="1079" w:type="dxa"/>
            <w:gridSpan w:val="2"/>
            <w:tcBorders>
              <w:top w:val="nil"/>
              <w:left w:val="nil"/>
              <w:bottom w:val="nil"/>
              <w:right w:val="nil"/>
            </w:tcBorders>
            <w:shd w:val="clear" w:color="auto" w:fill="auto"/>
            <w:noWrap/>
            <w:vAlign w:val="bottom"/>
            <w:hideMark/>
          </w:tcPr>
          <w:p w14:paraId="66CB188D" w14:textId="77777777" w:rsidR="002F53B7" w:rsidRDefault="002F53B7" w:rsidP="002F53B7">
            <w:pPr>
              <w:jc w:val="right"/>
              <w:rPr>
                <w:rFonts w:ascii="Calibri" w:hAnsi="Calibri" w:cs="Calibri"/>
                <w:color w:val="000000"/>
                <w:sz w:val="22"/>
              </w:rPr>
            </w:pPr>
            <w:r>
              <w:rPr>
                <w:rFonts w:ascii="Calibri" w:hAnsi="Calibri" w:cs="Calibri"/>
                <w:color w:val="000000"/>
                <w:sz w:val="22"/>
              </w:rPr>
              <w:t>33211</w:t>
            </w:r>
          </w:p>
        </w:tc>
        <w:tc>
          <w:tcPr>
            <w:tcW w:w="1079" w:type="dxa"/>
            <w:gridSpan w:val="2"/>
            <w:tcBorders>
              <w:top w:val="nil"/>
              <w:left w:val="nil"/>
              <w:bottom w:val="nil"/>
              <w:right w:val="nil"/>
            </w:tcBorders>
            <w:shd w:val="clear" w:color="auto" w:fill="auto"/>
            <w:noWrap/>
            <w:vAlign w:val="bottom"/>
            <w:hideMark/>
          </w:tcPr>
          <w:p w14:paraId="1879D143" w14:textId="77777777" w:rsidR="002F53B7" w:rsidRDefault="002F53B7" w:rsidP="002F53B7">
            <w:pPr>
              <w:jc w:val="right"/>
              <w:rPr>
                <w:rFonts w:ascii="Calibri" w:hAnsi="Calibri" w:cs="Calibri"/>
                <w:color w:val="000000"/>
                <w:sz w:val="22"/>
              </w:rPr>
            </w:pPr>
            <w:r>
              <w:rPr>
                <w:rFonts w:ascii="Calibri" w:hAnsi="Calibri" w:cs="Calibri"/>
                <w:color w:val="000000"/>
                <w:sz w:val="22"/>
              </w:rPr>
              <w:t>20317</w:t>
            </w:r>
          </w:p>
        </w:tc>
        <w:tc>
          <w:tcPr>
            <w:tcW w:w="916" w:type="dxa"/>
            <w:gridSpan w:val="2"/>
            <w:tcBorders>
              <w:top w:val="nil"/>
              <w:left w:val="nil"/>
              <w:bottom w:val="nil"/>
              <w:right w:val="nil"/>
            </w:tcBorders>
            <w:shd w:val="clear" w:color="auto" w:fill="auto"/>
            <w:noWrap/>
            <w:vAlign w:val="bottom"/>
            <w:hideMark/>
          </w:tcPr>
          <w:p w14:paraId="145DAA5E" w14:textId="77777777" w:rsidR="002F53B7" w:rsidRDefault="002F53B7" w:rsidP="002F53B7">
            <w:pPr>
              <w:jc w:val="right"/>
              <w:rPr>
                <w:rFonts w:ascii="Calibri" w:hAnsi="Calibri" w:cs="Calibri"/>
                <w:color w:val="000000"/>
                <w:sz w:val="22"/>
              </w:rPr>
            </w:pPr>
            <w:r>
              <w:rPr>
                <w:rFonts w:ascii="Calibri" w:hAnsi="Calibri" w:cs="Calibri"/>
                <w:color w:val="000000"/>
                <w:sz w:val="22"/>
              </w:rPr>
              <w:t>50.4</w:t>
            </w:r>
          </w:p>
        </w:tc>
        <w:tc>
          <w:tcPr>
            <w:tcW w:w="900" w:type="dxa"/>
            <w:gridSpan w:val="2"/>
            <w:tcBorders>
              <w:top w:val="nil"/>
              <w:left w:val="nil"/>
              <w:bottom w:val="nil"/>
              <w:right w:val="nil"/>
            </w:tcBorders>
            <w:shd w:val="clear" w:color="auto" w:fill="auto"/>
            <w:noWrap/>
            <w:vAlign w:val="bottom"/>
            <w:hideMark/>
          </w:tcPr>
          <w:p w14:paraId="685DA65F" w14:textId="77777777" w:rsidR="002F53B7" w:rsidRDefault="002F53B7" w:rsidP="002F53B7">
            <w:pPr>
              <w:jc w:val="right"/>
              <w:rPr>
                <w:rFonts w:ascii="Calibri" w:hAnsi="Calibri" w:cs="Calibri"/>
                <w:color w:val="000000"/>
                <w:sz w:val="22"/>
              </w:rPr>
            </w:pPr>
            <w:r>
              <w:rPr>
                <w:rFonts w:ascii="Calibri" w:hAnsi="Calibri" w:cs="Calibri"/>
                <w:color w:val="000000"/>
                <w:sz w:val="22"/>
              </w:rPr>
              <w:t>47.7</w:t>
            </w:r>
          </w:p>
        </w:tc>
        <w:tc>
          <w:tcPr>
            <w:tcW w:w="900" w:type="dxa"/>
            <w:gridSpan w:val="2"/>
            <w:tcBorders>
              <w:top w:val="nil"/>
              <w:left w:val="nil"/>
              <w:bottom w:val="nil"/>
              <w:right w:val="nil"/>
            </w:tcBorders>
            <w:shd w:val="clear" w:color="auto" w:fill="auto"/>
            <w:noWrap/>
            <w:vAlign w:val="bottom"/>
            <w:hideMark/>
          </w:tcPr>
          <w:p w14:paraId="6BC47CA0" w14:textId="52D0B784" w:rsidR="002F53B7" w:rsidRDefault="002F7D56" w:rsidP="002F53B7">
            <w:pPr>
              <w:jc w:val="right"/>
              <w:rPr>
                <w:rFonts w:ascii="Calibri" w:hAnsi="Calibri" w:cs="Calibri"/>
                <w:color w:val="000000"/>
                <w:sz w:val="22"/>
              </w:rPr>
            </w:pPr>
            <w:r>
              <w:rPr>
                <w:rFonts w:ascii="Calibri" w:hAnsi="Calibri" w:cs="Calibri"/>
                <w:color w:val="000000"/>
                <w:sz w:val="22"/>
              </w:rPr>
              <w:t>673</w:t>
            </w:r>
            <w:r w:rsidR="002F53B7">
              <w:rPr>
                <w:rFonts w:ascii="Calibri" w:hAnsi="Calibri" w:cs="Calibri"/>
                <w:color w:val="000000"/>
                <w:sz w:val="22"/>
              </w:rPr>
              <w:t>43</w:t>
            </w:r>
          </w:p>
        </w:tc>
        <w:tc>
          <w:tcPr>
            <w:tcW w:w="810" w:type="dxa"/>
            <w:tcBorders>
              <w:top w:val="nil"/>
              <w:left w:val="nil"/>
              <w:bottom w:val="nil"/>
              <w:right w:val="nil"/>
            </w:tcBorders>
            <w:shd w:val="clear" w:color="auto" w:fill="auto"/>
            <w:noWrap/>
            <w:vAlign w:val="bottom"/>
            <w:hideMark/>
          </w:tcPr>
          <w:p w14:paraId="6BEDF877" w14:textId="77777777" w:rsidR="002F53B7" w:rsidRDefault="002F53B7" w:rsidP="002F53B7">
            <w:pPr>
              <w:jc w:val="right"/>
              <w:rPr>
                <w:rFonts w:ascii="Calibri" w:hAnsi="Calibri" w:cs="Calibri"/>
                <w:color w:val="000000"/>
                <w:sz w:val="22"/>
              </w:rPr>
            </w:pPr>
            <w:r>
              <w:rPr>
                <w:rFonts w:ascii="Calibri" w:hAnsi="Calibri" w:cs="Calibri"/>
                <w:color w:val="000000"/>
                <w:sz w:val="22"/>
              </w:rPr>
              <w:t>13137</w:t>
            </w:r>
          </w:p>
        </w:tc>
        <w:tc>
          <w:tcPr>
            <w:tcW w:w="810" w:type="dxa"/>
            <w:gridSpan w:val="2"/>
            <w:tcBorders>
              <w:top w:val="nil"/>
              <w:left w:val="nil"/>
              <w:bottom w:val="nil"/>
              <w:right w:val="nil"/>
            </w:tcBorders>
            <w:shd w:val="clear" w:color="auto" w:fill="auto"/>
            <w:noWrap/>
            <w:vAlign w:val="bottom"/>
            <w:hideMark/>
          </w:tcPr>
          <w:p w14:paraId="2361CE44" w14:textId="77777777" w:rsidR="002F53B7" w:rsidRDefault="002F53B7" w:rsidP="002F53B7">
            <w:pPr>
              <w:jc w:val="right"/>
              <w:rPr>
                <w:rFonts w:ascii="Calibri" w:hAnsi="Calibri" w:cs="Calibri"/>
                <w:color w:val="000000"/>
                <w:sz w:val="22"/>
              </w:rPr>
            </w:pPr>
            <w:r>
              <w:rPr>
                <w:rFonts w:ascii="Calibri" w:hAnsi="Calibri" w:cs="Calibri"/>
                <w:color w:val="000000"/>
                <w:sz w:val="22"/>
              </w:rPr>
              <w:t>12067</w:t>
            </w:r>
          </w:p>
        </w:tc>
        <w:tc>
          <w:tcPr>
            <w:tcW w:w="1260" w:type="dxa"/>
            <w:gridSpan w:val="3"/>
            <w:tcBorders>
              <w:top w:val="nil"/>
              <w:left w:val="nil"/>
              <w:bottom w:val="nil"/>
              <w:right w:val="nil"/>
            </w:tcBorders>
            <w:shd w:val="clear" w:color="auto" w:fill="auto"/>
            <w:noWrap/>
            <w:vAlign w:val="bottom"/>
            <w:hideMark/>
          </w:tcPr>
          <w:p w14:paraId="7A32C2DE" w14:textId="77777777" w:rsidR="002F53B7" w:rsidRDefault="002F53B7" w:rsidP="002F53B7">
            <w:pPr>
              <w:jc w:val="right"/>
              <w:rPr>
                <w:rFonts w:ascii="Calibri" w:hAnsi="Calibri" w:cs="Calibri"/>
                <w:color w:val="000000"/>
                <w:sz w:val="22"/>
              </w:rPr>
            </w:pPr>
            <w:r>
              <w:rPr>
                <w:rFonts w:ascii="Calibri" w:hAnsi="Calibri" w:cs="Calibri"/>
                <w:color w:val="000000"/>
                <w:sz w:val="22"/>
              </w:rPr>
              <w:t>11.576</w:t>
            </w:r>
          </w:p>
        </w:tc>
        <w:tc>
          <w:tcPr>
            <w:tcW w:w="1260" w:type="dxa"/>
            <w:gridSpan w:val="2"/>
            <w:tcBorders>
              <w:top w:val="nil"/>
              <w:left w:val="nil"/>
              <w:bottom w:val="nil"/>
              <w:right w:val="nil"/>
            </w:tcBorders>
            <w:shd w:val="clear" w:color="auto" w:fill="auto"/>
            <w:noWrap/>
            <w:vAlign w:val="bottom"/>
            <w:hideMark/>
          </w:tcPr>
          <w:p w14:paraId="086AB962" w14:textId="77777777" w:rsidR="002F53B7" w:rsidRDefault="002F53B7" w:rsidP="002F53B7">
            <w:pPr>
              <w:jc w:val="right"/>
              <w:rPr>
                <w:rFonts w:ascii="Calibri" w:hAnsi="Calibri" w:cs="Calibri"/>
                <w:color w:val="000000"/>
                <w:sz w:val="22"/>
              </w:rPr>
            </w:pPr>
          </w:p>
        </w:tc>
        <w:tc>
          <w:tcPr>
            <w:tcW w:w="1440" w:type="dxa"/>
            <w:gridSpan w:val="2"/>
            <w:tcBorders>
              <w:top w:val="nil"/>
              <w:left w:val="nil"/>
              <w:bottom w:val="nil"/>
              <w:right w:val="nil"/>
            </w:tcBorders>
            <w:shd w:val="clear" w:color="auto" w:fill="auto"/>
            <w:noWrap/>
            <w:vAlign w:val="bottom"/>
            <w:hideMark/>
          </w:tcPr>
          <w:p w14:paraId="0156AC76" w14:textId="77777777" w:rsidR="002F53B7" w:rsidRDefault="002F53B7" w:rsidP="002F53B7">
            <w:pPr>
              <w:rPr>
                <w:sz w:val="20"/>
                <w:szCs w:val="20"/>
              </w:rPr>
            </w:pPr>
          </w:p>
        </w:tc>
      </w:tr>
      <w:tr w:rsidR="002F53B7" w14:paraId="78F6F37C" w14:textId="77777777" w:rsidTr="00730CB1">
        <w:trPr>
          <w:gridAfter w:val="1"/>
          <w:wAfter w:w="217" w:type="dxa"/>
          <w:trHeight w:val="290"/>
        </w:trPr>
        <w:tc>
          <w:tcPr>
            <w:tcW w:w="976" w:type="dxa"/>
            <w:tcBorders>
              <w:top w:val="nil"/>
              <w:left w:val="nil"/>
              <w:bottom w:val="nil"/>
              <w:right w:val="nil"/>
            </w:tcBorders>
            <w:shd w:val="clear" w:color="auto" w:fill="auto"/>
            <w:noWrap/>
            <w:vAlign w:val="bottom"/>
            <w:hideMark/>
          </w:tcPr>
          <w:p w14:paraId="56D53AD6" w14:textId="77777777" w:rsidR="002F53B7" w:rsidRDefault="002F53B7" w:rsidP="002F53B7">
            <w:pPr>
              <w:rPr>
                <w:sz w:val="20"/>
                <w:szCs w:val="20"/>
              </w:rPr>
            </w:pPr>
          </w:p>
        </w:tc>
        <w:tc>
          <w:tcPr>
            <w:tcW w:w="1080" w:type="dxa"/>
            <w:gridSpan w:val="2"/>
            <w:tcBorders>
              <w:top w:val="nil"/>
              <w:left w:val="nil"/>
              <w:bottom w:val="nil"/>
              <w:right w:val="nil"/>
            </w:tcBorders>
            <w:shd w:val="clear" w:color="auto" w:fill="auto"/>
            <w:noWrap/>
            <w:vAlign w:val="bottom"/>
            <w:hideMark/>
          </w:tcPr>
          <w:p w14:paraId="4D3F16C2" w14:textId="77777777" w:rsidR="002F53B7" w:rsidRDefault="002F53B7" w:rsidP="002F53B7">
            <w:pPr>
              <w:rPr>
                <w:sz w:val="20"/>
                <w:szCs w:val="20"/>
              </w:rPr>
            </w:pPr>
          </w:p>
        </w:tc>
        <w:tc>
          <w:tcPr>
            <w:tcW w:w="1079" w:type="dxa"/>
            <w:gridSpan w:val="2"/>
            <w:tcBorders>
              <w:top w:val="nil"/>
              <w:left w:val="nil"/>
              <w:bottom w:val="nil"/>
              <w:right w:val="nil"/>
            </w:tcBorders>
            <w:shd w:val="clear" w:color="auto" w:fill="auto"/>
            <w:noWrap/>
            <w:vAlign w:val="bottom"/>
            <w:hideMark/>
          </w:tcPr>
          <w:p w14:paraId="0858E35A" w14:textId="77777777" w:rsidR="002F53B7" w:rsidRDefault="002F53B7" w:rsidP="002F53B7">
            <w:pPr>
              <w:rPr>
                <w:sz w:val="20"/>
                <w:szCs w:val="20"/>
              </w:rPr>
            </w:pPr>
          </w:p>
        </w:tc>
        <w:tc>
          <w:tcPr>
            <w:tcW w:w="1079" w:type="dxa"/>
            <w:gridSpan w:val="2"/>
            <w:tcBorders>
              <w:top w:val="nil"/>
              <w:left w:val="nil"/>
              <w:bottom w:val="nil"/>
              <w:right w:val="nil"/>
            </w:tcBorders>
            <w:shd w:val="clear" w:color="auto" w:fill="auto"/>
            <w:noWrap/>
            <w:vAlign w:val="bottom"/>
            <w:hideMark/>
          </w:tcPr>
          <w:p w14:paraId="5516A320" w14:textId="77777777" w:rsidR="002F53B7" w:rsidRDefault="002F53B7" w:rsidP="002F53B7">
            <w:pPr>
              <w:rPr>
                <w:sz w:val="20"/>
                <w:szCs w:val="20"/>
              </w:rPr>
            </w:pPr>
          </w:p>
        </w:tc>
        <w:tc>
          <w:tcPr>
            <w:tcW w:w="916" w:type="dxa"/>
            <w:gridSpan w:val="2"/>
            <w:tcBorders>
              <w:top w:val="nil"/>
              <w:left w:val="nil"/>
              <w:bottom w:val="nil"/>
              <w:right w:val="nil"/>
            </w:tcBorders>
            <w:shd w:val="clear" w:color="auto" w:fill="auto"/>
            <w:noWrap/>
            <w:vAlign w:val="bottom"/>
            <w:hideMark/>
          </w:tcPr>
          <w:p w14:paraId="607CDBA3" w14:textId="77777777" w:rsidR="002F53B7" w:rsidRDefault="002F53B7" w:rsidP="002F53B7">
            <w:pPr>
              <w:rPr>
                <w:sz w:val="20"/>
                <w:szCs w:val="20"/>
              </w:rPr>
            </w:pPr>
          </w:p>
        </w:tc>
        <w:tc>
          <w:tcPr>
            <w:tcW w:w="900" w:type="dxa"/>
            <w:gridSpan w:val="2"/>
            <w:tcBorders>
              <w:top w:val="nil"/>
              <w:left w:val="nil"/>
              <w:bottom w:val="nil"/>
              <w:right w:val="nil"/>
            </w:tcBorders>
            <w:shd w:val="clear" w:color="auto" w:fill="auto"/>
            <w:noWrap/>
            <w:vAlign w:val="bottom"/>
            <w:hideMark/>
          </w:tcPr>
          <w:p w14:paraId="3102F453" w14:textId="77777777" w:rsidR="002F53B7" w:rsidRDefault="002F53B7" w:rsidP="002F53B7">
            <w:pPr>
              <w:rPr>
                <w:sz w:val="20"/>
                <w:szCs w:val="20"/>
              </w:rPr>
            </w:pPr>
          </w:p>
        </w:tc>
        <w:tc>
          <w:tcPr>
            <w:tcW w:w="900" w:type="dxa"/>
            <w:gridSpan w:val="2"/>
            <w:tcBorders>
              <w:top w:val="nil"/>
              <w:left w:val="nil"/>
              <w:bottom w:val="nil"/>
              <w:right w:val="nil"/>
            </w:tcBorders>
            <w:shd w:val="clear" w:color="auto" w:fill="auto"/>
            <w:noWrap/>
            <w:vAlign w:val="bottom"/>
            <w:hideMark/>
          </w:tcPr>
          <w:p w14:paraId="5963F482" w14:textId="77777777" w:rsidR="002F53B7" w:rsidRDefault="002F53B7" w:rsidP="002F53B7">
            <w:pPr>
              <w:rPr>
                <w:sz w:val="20"/>
                <w:szCs w:val="20"/>
              </w:rPr>
            </w:pPr>
          </w:p>
        </w:tc>
        <w:tc>
          <w:tcPr>
            <w:tcW w:w="810" w:type="dxa"/>
            <w:tcBorders>
              <w:top w:val="nil"/>
              <w:left w:val="nil"/>
              <w:bottom w:val="nil"/>
              <w:right w:val="nil"/>
            </w:tcBorders>
            <w:shd w:val="clear" w:color="auto" w:fill="auto"/>
            <w:noWrap/>
            <w:vAlign w:val="bottom"/>
            <w:hideMark/>
          </w:tcPr>
          <w:p w14:paraId="6AA80FB1" w14:textId="77777777" w:rsidR="002F53B7" w:rsidRDefault="002F53B7" w:rsidP="002F53B7">
            <w:pPr>
              <w:rPr>
                <w:sz w:val="20"/>
                <w:szCs w:val="20"/>
              </w:rPr>
            </w:pPr>
          </w:p>
        </w:tc>
        <w:tc>
          <w:tcPr>
            <w:tcW w:w="810" w:type="dxa"/>
            <w:gridSpan w:val="2"/>
            <w:tcBorders>
              <w:top w:val="nil"/>
              <w:left w:val="nil"/>
              <w:bottom w:val="nil"/>
              <w:right w:val="nil"/>
            </w:tcBorders>
            <w:shd w:val="clear" w:color="auto" w:fill="auto"/>
            <w:noWrap/>
            <w:vAlign w:val="bottom"/>
            <w:hideMark/>
          </w:tcPr>
          <w:p w14:paraId="4C6EEBCA" w14:textId="77777777" w:rsidR="002F53B7" w:rsidRDefault="002F53B7" w:rsidP="002F53B7">
            <w:pPr>
              <w:rPr>
                <w:sz w:val="20"/>
                <w:szCs w:val="20"/>
              </w:rPr>
            </w:pPr>
          </w:p>
        </w:tc>
        <w:tc>
          <w:tcPr>
            <w:tcW w:w="1260" w:type="dxa"/>
            <w:gridSpan w:val="3"/>
            <w:tcBorders>
              <w:top w:val="nil"/>
              <w:left w:val="nil"/>
              <w:bottom w:val="nil"/>
              <w:right w:val="nil"/>
            </w:tcBorders>
            <w:shd w:val="clear" w:color="auto" w:fill="auto"/>
            <w:noWrap/>
            <w:vAlign w:val="bottom"/>
            <w:hideMark/>
          </w:tcPr>
          <w:p w14:paraId="56589333" w14:textId="77777777" w:rsidR="002F53B7" w:rsidRDefault="002F53B7" w:rsidP="002F53B7">
            <w:pPr>
              <w:rPr>
                <w:sz w:val="20"/>
                <w:szCs w:val="20"/>
              </w:rPr>
            </w:pPr>
          </w:p>
        </w:tc>
        <w:tc>
          <w:tcPr>
            <w:tcW w:w="1260" w:type="dxa"/>
            <w:gridSpan w:val="2"/>
            <w:tcBorders>
              <w:top w:val="nil"/>
              <w:left w:val="nil"/>
              <w:bottom w:val="nil"/>
              <w:right w:val="nil"/>
            </w:tcBorders>
            <w:shd w:val="clear" w:color="auto" w:fill="auto"/>
            <w:noWrap/>
            <w:vAlign w:val="bottom"/>
            <w:hideMark/>
          </w:tcPr>
          <w:p w14:paraId="1F13FE2C" w14:textId="77777777" w:rsidR="002F53B7" w:rsidRDefault="002F53B7" w:rsidP="002F53B7">
            <w:pPr>
              <w:rPr>
                <w:sz w:val="20"/>
                <w:szCs w:val="20"/>
              </w:rPr>
            </w:pPr>
          </w:p>
        </w:tc>
        <w:tc>
          <w:tcPr>
            <w:tcW w:w="1440" w:type="dxa"/>
            <w:gridSpan w:val="2"/>
            <w:tcBorders>
              <w:top w:val="nil"/>
              <w:left w:val="nil"/>
              <w:bottom w:val="nil"/>
              <w:right w:val="nil"/>
            </w:tcBorders>
            <w:shd w:val="clear" w:color="auto" w:fill="auto"/>
            <w:noWrap/>
            <w:vAlign w:val="bottom"/>
            <w:hideMark/>
          </w:tcPr>
          <w:p w14:paraId="5D0A8E03" w14:textId="77777777" w:rsidR="002F53B7" w:rsidRDefault="002F53B7" w:rsidP="002F53B7">
            <w:pPr>
              <w:rPr>
                <w:sz w:val="20"/>
                <w:szCs w:val="20"/>
              </w:rPr>
            </w:pPr>
          </w:p>
        </w:tc>
      </w:tr>
      <w:tr w:rsidR="002F53B7" w14:paraId="2EC92DB1" w14:textId="77777777" w:rsidTr="00730CB1">
        <w:trPr>
          <w:gridAfter w:val="1"/>
          <w:wAfter w:w="217" w:type="dxa"/>
          <w:trHeight w:val="290"/>
        </w:trPr>
        <w:tc>
          <w:tcPr>
            <w:tcW w:w="976" w:type="dxa"/>
            <w:tcBorders>
              <w:top w:val="nil"/>
              <w:left w:val="nil"/>
              <w:bottom w:val="nil"/>
              <w:right w:val="nil"/>
            </w:tcBorders>
            <w:shd w:val="clear" w:color="auto" w:fill="auto"/>
            <w:noWrap/>
            <w:vAlign w:val="bottom"/>
            <w:hideMark/>
          </w:tcPr>
          <w:p w14:paraId="34E7D98E" w14:textId="77777777" w:rsidR="002F53B7" w:rsidRDefault="002F53B7" w:rsidP="002F53B7">
            <w:pPr>
              <w:rPr>
                <w:sz w:val="20"/>
                <w:szCs w:val="20"/>
              </w:rPr>
            </w:pPr>
          </w:p>
        </w:tc>
        <w:tc>
          <w:tcPr>
            <w:tcW w:w="1080" w:type="dxa"/>
            <w:gridSpan w:val="2"/>
            <w:tcBorders>
              <w:top w:val="nil"/>
              <w:left w:val="nil"/>
              <w:bottom w:val="nil"/>
              <w:right w:val="nil"/>
            </w:tcBorders>
            <w:shd w:val="clear" w:color="auto" w:fill="auto"/>
            <w:noWrap/>
            <w:vAlign w:val="bottom"/>
            <w:hideMark/>
          </w:tcPr>
          <w:p w14:paraId="3D91D9A7" w14:textId="77777777" w:rsidR="002F53B7" w:rsidRDefault="002F53B7" w:rsidP="002F53B7">
            <w:pPr>
              <w:jc w:val="right"/>
              <w:rPr>
                <w:rFonts w:ascii="Calibri" w:hAnsi="Calibri" w:cs="Calibri"/>
                <w:color w:val="000000"/>
                <w:sz w:val="22"/>
              </w:rPr>
            </w:pPr>
            <w:r>
              <w:rPr>
                <w:rFonts w:ascii="Calibri" w:hAnsi="Calibri" w:cs="Calibri"/>
                <w:color w:val="000000"/>
                <w:sz w:val="22"/>
              </w:rPr>
              <w:t>1948</w:t>
            </w:r>
          </w:p>
        </w:tc>
        <w:tc>
          <w:tcPr>
            <w:tcW w:w="1079" w:type="dxa"/>
            <w:gridSpan w:val="2"/>
            <w:tcBorders>
              <w:top w:val="nil"/>
              <w:left w:val="nil"/>
              <w:bottom w:val="nil"/>
              <w:right w:val="nil"/>
            </w:tcBorders>
            <w:shd w:val="clear" w:color="auto" w:fill="auto"/>
            <w:noWrap/>
            <w:vAlign w:val="bottom"/>
            <w:hideMark/>
          </w:tcPr>
          <w:p w14:paraId="1F57B6EF" w14:textId="77777777" w:rsidR="002F53B7" w:rsidRDefault="002F53B7" w:rsidP="002F53B7">
            <w:pPr>
              <w:jc w:val="right"/>
              <w:rPr>
                <w:rFonts w:ascii="Calibri" w:hAnsi="Calibri" w:cs="Calibri"/>
                <w:color w:val="000000"/>
                <w:sz w:val="22"/>
              </w:rPr>
            </w:pPr>
            <w:r>
              <w:rPr>
                <w:rFonts w:ascii="Calibri" w:hAnsi="Calibri" w:cs="Calibri"/>
                <w:color w:val="000000"/>
                <w:sz w:val="22"/>
              </w:rPr>
              <w:t>67571</w:t>
            </w:r>
          </w:p>
        </w:tc>
        <w:tc>
          <w:tcPr>
            <w:tcW w:w="1079" w:type="dxa"/>
            <w:gridSpan w:val="2"/>
            <w:tcBorders>
              <w:top w:val="nil"/>
              <w:left w:val="nil"/>
              <w:bottom w:val="nil"/>
              <w:right w:val="nil"/>
            </w:tcBorders>
            <w:shd w:val="clear" w:color="auto" w:fill="auto"/>
            <w:noWrap/>
            <w:vAlign w:val="bottom"/>
            <w:hideMark/>
          </w:tcPr>
          <w:p w14:paraId="0311AB72" w14:textId="77777777" w:rsidR="002F53B7" w:rsidRDefault="002F53B7" w:rsidP="002F53B7">
            <w:pPr>
              <w:jc w:val="right"/>
              <w:rPr>
                <w:rFonts w:ascii="Calibri" w:hAnsi="Calibri" w:cs="Calibri"/>
                <w:color w:val="000000"/>
                <w:sz w:val="22"/>
              </w:rPr>
            </w:pPr>
            <w:r>
              <w:rPr>
                <w:rFonts w:ascii="Calibri" w:hAnsi="Calibri" w:cs="Calibri"/>
                <w:color w:val="000000"/>
                <w:sz w:val="22"/>
              </w:rPr>
              <w:t>35448</w:t>
            </w:r>
          </w:p>
        </w:tc>
        <w:tc>
          <w:tcPr>
            <w:tcW w:w="916" w:type="dxa"/>
            <w:gridSpan w:val="2"/>
            <w:tcBorders>
              <w:top w:val="nil"/>
              <w:left w:val="nil"/>
              <w:bottom w:val="nil"/>
              <w:right w:val="nil"/>
            </w:tcBorders>
            <w:shd w:val="clear" w:color="auto" w:fill="auto"/>
            <w:noWrap/>
            <w:vAlign w:val="bottom"/>
            <w:hideMark/>
          </w:tcPr>
          <w:p w14:paraId="57EAE5DE" w14:textId="28D12EC6" w:rsidR="002F53B7" w:rsidRDefault="002F53B7" w:rsidP="002F53B7">
            <w:pPr>
              <w:jc w:val="right"/>
              <w:rPr>
                <w:rFonts w:ascii="Calibri" w:hAnsi="Calibri" w:cs="Calibri"/>
                <w:color w:val="000000"/>
                <w:sz w:val="22"/>
              </w:rPr>
            </w:pPr>
            <w:r>
              <w:rPr>
                <w:rFonts w:ascii="Calibri" w:hAnsi="Calibri" w:cs="Calibri"/>
                <w:color w:val="000000"/>
                <w:sz w:val="22"/>
              </w:rPr>
              <w:t>86.</w:t>
            </w:r>
            <w:r w:rsidR="002F7D56">
              <w:rPr>
                <w:rFonts w:ascii="Calibri" w:hAnsi="Calibri" w:cs="Calibri"/>
                <w:color w:val="000000"/>
                <w:sz w:val="22"/>
              </w:rPr>
              <w:t>4</w:t>
            </w:r>
          </w:p>
        </w:tc>
        <w:tc>
          <w:tcPr>
            <w:tcW w:w="900" w:type="dxa"/>
            <w:gridSpan w:val="2"/>
            <w:tcBorders>
              <w:top w:val="nil"/>
              <w:left w:val="nil"/>
              <w:bottom w:val="nil"/>
              <w:right w:val="nil"/>
            </w:tcBorders>
            <w:shd w:val="clear" w:color="auto" w:fill="auto"/>
            <w:noWrap/>
            <w:vAlign w:val="bottom"/>
            <w:hideMark/>
          </w:tcPr>
          <w:p w14:paraId="69814AFE" w14:textId="77777777" w:rsidR="002F53B7" w:rsidRDefault="002F53B7" w:rsidP="002F53B7">
            <w:pPr>
              <w:jc w:val="right"/>
              <w:rPr>
                <w:rFonts w:ascii="Calibri" w:hAnsi="Calibri" w:cs="Calibri"/>
                <w:color w:val="000000"/>
                <w:sz w:val="22"/>
              </w:rPr>
            </w:pPr>
            <w:r>
              <w:rPr>
                <w:rFonts w:ascii="Calibri" w:hAnsi="Calibri" w:cs="Calibri"/>
                <w:color w:val="000000"/>
                <w:sz w:val="22"/>
              </w:rPr>
              <w:t>88.5</w:t>
            </w:r>
          </w:p>
        </w:tc>
        <w:tc>
          <w:tcPr>
            <w:tcW w:w="900" w:type="dxa"/>
            <w:gridSpan w:val="2"/>
            <w:tcBorders>
              <w:top w:val="nil"/>
              <w:left w:val="nil"/>
              <w:bottom w:val="nil"/>
              <w:right w:val="nil"/>
            </w:tcBorders>
            <w:shd w:val="clear" w:color="auto" w:fill="auto"/>
            <w:noWrap/>
            <w:vAlign w:val="bottom"/>
            <w:hideMark/>
          </w:tcPr>
          <w:p w14:paraId="2026DED9" w14:textId="05ACA876" w:rsidR="002F53B7" w:rsidRDefault="002F7D56" w:rsidP="002F53B7">
            <w:pPr>
              <w:jc w:val="right"/>
              <w:rPr>
                <w:rFonts w:ascii="Calibri" w:hAnsi="Calibri" w:cs="Calibri"/>
                <w:color w:val="000000"/>
                <w:sz w:val="22"/>
              </w:rPr>
            </w:pPr>
            <w:r>
              <w:rPr>
                <w:rFonts w:ascii="Calibri" w:hAnsi="Calibri" w:cs="Calibri"/>
                <w:color w:val="000000"/>
                <w:sz w:val="22"/>
              </w:rPr>
              <w:t>773</w:t>
            </w:r>
            <w:r w:rsidR="002F53B7">
              <w:rPr>
                <w:rFonts w:ascii="Calibri" w:hAnsi="Calibri" w:cs="Calibri"/>
                <w:color w:val="000000"/>
                <w:sz w:val="22"/>
              </w:rPr>
              <w:t>49</w:t>
            </w:r>
          </w:p>
        </w:tc>
        <w:tc>
          <w:tcPr>
            <w:tcW w:w="810" w:type="dxa"/>
            <w:tcBorders>
              <w:top w:val="nil"/>
              <w:left w:val="nil"/>
              <w:bottom w:val="nil"/>
              <w:right w:val="nil"/>
            </w:tcBorders>
            <w:shd w:val="clear" w:color="auto" w:fill="auto"/>
            <w:noWrap/>
            <w:vAlign w:val="bottom"/>
            <w:hideMark/>
          </w:tcPr>
          <w:p w14:paraId="0E3FE5E1" w14:textId="77777777" w:rsidR="002F53B7" w:rsidRDefault="002F53B7" w:rsidP="002F53B7">
            <w:pPr>
              <w:jc w:val="right"/>
              <w:rPr>
                <w:rFonts w:ascii="Calibri" w:hAnsi="Calibri" w:cs="Calibri"/>
                <w:color w:val="000000"/>
                <w:sz w:val="22"/>
              </w:rPr>
            </w:pPr>
            <w:r>
              <w:rPr>
                <w:rFonts w:ascii="Calibri" w:hAnsi="Calibri" w:cs="Calibri"/>
                <w:color w:val="000000"/>
                <w:sz w:val="22"/>
              </w:rPr>
              <w:t>15276</w:t>
            </w:r>
          </w:p>
        </w:tc>
        <w:tc>
          <w:tcPr>
            <w:tcW w:w="810" w:type="dxa"/>
            <w:gridSpan w:val="2"/>
            <w:tcBorders>
              <w:top w:val="nil"/>
              <w:left w:val="nil"/>
              <w:bottom w:val="nil"/>
              <w:right w:val="nil"/>
            </w:tcBorders>
            <w:shd w:val="clear" w:color="auto" w:fill="auto"/>
            <w:noWrap/>
            <w:vAlign w:val="bottom"/>
            <w:hideMark/>
          </w:tcPr>
          <w:p w14:paraId="4462A14F" w14:textId="77777777" w:rsidR="002F53B7" w:rsidRDefault="002F53B7" w:rsidP="002F53B7">
            <w:pPr>
              <w:jc w:val="right"/>
              <w:rPr>
                <w:rFonts w:ascii="Calibri" w:hAnsi="Calibri" w:cs="Calibri"/>
                <w:color w:val="000000"/>
                <w:sz w:val="22"/>
              </w:rPr>
            </w:pPr>
            <w:r>
              <w:rPr>
                <w:rFonts w:ascii="Calibri" w:hAnsi="Calibri" w:cs="Calibri"/>
                <w:color w:val="000000"/>
                <w:sz w:val="22"/>
              </w:rPr>
              <w:t>13824</w:t>
            </w:r>
          </w:p>
        </w:tc>
        <w:tc>
          <w:tcPr>
            <w:tcW w:w="1260" w:type="dxa"/>
            <w:gridSpan w:val="3"/>
            <w:tcBorders>
              <w:top w:val="nil"/>
              <w:left w:val="nil"/>
              <w:bottom w:val="nil"/>
              <w:right w:val="nil"/>
            </w:tcBorders>
            <w:shd w:val="clear" w:color="auto" w:fill="auto"/>
            <w:noWrap/>
            <w:vAlign w:val="bottom"/>
            <w:hideMark/>
          </w:tcPr>
          <w:p w14:paraId="16D332DC" w14:textId="77777777" w:rsidR="002F53B7" w:rsidRDefault="002F53B7" w:rsidP="002F53B7">
            <w:pPr>
              <w:jc w:val="right"/>
              <w:rPr>
                <w:rFonts w:ascii="Calibri" w:hAnsi="Calibri" w:cs="Calibri"/>
                <w:color w:val="000000"/>
                <w:sz w:val="22"/>
              </w:rPr>
            </w:pPr>
            <w:r>
              <w:rPr>
                <w:rFonts w:ascii="Calibri" w:hAnsi="Calibri" w:cs="Calibri"/>
                <w:color w:val="000000"/>
                <w:sz w:val="22"/>
              </w:rPr>
              <w:t>15.209</w:t>
            </w:r>
          </w:p>
        </w:tc>
        <w:tc>
          <w:tcPr>
            <w:tcW w:w="1260" w:type="dxa"/>
            <w:gridSpan w:val="2"/>
            <w:tcBorders>
              <w:top w:val="nil"/>
              <w:left w:val="nil"/>
              <w:bottom w:val="nil"/>
              <w:right w:val="nil"/>
            </w:tcBorders>
            <w:shd w:val="clear" w:color="auto" w:fill="auto"/>
            <w:noWrap/>
            <w:vAlign w:val="bottom"/>
            <w:hideMark/>
          </w:tcPr>
          <w:p w14:paraId="3F52EF9F" w14:textId="77777777" w:rsidR="002F53B7" w:rsidRDefault="002F53B7" w:rsidP="002F53B7">
            <w:pPr>
              <w:jc w:val="right"/>
              <w:rPr>
                <w:rFonts w:ascii="Calibri" w:hAnsi="Calibri" w:cs="Calibri"/>
                <w:color w:val="000000"/>
                <w:sz w:val="22"/>
              </w:rPr>
            </w:pPr>
          </w:p>
        </w:tc>
        <w:tc>
          <w:tcPr>
            <w:tcW w:w="1440" w:type="dxa"/>
            <w:gridSpan w:val="2"/>
            <w:tcBorders>
              <w:top w:val="nil"/>
              <w:left w:val="nil"/>
              <w:bottom w:val="nil"/>
              <w:right w:val="nil"/>
            </w:tcBorders>
            <w:shd w:val="clear" w:color="auto" w:fill="auto"/>
            <w:noWrap/>
            <w:vAlign w:val="bottom"/>
            <w:hideMark/>
          </w:tcPr>
          <w:p w14:paraId="6BBF8E76" w14:textId="77777777" w:rsidR="002F53B7" w:rsidRDefault="002F53B7" w:rsidP="002F53B7">
            <w:pPr>
              <w:rPr>
                <w:sz w:val="20"/>
                <w:szCs w:val="20"/>
              </w:rPr>
            </w:pPr>
          </w:p>
        </w:tc>
      </w:tr>
      <w:tr w:rsidR="002F53B7" w14:paraId="0E40A99E" w14:textId="77777777" w:rsidTr="00730CB1">
        <w:trPr>
          <w:gridAfter w:val="1"/>
          <w:wAfter w:w="217" w:type="dxa"/>
          <w:trHeight w:val="290"/>
        </w:trPr>
        <w:tc>
          <w:tcPr>
            <w:tcW w:w="2056" w:type="dxa"/>
            <w:gridSpan w:val="3"/>
            <w:tcBorders>
              <w:top w:val="nil"/>
              <w:left w:val="nil"/>
              <w:bottom w:val="nil"/>
              <w:right w:val="nil"/>
            </w:tcBorders>
            <w:shd w:val="clear" w:color="auto" w:fill="auto"/>
            <w:noWrap/>
            <w:vAlign w:val="bottom"/>
            <w:hideMark/>
          </w:tcPr>
          <w:p w14:paraId="76EABDA2" w14:textId="77777777" w:rsidR="002F53B7" w:rsidRDefault="002F53B7" w:rsidP="002F53B7">
            <w:pPr>
              <w:rPr>
                <w:rFonts w:ascii="Calibri" w:hAnsi="Calibri" w:cs="Calibri"/>
                <w:color w:val="000000"/>
                <w:sz w:val="22"/>
              </w:rPr>
            </w:pPr>
            <w:r>
              <w:rPr>
                <w:rFonts w:ascii="Calibri" w:hAnsi="Calibri" w:cs="Calibri"/>
                <w:color w:val="000000"/>
                <w:sz w:val="22"/>
              </w:rPr>
              <w:t>Growth Rates</w:t>
            </w:r>
          </w:p>
        </w:tc>
        <w:tc>
          <w:tcPr>
            <w:tcW w:w="1079" w:type="dxa"/>
            <w:gridSpan w:val="2"/>
            <w:tcBorders>
              <w:top w:val="nil"/>
              <w:left w:val="nil"/>
              <w:bottom w:val="nil"/>
              <w:right w:val="nil"/>
            </w:tcBorders>
            <w:shd w:val="clear" w:color="auto" w:fill="auto"/>
            <w:noWrap/>
            <w:vAlign w:val="bottom"/>
            <w:hideMark/>
          </w:tcPr>
          <w:p w14:paraId="2679E3FE" w14:textId="77777777" w:rsidR="002F53B7" w:rsidRDefault="002F53B7" w:rsidP="002F53B7">
            <w:pPr>
              <w:rPr>
                <w:rFonts w:ascii="Calibri" w:hAnsi="Calibri" w:cs="Calibri"/>
                <w:color w:val="000000"/>
                <w:sz w:val="22"/>
              </w:rPr>
            </w:pPr>
          </w:p>
        </w:tc>
        <w:tc>
          <w:tcPr>
            <w:tcW w:w="1079" w:type="dxa"/>
            <w:gridSpan w:val="2"/>
            <w:tcBorders>
              <w:top w:val="nil"/>
              <w:left w:val="nil"/>
              <w:bottom w:val="nil"/>
              <w:right w:val="nil"/>
            </w:tcBorders>
            <w:shd w:val="clear" w:color="auto" w:fill="auto"/>
            <w:noWrap/>
            <w:vAlign w:val="bottom"/>
            <w:hideMark/>
          </w:tcPr>
          <w:p w14:paraId="2D2C4FBB" w14:textId="77777777" w:rsidR="002F53B7" w:rsidRDefault="002F53B7" w:rsidP="002F53B7">
            <w:pPr>
              <w:rPr>
                <w:sz w:val="20"/>
                <w:szCs w:val="20"/>
              </w:rPr>
            </w:pPr>
          </w:p>
        </w:tc>
        <w:tc>
          <w:tcPr>
            <w:tcW w:w="916" w:type="dxa"/>
            <w:gridSpan w:val="2"/>
            <w:tcBorders>
              <w:top w:val="nil"/>
              <w:left w:val="nil"/>
              <w:bottom w:val="nil"/>
              <w:right w:val="nil"/>
            </w:tcBorders>
            <w:shd w:val="clear" w:color="auto" w:fill="auto"/>
            <w:noWrap/>
            <w:vAlign w:val="bottom"/>
            <w:hideMark/>
          </w:tcPr>
          <w:p w14:paraId="17FB8537" w14:textId="77777777" w:rsidR="002F53B7" w:rsidRDefault="002F53B7" w:rsidP="002F53B7">
            <w:pPr>
              <w:rPr>
                <w:sz w:val="20"/>
                <w:szCs w:val="20"/>
              </w:rPr>
            </w:pPr>
          </w:p>
        </w:tc>
        <w:tc>
          <w:tcPr>
            <w:tcW w:w="900" w:type="dxa"/>
            <w:gridSpan w:val="2"/>
            <w:tcBorders>
              <w:top w:val="nil"/>
              <w:left w:val="nil"/>
              <w:bottom w:val="nil"/>
              <w:right w:val="nil"/>
            </w:tcBorders>
            <w:shd w:val="clear" w:color="auto" w:fill="auto"/>
            <w:noWrap/>
            <w:vAlign w:val="bottom"/>
            <w:hideMark/>
          </w:tcPr>
          <w:p w14:paraId="27323F03" w14:textId="77777777" w:rsidR="002F53B7" w:rsidRDefault="002F53B7" w:rsidP="002F53B7">
            <w:pPr>
              <w:rPr>
                <w:sz w:val="20"/>
                <w:szCs w:val="20"/>
              </w:rPr>
            </w:pPr>
          </w:p>
        </w:tc>
        <w:tc>
          <w:tcPr>
            <w:tcW w:w="900" w:type="dxa"/>
            <w:gridSpan w:val="2"/>
            <w:tcBorders>
              <w:top w:val="nil"/>
              <w:left w:val="nil"/>
              <w:bottom w:val="nil"/>
              <w:right w:val="nil"/>
            </w:tcBorders>
            <w:shd w:val="clear" w:color="auto" w:fill="auto"/>
            <w:noWrap/>
            <w:vAlign w:val="bottom"/>
            <w:hideMark/>
          </w:tcPr>
          <w:p w14:paraId="4DA81A20" w14:textId="77777777" w:rsidR="002F53B7" w:rsidRDefault="002F53B7" w:rsidP="002F53B7">
            <w:pPr>
              <w:rPr>
                <w:sz w:val="20"/>
                <w:szCs w:val="20"/>
              </w:rPr>
            </w:pPr>
          </w:p>
        </w:tc>
        <w:tc>
          <w:tcPr>
            <w:tcW w:w="810" w:type="dxa"/>
            <w:tcBorders>
              <w:top w:val="nil"/>
              <w:left w:val="nil"/>
              <w:bottom w:val="nil"/>
              <w:right w:val="nil"/>
            </w:tcBorders>
            <w:shd w:val="clear" w:color="auto" w:fill="auto"/>
            <w:noWrap/>
            <w:vAlign w:val="bottom"/>
            <w:hideMark/>
          </w:tcPr>
          <w:p w14:paraId="44FF14C4" w14:textId="77777777" w:rsidR="002F53B7" w:rsidRDefault="002F53B7" w:rsidP="002F53B7">
            <w:pPr>
              <w:rPr>
                <w:sz w:val="20"/>
                <w:szCs w:val="20"/>
              </w:rPr>
            </w:pPr>
          </w:p>
        </w:tc>
        <w:tc>
          <w:tcPr>
            <w:tcW w:w="810" w:type="dxa"/>
            <w:gridSpan w:val="2"/>
            <w:tcBorders>
              <w:top w:val="nil"/>
              <w:left w:val="nil"/>
              <w:bottom w:val="nil"/>
              <w:right w:val="nil"/>
            </w:tcBorders>
            <w:shd w:val="clear" w:color="auto" w:fill="auto"/>
            <w:noWrap/>
            <w:vAlign w:val="bottom"/>
            <w:hideMark/>
          </w:tcPr>
          <w:p w14:paraId="08CC8690" w14:textId="77777777" w:rsidR="002F53B7" w:rsidRDefault="002F53B7" w:rsidP="002F53B7">
            <w:pPr>
              <w:rPr>
                <w:sz w:val="20"/>
                <w:szCs w:val="20"/>
              </w:rPr>
            </w:pPr>
          </w:p>
        </w:tc>
        <w:tc>
          <w:tcPr>
            <w:tcW w:w="1260" w:type="dxa"/>
            <w:gridSpan w:val="3"/>
            <w:tcBorders>
              <w:top w:val="nil"/>
              <w:left w:val="nil"/>
              <w:bottom w:val="nil"/>
              <w:right w:val="nil"/>
            </w:tcBorders>
            <w:shd w:val="clear" w:color="auto" w:fill="auto"/>
            <w:noWrap/>
            <w:vAlign w:val="bottom"/>
            <w:hideMark/>
          </w:tcPr>
          <w:p w14:paraId="2952F03F" w14:textId="77777777" w:rsidR="002F53B7" w:rsidRDefault="002F53B7" w:rsidP="002F53B7">
            <w:pPr>
              <w:rPr>
                <w:sz w:val="20"/>
                <w:szCs w:val="20"/>
              </w:rPr>
            </w:pPr>
          </w:p>
        </w:tc>
        <w:tc>
          <w:tcPr>
            <w:tcW w:w="1260" w:type="dxa"/>
            <w:gridSpan w:val="2"/>
            <w:tcBorders>
              <w:top w:val="nil"/>
              <w:left w:val="nil"/>
              <w:bottom w:val="nil"/>
              <w:right w:val="nil"/>
            </w:tcBorders>
            <w:shd w:val="clear" w:color="auto" w:fill="auto"/>
            <w:noWrap/>
            <w:vAlign w:val="bottom"/>
            <w:hideMark/>
          </w:tcPr>
          <w:p w14:paraId="6DD7619F" w14:textId="77777777" w:rsidR="002F53B7" w:rsidRDefault="002F53B7" w:rsidP="002F53B7">
            <w:pPr>
              <w:rPr>
                <w:sz w:val="20"/>
                <w:szCs w:val="20"/>
              </w:rPr>
            </w:pPr>
          </w:p>
        </w:tc>
        <w:tc>
          <w:tcPr>
            <w:tcW w:w="1440" w:type="dxa"/>
            <w:gridSpan w:val="2"/>
            <w:tcBorders>
              <w:top w:val="nil"/>
              <w:left w:val="nil"/>
              <w:bottom w:val="nil"/>
              <w:right w:val="nil"/>
            </w:tcBorders>
            <w:shd w:val="clear" w:color="auto" w:fill="auto"/>
            <w:noWrap/>
            <w:vAlign w:val="bottom"/>
            <w:hideMark/>
          </w:tcPr>
          <w:p w14:paraId="7AC90E90" w14:textId="77777777" w:rsidR="002F53B7" w:rsidRDefault="002F53B7" w:rsidP="002F53B7">
            <w:pPr>
              <w:rPr>
                <w:sz w:val="20"/>
                <w:szCs w:val="20"/>
              </w:rPr>
            </w:pPr>
          </w:p>
        </w:tc>
      </w:tr>
      <w:tr w:rsidR="002F53B7" w14:paraId="59811028" w14:textId="77777777" w:rsidTr="00730CB1">
        <w:trPr>
          <w:gridAfter w:val="1"/>
          <w:wAfter w:w="217" w:type="dxa"/>
          <w:trHeight w:val="290"/>
        </w:trPr>
        <w:tc>
          <w:tcPr>
            <w:tcW w:w="976" w:type="dxa"/>
            <w:tcBorders>
              <w:top w:val="nil"/>
              <w:left w:val="nil"/>
              <w:bottom w:val="nil"/>
              <w:right w:val="nil"/>
            </w:tcBorders>
            <w:shd w:val="clear" w:color="auto" w:fill="auto"/>
            <w:noWrap/>
            <w:vAlign w:val="bottom"/>
            <w:hideMark/>
          </w:tcPr>
          <w:p w14:paraId="61B7DD40" w14:textId="77777777" w:rsidR="002F53B7" w:rsidRDefault="002F53B7" w:rsidP="002F53B7">
            <w:pPr>
              <w:rPr>
                <w:sz w:val="20"/>
                <w:szCs w:val="20"/>
              </w:rPr>
            </w:pPr>
          </w:p>
        </w:tc>
        <w:tc>
          <w:tcPr>
            <w:tcW w:w="1080" w:type="dxa"/>
            <w:gridSpan w:val="2"/>
            <w:tcBorders>
              <w:top w:val="nil"/>
              <w:left w:val="nil"/>
              <w:bottom w:val="nil"/>
              <w:right w:val="nil"/>
            </w:tcBorders>
            <w:shd w:val="clear" w:color="auto" w:fill="auto"/>
            <w:noWrap/>
            <w:vAlign w:val="bottom"/>
            <w:hideMark/>
          </w:tcPr>
          <w:p w14:paraId="65AFCBB2" w14:textId="77777777" w:rsidR="002F53B7" w:rsidRDefault="002F53B7" w:rsidP="002F53B7">
            <w:pPr>
              <w:jc w:val="right"/>
              <w:rPr>
                <w:rFonts w:ascii="Calibri" w:hAnsi="Calibri" w:cs="Calibri"/>
                <w:color w:val="000000"/>
                <w:sz w:val="22"/>
              </w:rPr>
            </w:pPr>
            <w:r>
              <w:rPr>
                <w:rFonts w:ascii="Calibri" w:hAnsi="Calibri" w:cs="Calibri"/>
                <w:color w:val="000000"/>
                <w:sz w:val="22"/>
              </w:rPr>
              <w:t>1929-41</w:t>
            </w:r>
          </w:p>
        </w:tc>
        <w:tc>
          <w:tcPr>
            <w:tcW w:w="1079" w:type="dxa"/>
            <w:gridSpan w:val="2"/>
            <w:tcBorders>
              <w:top w:val="nil"/>
              <w:left w:val="nil"/>
              <w:bottom w:val="nil"/>
              <w:right w:val="nil"/>
            </w:tcBorders>
            <w:shd w:val="clear" w:color="auto" w:fill="auto"/>
            <w:noWrap/>
            <w:vAlign w:val="bottom"/>
            <w:hideMark/>
          </w:tcPr>
          <w:p w14:paraId="242657A3" w14:textId="77777777" w:rsidR="002F53B7" w:rsidRDefault="002F53B7" w:rsidP="002F53B7">
            <w:pPr>
              <w:jc w:val="right"/>
              <w:rPr>
                <w:rFonts w:ascii="Calibri" w:hAnsi="Calibri" w:cs="Calibri"/>
                <w:color w:val="000000"/>
                <w:sz w:val="22"/>
              </w:rPr>
            </w:pPr>
          </w:p>
        </w:tc>
        <w:tc>
          <w:tcPr>
            <w:tcW w:w="1079" w:type="dxa"/>
            <w:gridSpan w:val="2"/>
            <w:tcBorders>
              <w:top w:val="nil"/>
              <w:left w:val="nil"/>
              <w:bottom w:val="nil"/>
              <w:right w:val="nil"/>
            </w:tcBorders>
            <w:shd w:val="clear" w:color="auto" w:fill="auto"/>
            <w:noWrap/>
            <w:vAlign w:val="bottom"/>
            <w:hideMark/>
          </w:tcPr>
          <w:p w14:paraId="6DFCD83C" w14:textId="77777777" w:rsidR="002F53B7" w:rsidRDefault="002F53B7" w:rsidP="002F53B7">
            <w:pPr>
              <w:rPr>
                <w:sz w:val="20"/>
                <w:szCs w:val="20"/>
              </w:rPr>
            </w:pPr>
          </w:p>
        </w:tc>
        <w:tc>
          <w:tcPr>
            <w:tcW w:w="916" w:type="dxa"/>
            <w:gridSpan w:val="2"/>
            <w:tcBorders>
              <w:top w:val="nil"/>
              <w:left w:val="nil"/>
              <w:bottom w:val="nil"/>
              <w:right w:val="nil"/>
            </w:tcBorders>
            <w:shd w:val="clear" w:color="auto" w:fill="auto"/>
            <w:noWrap/>
            <w:vAlign w:val="bottom"/>
            <w:hideMark/>
          </w:tcPr>
          <w:p w14:paraId="180075B4" w14:textId="77777777" w:rsidR="002F53B7" w:rsidRDefault="002F53B7" w:rsidP="002F53B7">
            <w:pPr>
              <w:rPr>
                <w:sz w:val="20"/>
                <w:szCs w:val="20"/>
              </w:rPr>
            </w:pPr>
          </w:p>
        </w:tc>
        <w:tc>
          <w:tcPr>
            <w:tcW w:w="900" w:type="dxa"/>
            <w:gridSpan w:val="2"/>
            <w:tcBorders>
              <w:top w:val="nil"/>
              <w:left w:val="nil"/>
              <w:bottom w:val="nil"/>
              <w:right w:val="nil"/>
            </w:tcBorders>
            <w:shd w:val="clear" w:color="auto" w:fill="auto"/>
            <w:noWrap/>
            <w:vAlign w:val="bottom"/>
            <w:hideMark/>
          </w:tcPr>
          <w:p w14:paraId="64B03043" w14:textId="77777777" w:rsidR="002F53B7" w:rsidRDefault="002F53B7" w:rsidP="002F53B7">
            <w:pPr>
              <w:rPr>
                <w:sz w:val="20"/>
                <w:szCs w:val="20"/>
              </w:rPr>
            </w:pPr>
          </w:p>
        </w:tc>
        <w:tc>
          <w:tcPr>
            <w:tcW w:w="900" w:type="dxa"/>
            <w:gridSpan w:val="2"/>
            <w:tcBorders>
              <w:top w:val="nil"/>
              <w:left w:val="nil"/>
              <w:bottom w:val="nil"/>
              <w:right w:val="nil"/>
            </w:tcBorders>
            <w:shd w:val="clear" w:color="auto" w:fill="auto"/>
            <w:noWrap/>
            <w:vAlign w:val="bottom"/>
            <w:hideMark/>
          </w:tcPr>
          <w:p w14:paraId="56386B2E" w14:textId="77777777" w:rsidR="002F53B7" w:rsidRDefault="002F53B7" w:rsidP="002F53B7">
            <w:pPr>
              <w:jc w:val="right"/>
              <w:rPr>
                <w:rFonts w:ascii="Calibri" w:hAnsi="Calibri" w:cs="Calibri"/>
                <w:color w:val="000000"/>
                <w:sz w:val="22"/>
              </w:rPr>
            </w:pPr>
            <w:r>
              <w:rPr>
                <w:rFonts w:ascii="Calibri" w:hAnsi="Calibri" w:cs="Calibri"/>
                <w:color w:val="000000"/>
                <w:sz w:val="22"/>
              </w:rPr>
              <w:t>0.0443</w:t>
            </w:r>
          </w:p>
        </w:tc>
        <w:tc>
          <w:tcPr>
            <w:tcW w:w="810" w:type="dxa"/>
            <w:tcBorders>
              <w:top w:val="nil"/>
              <w:left w:val="nil"/>
              <w:bottom w:val="nil"/>
              <w:right w:val="nil"/>
            </w:tcBorders>
            <w:shd w:val="clear" w:color="auto" w:fill="auto"/>
            <w:noWrap/>
            <w:vAlign w:val="bottom"/>
            <w:hideMark/>
          </w:tcPr>
          <w:p w14:paraId="4D74B2AE" w14:textId="77777777" w:rsidR="002F53B7" w:rsidRDefault="002F53B7" w:rsidP="002F53B7">
            <w:pPr>
              <w:jc w:val="right"/>
              <w:rPr>
                <w:rFonts w:ascii="Calibri" w:hAnsi="Calibri" w:cs="Calibri"/>
                <w:color w:val="000000"/>
                <w:sz w:val="22"/>
              </w:rPr>
            </w:pPr>
          </w:p>
        </w:tc>
        <w:tc>
          <w:tcPr>
            <w:tcW w:w="810" w:type="dxa"/>
            <w:gridSpan w:val="2"/>
            <w:tcBorders>
              <w:top w:val="nil"/>
              <w:left w:val="nil"/>
              <w:bottom w:val="nil"/>
              <w:right w:val="nil"/>
            </w:tcBorders>
            <w:shd w:val="clear" w:color="auto" w:fill="auto"/>
            <w:noWrap/>
            <w:vAlign w:val="bottom"/>
            <w:hideMark/>
          </w:tcPr>
          <w:p w14:paraId="10F7976E" w14:textId="77777777" w:rsidR="002F53B7" w:rsidRDefault="002F53B7" w:rsidP="002F53B7">
            <w:pPr>
              <w:jc w:val="right"/>
              <w:rPr>
                <w:rFonts w:ascii="Calibri" w:hAnsi="Calibri" w:cs="Calibri"/>
                <w:color w:val="000000"/>
                <w:sz w:val="22"/>
              </w:rPr>
            </w:pPr>
            <w:r>
              <w:rPr>
                <w:rFonts w:ascii="Calibri" w:hAnsi="Calibri" w:cs="Calibri"/>
                <w:color w:val="000000"/>
                <w:sz w:val="22"/>
              </w:rPr>
              <w:t>0.0122</w:t>
            </w:r>
          </w:p>
        </w:tc>
        <w:tc>
          <w:tcPr>
            <w:tcW w:w="1260" w:type="dxa"/>
            <w:gridSpan w:val="3"/>
            <w:tcBorders>
              <w:top w:val="nil"/>
              <w:left w:val="nil"/>
              <w:bottom w:val="nil"/>
              <w:right w:val="nil"/>
            </w:tcBorders>
            <w:shd w:val="clear" w:color="auto" w:fill="auto"/>
            <w:noWrap/>
            <w:vAlign w:val="bottom"/>
            <w:hideMark/>
          </w:tcPr>
          <w:p w14:paraId="0578FEC0" w14:textId="77777777" w:rsidR="002F53B7" w:rsidRDefault="002F53B7" w:rsidP="002F53B7">
            <w:pPr>
              <w:jc w:val="right"/>
              <w:rPr>
                <w:rFonts w:ascii="Calibri" w:hAnsi="Calibri" w:cs="Calibri"/>
                <w:color w:val="000000"/>
                <w:sz w:val="22"/>
              </w:rPr>
            </w:pPr>
            <w:r>
              <w:rPr>
                <w:rFonts w:ascii="Calibri" w:hAnsi="Calibri" w:cs="Calibri"/>
                <w:color w:val="000000"/>
                <w:sz w:val="22"/>
              </w:rPr>
              <w:t>0.0111</w:t>
            </w:r>
          </w:p>
        </w:tc>
        <w:tc>
          <w:tcPr>
            <w:tcW w:w="1260" w:type="dxa"/>
            <w:gridSpan w:val="2"/>
            <w:tcBorders>
              <w:top w:val="nil"/>
              <w:left w:val="nil"/>
              <w:bottom w:val="nil"/>
              <w:right w:val="nil"/>
            </w:tcBorders>
            <w:shd w:val="clear" w:color="auto" w:fill="auto"/>
            <w:noWrap/>
            <w:vAlign w:val="bottom"/>
            <w:hideMark/>
          </w:tcPr>
          <w:p w14:paraId="0DD1D08A" w14:textId="77777777" w:rsidR="002F53B7" w:rsidRDefault="002F53B7" w:rsidP="002F53B7">
            <w:pPr>
              <w:jc w:val="right"/>
              <w:rPr>
                <w:rFonts w:ascii="Calibri" w:hAnsi="Calibri" w:cs="Calibri"/>
                <w:color w:val="000000"/>
                <w:sz w:val="22"/>
              </w:rPr>
            </w:pPr>
            <w:r>
              <w:rPr>
                <w:rFonts w:ascii="Calibri" w:hAnsi="Calibri" w:cs="Calibri"/>
                <w:color w:val="000000"/>
                <w:sz w:val="22"/>
              </w:rPr>
              <w:t>0.0322</w:t>
            </w:r>
          </w:p>
        </w:tc>
        <w:tc>
          <w:tcPr>
            <w:tcW w:w="1440" w:type="dxa"/>
            <w:gridSpan w:val="2"/>
            <w:tcBorders>
              <w:top w:val="nil"/>
              <w:left w:val="nil"/>
              <w:bottom w:val="nil"/>
              <w:right w:val="nil"/>
            </w:tcBorders>
            <w:shd w:val="clear" w:color="auto" w:fill="auto"/>
            <w:noWrap/>
            <w:vAlign w:val="bottom"/>
            <w:hideMark/>
          </w:tcPr>
          <w:p w14:paraId="4539E7DE" w14:textId="77777777" w:rsidR="002F53B7" w:rsidRPr="00D451C7" w:rsidRDefault="002F53B7" w:rsidP="002F53B7">
            <w:pPr>
              <w:jc w:val="right"/>
              <w:rPr>
                <w:rFonts w:ascii="Calibri" w:hAnsi="Calibri" w:cs="Calibri"/>
                <w:b/>
                <w:color w:val="000000"/>
                <w:sz w:val="22"/>
              </w:rPr>
            </w:pPr>
            <w:r w:rsidRPr="00D451C7">
              <w:rPr>
                <w:rFonts w:ascii="Calibri" w:hAnsi="Calibri" w:cs="Calibri"/>
                <w:b/>
                <w:color w:val="000000"/>
                <w:sz w:val="22"/>
              </w:rPr>
              <w:t>0.0325</w:t>
            </w:r>
          </w:p>
        </w:tc>
      </w:tr>
      <w:tr w:rsidR="002F53B7" w14:paraId="1AD45F8F" w14:textId="77777777" w:rsidTr="00730CB1">
        <w:trPr>
          <w:gridAfter w:val="1"/>
          <w:wAfter w:w="217" w:type="dxa"/>
          <w:trHeight w:val="290"/>
        </w:trPr>
        <w:tc>
          <w:tcPr>
            <w:tcW w:w="976" w:type="dxa"/>
            <w:tcBorders>
              <w:top w:val="nil"/>
              <w:left w:val="nil"/>
              <w:bottom w:val="nil"/>
              <w:right w:val="nil"/>
            </w:tcBorders>
            <w:shd w:val="clear" w:color="auto" w:fill="auto"/>
            <w:noWrap/>
            <w:vAlign w:val="bottom"/>
            <w:hideMark/>
          </w:tcPr>
          <w:p w14:paraId="4755A692" w14:textId="77777777" w:rsidR="002F53B7" w:rsidRDefault="002F53B7" w:rsidP="002F53B7">
            <w:pPr>
              <w:jc w:val="right"/>
              <w:rPr>
                <w:rFonts w:ascii="Calibri" w:hAnsi="Calibri" w:cs="Calibri"/>
                <w:color w:val="000000"/>
                <w:sz w:val="22"/>
              </w:rPr>
            </w:pPr>
          </w:p>
        </w:tc>
        <w:tc>
          <w:tcPr>
            <w:tcW w:w="1080" w:type="dxa"/>
            <w:gridSpan w:val="2"/>
            <w:tcBorders>
              <w:top w:val="nil"/>
              <w:left w:val="nil"/>
              <w:bottom w:val="nil"/>
              <w:right w:val="nil"/>
            </w:tcBorders>
            <w:shd w:val="clear" w:color="auto" w:fill="auto"/>
            <w:noWrap/>
            <w:vAlign w:val="bottom"/>
            <w:hideMark/>
          </w:tcPr>
          <w:p w14:paraId="3BE4194A" w14:textId="77777777" w:rsidR="002F53B7" w:rsidRDefault="002F53B7" w:rsidP="002F53B7">
            <w:pPr>
              <w:jc w:val="right"/>
              <w:rPr>
                <w:rFonts w:ascii="Calibri" w:hAnsi="Calibri" w:cs="Calibri"/>
                <w:color w:val="000000"/>
                <w:sz w:val="22"/>
              </w:rPr>
            </w:pPr>
            <w:r>
              <w:rPr>
                <w:rFonts w:ascii="Calibri" w:hAnsi="Calibri" w:cs="Calibri"/>
                <w:color w:val="000000"/>
                <w:sz w:val="22"/>
              </w:rPr>
              <w:t>1941-48</w:t>
            </w:r>
          </w:p>
        </w:tc>
        <w:tc>
          <w:tcPr>
            <w:tcW w:w="1079" w:type="dxa"/>
            <w:gridSpan w:val="2"/>
            <w:tcBorders>
              <w:top w:val="nil"/>
              <w:left w:val="nil"/>
              <w:bottom w:val="nil"/>
              <w:right w:val="nil"/>
            </w:tcBorders>
            <w:shd w:val="clear" w:color="auto" w:fill="auto"/>
            <w:noWrap/>
            <w:vAlign w:val="bottom"/>
            <w:hideMark/>
          </w:tcPr>
          <w:p w14:paraId="38AAF517" w14:textId="77777777" w:rsidR="002F53B7" w:rsidRDefault="002F53B7" w:rsidP="002F53B7">
            <w:pPr>
              <w:jc w:val="right"/>
              <w:rPr>
                <w:rFonts w:ascii="Calibri" w:hAnsi="Calibri" w:cs="Calibri"/>
                <w:color w:val="000000"/>
                <w:sz w:val="22"/>
              </w:rPr>
            </w:pPr>
          </w:p>
        </w:tc>
        <w:tc>
          <w:tcPr>
            <w:tcW w:w="1079" w:type="dxa"/>
            <w:gridSpan w:val="2"/>
            <w:tcBorders>
              <w:top w:val="nil"/>
              <w:left w:val="nil"/>
              <w:bottom w:val="nil"/>
              <w:right w:val="nil"/>
            </w:tcBorders>
            <w:shd w:val="clear" w:color="auto" w:fill="auto"/>
            <w:noWrap/>
            <w:vAlign w:val="bottom"/>
            <w:hideMark/>
          </w:tcPr>
          <w:p w14:paraId="11893898" w14:textId="77777777" w:rsidR="002F53B7" w:rsidRDefault="002F53B7" w:rsidP="002F53B7">
            <w:pPr>
              <w:rPr>
                <w:sz w:val="20"/>
                <w:szCs w:val="20"/>
              </w:rPr>
            </w:pPr>
          </w:p>
        </w:tc>
        <w:tc>
          <w:tcPr>
            <w:tcW w:w="916" w:type="dxa"/>
            <w:gridSpan w:val="2"/>
            <w:tcBorders>
              <w:top w:val="nil"/>
              <w:left w:val="nil"/>
              <w:bottom w:val="nil"/>
              <w:right w:val="nil"/>
            </w:tcBorders>
            <w:shd w:val="clear" w:color="auto" w:fill="auto"/>
            <w:noWrap/>
            <w:vAlign w:val="bottom"/>
            <w:hideMark/>
          </w:tcPr>
          <w:p w14:paraId="584CCC66" w14:textId="77777777" w:rsidR="002F53B7" w:rsidRDefault="002F53B7" w:rsidP="002F53B7">
            <w:pPr>
              <w:rPr>
                <w:sz w:val="20"/>
                <w:szCs w:val="20"/>
              </w:rPr>
            </w:pPr>
          </w:p>
        </w:tc>
        <w:tc>
          <w:tcPr>
            <w:tcW w:w="900" w:type="dxa"/>
            <w:gridSpan w:val="2"/>
            <w:tcBorders>
              <w:top w:val="nil"/>
              <w:left w:val="nil"/>
              <w:bottom w:val="nil"/>
              <w:right w:val="nil"/>
            </w:tcBorders>
            <w:shd w:val="clear" w:color="auto" w:fill="auto"/>
            <w:noWrap/>
            <w:vAlign w:val="bottom"/>
            <w:hideMark/>
          </w:tcPr>
          <w:p w14:paraId="154A5334" w14:textId="77777777" w:rsidR="002F53B7" w:rsidRDefault="002F53B7" w:rsidP="002F53B7">
            <w:pPr>
              <w:rPr>
                <w:sz w:val="20"/>
                <w:szCs w:val="20"/>
              </w:rPr>
            </w:pPr>
          </w:p>
        </w:tc>
        <w:tc>
          <w:tcPr>
            <w:tcW w:w="900" w:type="dxa"/>
            <w:gridSpan w:val="2"/>
            <w:tcBorders>
              <w:top w:val="nil"/>
              <w:left w:val="nil"/>
              <w:bottom w:val="nil"/>
              <w:right w:val="nil"/>
            </w:tcBorders>
            <w:shd w:val="clear" w:color="auto" w:fill="auto"/>
            <w:noWrap/>
            <w:vAlign w:val="bottom"/>
            <w:hideMark/>
          </w:tcPr>
          <w:p w14:paraId="5F66A5D0" w14:textId="77777777" w:rsidR="002F53B7" w:rsidRDefault="002F53B7" w:rsidP="002F53B7">
            <w:pPr>
              <w:jc w:val="right"/>
              <w:rPr>
                <w:rFonts w:ascii="Calibri" w:hAnsi="Calibri" w:cs="Calibri"/>
                <w:color w:val="000000"/>
                <w:sz w:val="22"/>
              </w:rPr>
            </w:pPr>
            <w:r>
              <w:rPr>
                <w:rFonts w:ascii="Calibri" w:hAnsi="Calibri" w:cs="Calibri"/>
                <w:color w:val="000000"/>
                <w:sz w:val="22"/>
              </w:rPr>
              <w:t>0.0198</w:t>
            </w:r>
          </w:p>
        </w:tc>
        <w:tc>
          <w:tcPr>
            <w:tcW w:w="810" w:type="dxa"/>
            <w:tcBorders>
              <w:top w:val="nil"/>
              <w:left w:val="nil"/>
              <w:bottom w:val="nil"/>
              <w:right w:val="nil"/>
            </w:tcBorders>
            <w:shd w:val="clear" w:color="auto" w:fill="auto"/>
            <w:noWrap/>
            <w:vAlign w:val="bottom"/>
            <w:hideMark/>
          </w:tcPr>
          <w:p w14:paraId="7FF4180A" w14:textId="77777777" w:rsidR="002F53B7" w:rsidRDefault="002F53B7" w:rsidP="002F53B7">
            <w:pPr>
              <w:jc w:val="right"/>
              <w:rPr>
                <w:rFonts w:ascii="Calibri" w:hAnsi="Calibri" w:cs="Calibri"/>
                <w:color w:val="000000"/>
                <w:sz w:val="22"/>
              </w:rPr>
            </w:pPr>
          </w:p>
        </w:tc>
        <w:tc>
          <w:tcPr>
            <w:tcW w:w="810" w:type="dxa"/>
            <w:gridSpan w:val="2"/>
            <w:tcBorders>
              <w:top w:val="nil"/>
              <w:left w:val="nil"/>
              <w:bottom w:val="nil"/>
              <w:right w:val="nil"/>
            </w:tcBorders>
            <w:shd w:val="clear" w:color="auto" w:fill="auto"/>
            <w:noWrap/>
            <w:vAlign w:val="bottom"/>
            <w:hideMark/>
          </w:tcPr>
          <w:p w14:paraId="524B4506" w14:textId="77777777" w:rsidR="002F53B7" w:rsidRDefault="002F53B7" w:rsidP="002F53B7">
            <w:pPr>
              <w:jc w:val="right"/>
              <w:rPr>
                <w:rFonts w:ascii="Calibri" w:hAnsi="Calibri" w:cs="Calibri"/>
                <w:color w:val="000000"/>
                <w:sz w:val="22"/>
              </w:rPr>
            </w:pPr>
            <w:r>
              <w:rPr>
                <w:rFonts w:ascii="Calibri" w:hAnsi="Calibri" w:cs="Calibri"/>
                <w:color w:val="000000"/>
                <w:sz w:val="22"/>
              </w:rPr>
              <w:t>0.0194</w:t>
            </w:r>
          </w:p>
        </w:tc>
        <w:tc>
          <w:tcPr>
            <w:tcW w:w="1260" w:type="dxa"/>
            <w:gridSpan w:val="3"/>
            <w:tcBorders>
              <w:top w:val="nil"/>
              <w:left w:val="nil"/>
              <w:bottom w:val="nil"/>
              <w:right w:val="nil"/>
            </w:tcBorders>
            <w:shd w:val="clear" w:color="auto" w:fill="auto"/>
            <w:noWrap/>
            <w:vAlign w:val="bottom"/>
            <w:hideMark/>
          </w:tcPr>
          <w:p w14:paraId="2CA3C7BB" w14:textId="77777777" w:rsidR="002F53B7" w:rsidRDefault="002F53B7" w:rsidP="002F53B7">
            <w:pPr>
              <w:jc w:val="right"/>
              <w:rPr>
                <w:rFonts w:ascii="Calibri" w:hAnsi="Calibri" w:cs="Calibri"/>
                <w:color w:val="000000"/>
                <w:sz w:val="22"/>
              </w:rPr>
            </w:pPr>
            <w:r>
              <w:rPr>
                <w:rFonts w:ascii="Calibri" w:hAnsi="Calibri" w:cs="Calibri"/>
                <w:color w:val="000000"/>
                <w:sz w:val="22"/>
              </w:rPr>
              <w:t>0.0390</w:t>
            </w:r>
          </w:p>
        </w:tc>
        <w:tc>
          <w:tcPr>
            <w:tcW w:w="1260" w:type="dxa"/>
            <w:gridSpan w:val="2"/>
            <w:tcBorders>
              <w:top w:val="nil"/>
              <w:left w:val="nil"/>
              <w:bottom w:val="nil"/>
              <w:right w:val="nil"/>
            </w:tcBorders>
            <w:shd w:val="clear" w:color="auto" w:fill="auto"/>
            <w:noWrap/>
            <w:vAlign w:val="bottom"/>
            <w:hideMark/>
          </w:tcPr>
          <w:p w14:paraId="22320E87" w14:textId="77777777" w:rsidR="002F53B7" w:rsidRDefault="002F53B7" w:rsidP="002F53B7">
            <w:pPr>
              <w:jc w:val="right"/>
              <w:rPr>
                <w:rFonts w:ascii="Calibri" w:hAnsi="Calibri" w:cs="Calibri"/>
                <w:color w:val="000000"/>
                <w:sz w:val="22"/>
              </w:rPr>
            </w:pPr>
            <w:r>
              <w:rPr>
                <w:rFonts w:ascii="Calibri" w:hAnsi="Calibri" w:cs="Calibri"/>
                <w:color w:val="000000"/>
                <w:sz w:val="22"/>
              </w:rPr>
              <w:t>0.0004</w:t>
            </w:r>
          </w:p>
        </w:tc>
        <w:tc>
          <w:tcPr>
            <w:tcW w:w="1440" w:type="dxa"/>
            <w:gridSpan w:val="2"/>
            <w:tcBorders>
              <w:top w:val="nil"/>
              <w:left w:val="nil"/>
              <w:bottom w:val="nil"/>
              <w:right w:val="nil"/>
            </w:tcBorders>
            <w:shd w:val="clear" w:color="auto" w:fill="auto"/>
            <w:noWrap/>
            <w:vAlign w:val="bottom"/>
            <w:hideMark/>
          </w:tcPr>
          <w:p w14:paraId="7564105B" w14:textId="77777777" w:rsidR="002F53B7" w:rsidRPr="00D451C7" w:rsidRDefault="002F53B7" w:rsidP="002F53B7">
            <w:pPr>
              <w:jc w:val="right"/>
              <w:rPr>
                <w:rFonts w:ascii="Calibri" w:hAnsi="Calibri" w:cs="Calibri"/>
                <w:b/>
                <w:color w:val="000000"/>
                <w:sz w:val="22"/>
              </w:rPr>
            </w:pPr>
            <w:r w:rsidRPr="00D451C7">
              <w:rPr>
                <w:rFonts w:ascii="Calibri" w:hAnsi="Calibri" w:cs="Calibri"/>
                <w:b/>
                <w:color w:val="000000"/>
                <w:sz w:val="22"/>
              </w:rPr>
              <w:t>-0.0055</w:t>
            </w:r>
          </w:p>
        </w:tc>
      </w:tr>
      <w:tr w:rsidR="002F53B7" w14:paraId="139B4A1A" w14:textId="77777777" w:rsidTr="00730CB1">
        <w:trPr>
          <w:gridAfter w:val="1"/>
          <w:wAfter w:w="217" w:type="dxa"/>
          <w:trHeight w:val="290"/>
        </w:trPr>
        <w:tc>
          <w:tcPr>
            <w:tcW w:w="976" w:type="dxa"/>
            <w:tcBorders>
              <w:top w:val="nil"/>
              <w:left w:val="nil"/>
              <w:bottom w:val="nil"/>
              <w:right w:val="nil"/>
            </w:tcBorders>
            <w:shd w:val="clear" w:color="auto" w:fill="auto"/>
            <w:noWrap/>
            <w:vAlign w:val="bottom"/>
            <w:hideMark/>
          </w:tcPr>
          <w:p w14:paraId="6062A506" w14:textId="77777777" w:rsidR="002F53B7" w:rsidRDefault="002F53B7" w:rsidP="002F53B7">
            <w:pPr>
              <w:jc w:val="right"/>
              <w:rPr>
                <w:rFonts w:ascii="Calibri" w:hAnsi="Calibri" w:cs="Calibri"/>
                <w:color w:val="000000"/>
                <w:sz w:val="22"/>
              </w:rPr>
            </w:pPr>
          </w:p>
        </w:tc>
        <w:tc>
          <w:tcPr>
            <w:tcW w:w="1080" w:type="dxa"/>
            <w:gridSpan w:val="2"/>
            <w:tcBorders>
              <w:top w:val="nil"/>
              <w:left w:val="nil"/>
              <w:bottom w:val="nil"/>
              <w:right w:val="nil"/>
            </w:tcBorders>
            <w:shd w:val="clear" w:color="auto" w:fill="auto"/>
            <w:noWrap/>
            <w:vAlign w:val="bottom"/>
            <w:hideMark/>
          </w:tcPr>
          <w:p w14:paraId="4361BA3C" w14:textId="77777777" w:rsidR="002F53B7" w:rsidRDefault="002F53B7" w:rsidP="002F53B7">
            <w:pPr>
              <w:rPr>
                <w:sz w:val="20"/>
                <w:szCs w:val="20"/>
              </w:rPr>
            </w:pPr>
          </w:p>
        </w:tc>
        <w:tc>
          <w:tcPr>
            <w:tcW w:w="1079" w:type="dxa"/>
            <w:gridSpan w:val="2"/>
            <w:tcBorders>
              <w:top w:val="nil"/>
              <w:left w:val="nil"/>
              <w:bottom w:val="nil"/>
              <w:right w:val="nil"/>
            </w:tcBorders>
            <w:shd w:val="clear" w:color="auto" w:fill="auto"/>
            <w:noWrap/>
            <w:vAlign w:val="bottom"/>
            <w:hideMark/>
          </w:tcPr>
          <w:p w14:paraId="17326E95" w14:textId="77777777" w:rsidR="002F53B7" w:rsidRDefault="002F53B7" w:rsidP="002F53B7">
            <w:pPr>
              <w:rPr>
                <w:sz w:val="20"/>
                <w:szCs w:val="20"/>
              </w:rPr>
            </w:pPr>
          </w:p>
        </w:tc>
        <w:tc>
          <w:tcPr>
            <w:tcW w:w="1079" w:type="dxa"/>
            <w:gridSpan w:val="2"/>
            <w:tcBorders>
              <w:top w:val="nil"/>
              <w:left w:val="nil"/>
              <w:bottom w:val="nil"/>
              <w:right w:val="nil"/>
            </w:tcBorders>
            <w:shd w:val="clear" w:color="auto" w:fill="auto"/>
            <w:noWrap/>
            <w:vAlign w:val="bottom"/>
            <w:hideMark/>
          </w:tcPr>
          <w:p w14:paraId="04C91B5B" w14:textId="77777777" w:rsidR="002F53B7" w:rsidRDefault="002F53B7" w:rsidP="002F53B7">
            <w:pPr>
              <w:rPr>
                <w:sz w:val="20"/>
                <w:szCs w:val="20"/>
              </w:rPr>
            </w:pPr>
          </w:p>
        </w:tc>
        <w:tc>
          <w:tcPr>
            <w:tcW w:w="916" w:type="dxa"/>
            <w:gridSpan w:val="2"/>
            <w:tcBorders>
              <w:top w:val="nil"/>
              <w:left w:val="nil"/>
              <w:bottom w:val="nil"/>
              <w:right w:val="nil"/>
            </w:tcBorders>
            <w:shd w:val="clear" w:color="auto" w:fill="auto"/>
            <w:noWrap/>
            <w:vAlign w:val="bottom"/>
            <w:hideMark/>
          </w:tcPr>
          <w:p w14:paraId="322B21A4" w14:textId="77777777" w:rsidR="002F53B7" w:rsidRDefault="002F53B7" w:rsidP="002F53B7">
            <w:pPr>
              <w:rPr>
                <w:sz w:val="20"/>
                <w:szCs w:val="20"/>
              </w:rPr>
            </w:pPr>
          </w:p>
        </w:tc>
        <w:tc>
          <w:tcPr>
            <w:tcW w:w="900" w:type="dxa"/>
            <w:gridSpan w:val="2"/>
            <w:tcBorders>
              <w:top w:val="nil"/>
              <w:left w:val="nil"/>
              <w:bottom w:val="nil"/>
              <w:right w:val="nil"/>
            </w:tcBorders>
            <w:shd w:val="clear" w:color="auto" w:fill="auto"/>
            <w:noWrap/>
            <w:vAlign w:val="bottom"/>
            <w:hideMark/>
          </w:tcPr>
          <w:p w14:paraId="3BB6512B" w14:textId="77777777" w:rsidR="002F53B7" w:rsidRDefault="002F53B7" w:rsidP="002F53B7">
            <w:pPr>
              <w:rPr>
                <w:sz w:val="20"/>
                <w:szCs w:val="20"/>
              </w:rPr>
            </w:pPr>
          </w:p>
        </w:tc>
        <w:tc>
          <w:tcPr>
            <w:tcW w:w="900" w:type="dxa"/>
            <w:gridSpan w:val="2"/>
            <w:tcBorders>
              <w:top w:val="nil"/>
              <w:left w:val="nil"/>
              <w:bottom w:val="nil"/>
              <w:right w:val="nil"/>
            </w:tcBorders>
            <w:shd w:val="clear" w:color="auto" w:fill="auto"/>
            <w:noWrap/>
            <w:vAlign w:val="bottom"/>
            <w:hideMark/>
          </w:tcPr>
          <w:p w14:paraId="5C54A820" w14:textId="77777777" w:rsidR="002F53B7" w:rsidRDefault="002F53B7" w:rsidP="002F53B7">
            <w:pPr>
              <w:rPr>
                <w:sz w:val="20"/>
                <w:szCs w:val="20"/>
              </w:rPr>
            </w:pPr>
          </w:p>
        </w:tc>
        <w:tc>
          <w:tcPr>
            <w:tcW w:w="810" w:type="dxa"/>
            <w:tcBorders>
              <w:top w:val="nil"/>
              <w:left w:val="nil"/>
              <w:bottom w:val="nil"/>
              <w:right w:val="nil"/>
            </w:tcBorders>
            <w:shd w:val="clear" w:color="auto" w:fill="auto"/>
            <w:noWrap/>
            <w:vAlign w:val="bottom"/>
            <w:hideMark/>
          </w:tcPr>
          <w:p w14:paraId="36C2B4BC" w14:textId="77777777" w:rsidR="002F53B7" w:rsidRDefault="002F53B7" w:rsidP="002F53B7">
            <w:pPr>
              <w:rPr>
                <w:sz w:val="20"/>
                <w:szCs w:val="20"/>
              </w:rPr>
            </w:pPr>
          </w:p>
        </w:tc>
        <w:tc>
          <w:tcPr>
            <w:tcW w:w="810" w:type="dxa"/>
            <w:gridSpan w:val="2"/>
            <w:tcBorders>
              <w:top w:val="nil"/>
              <w:left w:val="nil"/>
              <w:bottom w:val="nil"/>
              <w:right w:val="nil"/>
            </w:tcBorders>
            <w:shd w:val="clear" w:color="auto" w:fill="auto"/>
            <w:noWrap/>
            <w:vAlign w:val="bottom"/>
            <w:hideMark/>
          </w:tcPr>
          <w:p w14:paraId="669C535B" w14:textId="77777777" w:rsidR="002F53B7" w:rsidRDefault="002F53B7" w:rsidP="002F53B7">
            <w:pPr>
              <w:rPr>
                <w:sz w:val="20"/>
                <w:szCs w:val="20"/>
              </w:rPr>
            </w:pPr>
          </w:p>
        </w:tc>
        <w:tc>
          <w:tcPr>
            <w:tcW w:w="1260" w:type="dxa"/>
            <w:gridSpan w:val="3"/>
            <w:tcBorders>
              <w:top w:val="nil"/>
              <w:left w:val="nil"/>
              <w:bottom w:val="nil"/>
              <w:right w:val="nil"/>
            </w:tcBorders>
            <w:shd w:val="clear" w:color="auto" w:fill="auto"/>
            <w:noWrap/>
            <w:vAlign w:val="bottom"/>
            <w:hideMark/>
          </w:tcPr>
          <w:p w14:paraId="1636B9B4" w14:textId="77777777" w:rsidR="002F53B7" w:rsidRDefault="002F53B7" w:rsidP="002F53B7">
            <w:pPr>
              <w:rPr>
                <w:sz w:val="20"/>
                <w:szCs w:val="20"/>
              </w:rPr>
            </w:pPr>
          </w:p>
        </w:tc>
        <w:tc>
          <w:tcPr>
            <w:tcW w:w="1260" w:type="dxa"/>
            <w:gridSpan w:val="2"/>
            <w:tcBorders>
              <w:top w:val="nil"/>
              <w:left w:val="nil"/>
              <w:bottom w:val="nil"/>
              <w:right w:val="nil"/>
            </w:tcBorders>
            <w:shd w:val="clear" w:color="auto" w:fill="auto"/>
            <w:noWrap/>
            <w:vAlign w:val="bottom"/>
            <w:hideMark/>
          </w:tcPr>
          <w:p w14:paraId="4C7EFA98" w14:textId="77777777" w:rsidR="002F53B7" w:rsidRDefault="002F53B7" w:rsidP="002F53B7">
            <w:pPr>
              <w:rPr>
                <w:sz w:val="20"/>
                <w:szCs w:val="20"/>
              </w:rPr>
            </w:pPr>
          </w:p>
        </w:tc>
        <w:tc>
          <w:tcPr>
            <w:tcW w:w="1440" w:type="dxa"/>
            <w:gridSpan w:val="2"/>
            <w:tcBorders>
              <w:top w:val="nil"/>
              <w:left w:val="nil"/>
              <w:bottom w:val="nil"/>
              <w:right w:val="nil"/>
            </w:tcBorders>
            <w:shd w:val="clear" w:color="auto" w:fill="auto"/>
            <w:noWrap/>
            <w:vAlign w:val="bottom"/>
            <w:hideMark/>
          </w:tcPr>
          <w:p w14:paraId="3E6068A5" w14:textId="77777777" w:rsidR="002F53B7" w:rsidRDefault="002F53B7" w:rsidP="002F53B7">
            <w:pPr>
              <w:rPr>
                <w:sz w:val="20"/>
                <w:szCs w:val="20"/>
              </w:rPr>
            </w:pPr>
          </w:p>
        </w:tc>
      </w:tr>
      <w:tr w:rsidR="002F53B7" w14:paraId="208E02F6" w14:textId="77777777" w:rsidTr="00730CB1">
        <w:trPr>
          <w:gridAfter w:val="1"/>
          <w:wAfter w:w="217" w:type="dxa"/>
          <w:trHeight w:val="290"/>
        </w:trPr>
        <w:tc>
          <w:tcPr>
            <w:tcW w:w="976" w:type="dxa"/>
            <w:tcBorders>
              <w:top w:val="nil"/>
              <w:left w:val="nil"/>
              <w:bottom w:val="nil"/>
              <w:right w:val="nil"/>
            </w:tcBorders>
            <w:shd w:val="clear" w:color="auto" w:fill="auto"/>
            <w:noWrap/>
            <w:vAlign w:val="bottom"/>
            <w:hideMark/>
          </w:tcPr>
          <w:p w14:paraId="477677D9" w14:textId="77777777" w:rsidR="002F53B7" w:rsidRDefault="002F53B7" w:rsidP="002F53B7">
            <w:pPr>
              <w:rPr>
                <w:sz w:val="20"/>
                <w:szCs w:val="20"/>
              </w:rPr>
            </w:pPr>
          </w:p>
        </w:tc>
        <w:tc>
          <w:tcPr>
            <w:tcW w:w="6764" w:type="dxa"/>
            <w:gridSpan w:val="13"/>
            <w:tcBorders>
              <w:top w:val="nil"/>
              <w:left w:val="nil"/>
              <w:bottom w:val="nil"/>
              <w:right w:val="nil"/>
            </w:tcBorders>
            <w:shd w:val="clear" w:color="auto" w:fill="auto"/>
            <w:noWrap/>
            <w:vAlign w:val="bottom"/>
            <w:hideMark/>
          </w:tcPr>
          <w:p w14:paraId="26E0A6B6" w14:textId="1E2E4CF9" w:rsidR="002F53B7" w:rsidRDefault="002F53B7" w:rsidP="002F53B7">
            <w:pPr>
              <w:rPr>
                <w:rFonts w:ascii="Calibri" w:hAnsi="Calibri" w:cs="Calibri"/>
                <w:color w:val="000000"/>
                <w:sz w:val="22"/>
              </w:rPr>
            </w:pPr>
            <w:r>
              <w:rPr>
                <w:rFonts w:ascii="Calibri" w:hAnsi="Calibri" w:cs="Calibri"/>
                <w:color w:val="000000"/>
                <w:sz w:val="22"/>
              </w:rPr>
              <w:t xml:space="preserve">Sources:  </w:t>
            </w:r>
            <w:r w:rsidR="002F7D56">
              <w:rPr>
                <w:rFonts w:ascii="Calibri" w:hAnsi="Calibri" w:cs="Calibri"/>
                <w:color w:val="000000"/>
                <w:sz w:val="22"/>
              </w:rPr>
              <w:t>Nominal Output: Department of Commerce, 1966, table 1.12</w:t>
            </w:r>
          </w:p>
        </w:tc>
        <w:tc>
          <w:tcPr>
            <w:tcW w:w="810" w:type="dxa"/>
            <w:gridSpan w:val="2"/>
            <w:tcBorders>
              <w:top w:val="nil"/>
              <w:left w:val="nil"/>
              <w:bottom w:val="nil"/>
              <w:right w:val="nil"/>
            </w:tcBorders>
            <w:shd w:val="clear" w:color="auto" w:fill="auto"/>
            <w:noWrap/>
            <w:vAlign w:val="bottom"/>
            <w:hideMark/>
          </w:tcPr>
          <w:p w14:paraId="136856A8" w14:textId="77777777" w:rsidR="002F53B7" w:rsidRDefault="002F53B7" w:rsidP="002F53B7">
            <w:pPr>
              <w:rPr>
                <w:rFonts w:ascii="Calibri" w:hAnsi="Calibri" w:cs="Calibri"/>
                <w:color w:val="000000"/>
                <w:sz w:val="22"/>
              </w:rPr>
            </w:pPr>
          </w:p>
        </w:tc>
        <w:tc>
          <w:tcPr>
            <w:tcW w:w="1260" w:type="dxa"/>
            <w:gridSpan w:val="3"/>
            <w:tcBorders>
              <w:top w:val="nil"/>
              <w:left w:val="nil"/>
              <w:bottom w:val="nil"/>
              <w:right w:val="nil"/>
            </w:tcBorders>
            <w:shd w:val="clear" w:color="auto" w:fill="auto"/>
            <w:noWrap/>
            <w:vAlign w:val="bottom"/>
            <w:hideMark/>
          </w:tcPr>
          <w:p w14:paraId="24D129E6" w14:textId="77777777" w:rsidR="002F53B7" w:rsidRDefault="002F53B7" w:rsidP="002F53B7">
            <w:pPr>
              <w:rPr>
                <w:sz w:val="20"/>
                <w:szCs w:val="20"/>
              </w:rPr>
            </w:pPr>
          </w:p>
        </w:tc>
        <w:tc>
          <w:tcPr>
            <w:tcW w:w="1260" w:type="dxa"/>
            <w:gridSpan w:val="2"/>
            <w:tcBorders>
              <w:top w:val="nil"/>
              <w:left w:val="nil"/>
              <w:bottom w:val="nil"/>
              <w:right w:val="nil"/>
            </w:tcBorders>
            <w:shd w:val="clear" w:color="auto" w:fill="auto"/>
            <w:noWrap/>
            <w:vAlign w:val="bottom"/>
            <w:hideMark/>
          </w:tcPr>
          <w:p w14:paraId="07411F3F" w14:textId="77777777" w:rsidR="002F53B7" w:rsidRDefault="002F53B7" w:rsidP="002F53B7">
            <w:pPr>
              <w:rPr>
                <w:sz w:val="20"/>
                <w:szCs w:val="20"/>
              </w:rPr>
            </w:pPr>
          </w:p>
        </w:tc>
        <w:tc>
          <w:tcPr>
            <w:tcW w:w="1440" w:type="dxa"/>
            <w:gridSpan w:val="2"/>
            <w:tcBorders>
              <w:top w:val="nil"/>
              <w:left w:val="nil"/>
              <w:bottom w:val="nil"/>
              <w:right w:val="nil"/>
            </w:tcBorders>
            <w:shd w:val="clear" w:color="auto" w:fill="auto"/>
            <w:noWrap/>
            <w:vAlign w:val="bottom"/>
            <w:hideMark/>
          </w:tcPr>
          <w:p w14:paraId="68585A53" w14:textId="77777777" w:rsidR="002F53B7" w:rsidRDefault="002F53B7" w:rsidP="002F53B7">
            <w:pPr>
              <w:rPr>
                <w:sz w:val="20"/>
                <w:szCs w:val="20"/>
              </w:rPr>
            </w:pPr>
          </w:p>
        </w:tc>
      </w:tr>
      <w:tr w:rsidR="002F53B7" w14:paraId="3C8F3B57" w14:textId="77777777" w:rsidTr="00730CB1">
        <w:trPr>
          <w:gridAfter w:val="1"/>
          <w:wAfter w:w="217" w:type="dxa"/>
          <w:trHeight w:val="290"/>
        </w:trPr>
        <w:tc>
          <w:tcPr>
            <w:tcW w:w="976" w:type="dxa"/>
            <w:tcBorders>
              <w:top w:val="nil"/>
              <w:left w:val="nil"/>
              <w:bottom w:val="nil"/>
              <w:right w:val="nil"/>
            </w:tcBorders>
            <w:shd w:val="clear" w:color="auto" w:fill="auto"/>
            <w:noWrap/>
            <w:vAlign w:val="bottom"/>
            <w:hideMark/>
          </w:tcPr>
          <w:p w14:paraId="031464EC" w14:textId="77777777" w:rsidR="002F53B7" w:rsidRDefault="002F53B7" w:rsidP="002F53B7">
            <w:pPr>
              <w:rPr>
                <w:sz w:val="20"/>
                <w:szCs w:val="20"/>
              </w:rPr>
            </w:pPr>
          </w:p>
        </w:tc>
        <w:tc>
          <w:tcPr>
            <w:tcW w:w="6764" w:type="dxa"/>
            <w:gridSpan w:val="13"/>
            <w:tcBorders>
              <w:top w:val="nil"/>
              <w:left w:val="nil"/>
              <w:bottom w:val="nil"/>
              <w:right w:val="nil"/>
            </w:tcBorders>
            <w:shd w:val="clear" w:color="auto" w:fill="auto"/>
            <w:noWrap/>
            <w:vAlign w:val="bottom"/>
            <w:hideMark/>
          </w:tcPr>
          <w:p w14:paraId="581CC704" w14:textId="5F6ED9D6" w:rsidR="002F7D56" w:rsidRDefault="002F53B7" w:rsidP="002F53B7">
            <w:pPr>
              <w:rPr>
                <w:rFonts w:ascii="Calibri" w:hAnsi="Calibri" w:cs="Calibri"/>
                <w:color w:val="000000"/>
                <w:sz w:val="22"/>
              </w:rPr>
            </w:pPr>
            <w:r>
              <w:rPr>
                <w:rFonts w:ascii="Calibri" w:hAnsi="Calibri" w:cs="Calibri"/>
                <w:color w:val="000000"/>
                <w:sz w:val="22"/>
              </w:rPr>
              <w:t xml:space="preserve">                  </w:t>
            </w:r>
            <w:r w:rsidR="002F7D56">
              <w:rPr>
                <w:rFonts w:ascii="Calibri" w:hAnsi="Calibri" w:cs="Calibri"/>
                <w:color w:val="000000"/>
                <w:sz w:val="22"/>
              </w:rPr>
              <w:t xml:space="preserve">Deflators (1958=100): </w:t>
            </w:r>
            <w:r>
              <w:rPr>
                <w:rFonts w:ascii="Calibri" w:hAnsi="Calibri" w:cs="Calibri"/>
                <w:color w:val="000000"/>
                <w:sz w:val="22"/>
              </w:rPr>
              <w:t xml:space="preserve">Department of Commerce, 1966, </w:t>
            </w:r>
            <w:r w:rsidR="002F7D56">
              <w:rPr>
                <w:rFonts w:ascii="Calibri" w:hAnsi="Calibri" w:cs="Calibri"/>
                <w:color w:val="000000"/>
                <w:sz w:val="22"/>
              </w:rPr>
              <w:t xml:space="preserve">table </w:t>
            </w:r>
            <w:r>
              <w:rPr>
                <w:rFonts w:ascii="Calibri" w:hAnsi="Calibri" w:cs="Calibri"/>
                <w:color w:val="000000"/>
                <w:sz w:val="22"/>
              </w:rPr>
              <w:t xml:space="preserve"> 8.6</w:t>
            </w:r>
          </w:p>
          <w:p w14:paraId="40706523" w14:textId="591083B7" w:rsidR="002F53B7" w:rsidRDefault="002F7D56" w:rsidP="002F53B7">
            <w:pPr>
              <w:rPr>
                <w:rFonts w:ascii="Calibri" w:hAnsi="Calibri" w:cs="Calibri"/>
                <w:color w:val="000000"/>
                <w:sz w:val="22"/>
              </w:rPr>
            </w:pPr>
            <w:r>
              <w:rPr>
                <w:rFonts w:ascii="Calibri" w:hAnsi="Calibri" w:cs="Calibri"/>
                <w:color w:val="000000"/>
                <w:sz w:val="22"/>
              </w:rPr>
              <w:t xml:space="preserve">                  FTEs: Bureau of Economic Analysis:  NIPA Table 6.5</w:t>
            </w:r>
          </w:p>
        </w:tc>
        <w:tc>
          <w:tcPr>
            <w:tcW w:w="810" w:type="dxa"/>
            <w:gridSpan w:val="2"/>
            <w:tcBorders>
              <w:top w:val="nil"/>
              <w:left w:val="nil"/>
              <w:bottom w:val="nil"/>
              <w:right w:val="nil"/>
            </w:tcBorders>
            <w:shd w:val="clear" w:color="auto" w:fill="auto"/>
            <w:noWrap/>
            <w:vAlign w:val="bottom"/>
            <w:hideMark/>
          </w:tcPr>
          <w:p w14:paraId="32E4BA6C" w14:textId="77777777" w:rsidR="002F53B7" w:rsidRDefault="002F53B7" w:rsidP="002F53B7">
            <w:pPr>
              <w:rPr>
                <w:rFonts w:ascii="Calibri" w:hAnsi="Calibri" w:cs="Calibri"/>
                <w:color w:val="000000"/>
                <w:sz w:val="22"/>
              </w:rPr>
            </w:pPr>
          </w:p>
        </w:tc>
        <w:tc>
          <w:tcPr>
            <w:tcW w:w="1260" w:type="dxa"/>
            <w:gridSpan w:val="3"/>
            <w:tcBorders>
              <w:top w:val="nil"/>
              <w:left w:val="nil"/>
              <w:bottom w:val="nil"/>
              <w:right w:val="nil"/>
            </w:tcBorders>
            <w:shd w:val="clear" w:color="auto" w:fill="auto"/>
            <w:noWrap/>
            <w:vAlign w:val="bottom"/>
            <w:hideMark/>
          </w:tcPr>
          <w:p w14:paraId="0BD08F63" w14:textId="77777777" w:rsidR="002F53B7" w:rsidRDefault="002F53B7" w:rsidP="002F53B7">
            <w:pPr>
              <w:rPr>
                <w:sz w:val="20"/>
                <w:szCs w:val="20"/>
              </w:rPr>
            </w:pPr>
          </w:p>
        </w:tc>
        <w:tc>
          <w:tcPr>
            <w:tcW w:w="1260" w:type="dxa"/>
            <w:gridSpan w:val="2"/>
            <w:tcBorders>
              <w:top w:val="nil"/>
              <w:left w:val="nil"/>
              <w:bottom w:val="nil"/>
              <w:right w:val="nil"/>
            </w:tcBorders>
            <w:shd w:val="clear" w:color="auto" w:fill="auto"/>
            <w:noWrap/>
            <w:vAlign w:val="bottom"/>
            <w:hideMark/>
          </w:tcPr>
          <w:p w14:paraId="5B198DBF" w14:textId="77777777" w:rsidR="002F53B7" w:rsidRDefault="002F53B7" w:rsidP="002F53B7">
            <w:pPr>
              <w:rPr>
                <w:sz w:val="20"/>
                <w:szCs w:val="20"/>
              </w:rPr>
            </w:pPr>
          </w:p>
        </w:tc>
        <w:tc>
          <w:tcPr>
            <w:tcW w:w="1440" w:type="dxa"/>
            <w:gridSpan w:val="2"/>
            <w:tcBorders>
              <w:top w:val="nil"/>
              <w:left w:val="nil"/>
              <w:bottom w:val="nil"/>
              <w:right w:val="nil"/>
            </w:tcBorders>
            <w:shd w:val="clear" w:color="auto" w:fill="auto"/>
            <w:noWrap/>
            <w:vAlign w:val="bottom"/>
            <w:hideMark/>
          </w:tcPr>
          <w:p w14:paraId="7E5FCED8" w14:textId="77777777" w:rsidR="002F53B7" w:rsidRDefault="002F53B7" w:rsidP="002F53B7">
            <w:pPr>
              <w:rPr>
                <w:sz w:val="20"/>
                <w:szCs w:val="20"/>
              </w:rPr>
            </w:pPr>
          </w:p>
        </w:tc>
      </w:tr>
      <w:tr w:rsidR="002F53B7" w14:paraId="7D63B1AB" w14:textId="77777777" w:rsidTr="00730CB1">
        <w:trPr>
          <w:gridAfter w:val="1"/>
          <w:wAfter w:w="217" w:type="dxa"/>
          <w:trHeight w:val="290"/>
        </w:trPr>
        <w:tc>
          <w:tcPr>
            <w:tcW w:w="976" w:type="dxa"/>
            <w:tcBorders>
              <w:top w:val="nil"/>
              <w:left w:val="nil"/>
              <w:bottom w:val="nil"/>
              <w:right w:val="nil"/>
            </w:tcBorders>
            <w:shd w:val="clear" w:color="auto" w:fill="auto"/>
            <w:noWrap/>
            <w:vAlign w:val="bottom"/>
            <w:hideMark/>
          </w:tcPr>
          <w:p w14:paraId="5DE450A5" w14:textId="77777777" w:rsidR="002F53B7" w:rsidRDefault="002F53B7" w:rsidP="002F53B7">
            <w:pPr>
              <w:rPr>
                <w:sz w:val="20"/>
                <w:szCs w:val="20"/>
              </w:rPr>
            </w:pPr>
          </w:p>
        </w:tc>
        <w:tc>
          <w:tcPr>
            <w:tcW w:w="6764" w:type="dxa"/>
            <w:gridSpan w:val="13"/>
            <w:tcBorders>
              <w:top w:val="nil"/>
              <w:left w:val="nil"/>
              <w:bottom w:val="nil"/>
              <w:right w:val="nil"/>
            </w:tcBorders>
            <w:shd w:val="clear" w:color="auto" w:fill="auto"/>
            <w:noWrap/>
            <w:vAlign w:val="bottom"/>
            <w:hideMark/>
          </w:tcPr>
          <w:p w14:paraId="11D350E9" w14:textId="513663B4" w:rsidR="002F7D56" w:rsidRDefault="002F53B7" w:rsidP="002F53B7">
            <w:pPr>
              <w:rPr>
                <w:rFonts w:ascii="Calibri" w:hAnsi="Calibri" w:cs="Calibri"/>
                <w:color w:val="000000"/>
                <w:sz w:val="22"/>
              </w:rPr>
            </w:pPr>
            <w:r>
              <w:rPr>
                <w:rFonts w:ascii="Calibri" w:hAnsi="Calibri" w:cs="Calibri"/>
                <w:color w:val="000000"/>
                <w:sz w:val="22"/>
              </w:rPr>
              <w:t xml:space="preserve">                  </w:t>
            </w:r>
            <w:r w:rsidR="002F7D56">
              <w:rPr>
                <w:rFonts w:ascii="Calibri" w:hAnsi="Calibri" w:cs="Calibri"/>
                <w:color w:val="000000"/>
                <w:sz w:val="22"/>
              </w:rPr>
              <w:t xml:space="preserve">FTEs adjustment: </w:t>
            </w:r>
            <w:r w:rsidR="00C7037B">
              <w:rPr>
                <w:rFonts w:ascii="Calibri" w:hAnsi="Calibri" w:cs="Calibri"/>
                <w:color w:val="000000"/>
                <w:sz w:val="22"/>
              </w:rPr>
              <w:t>HSUS</w:t>
            </w:r>
            <w:r>
              <w:rPr>
                <w:rFonts w:ascii="Calibri" w:hAnsi="Calibri" w:cs="Calibri"/>
                <w:color w:val="000000"/>
                <w:sz w:val="22"/>
              </w:rPr>
              <w:t>, series Ba4580</w:t>
            </w:r>
          </w:p>
          <w:p w14:paraId="1AF6B431" w14:textId="4011EE9E" w:rsidR="002F53B7" w:rsidRDefault="002F7D56" w:rsidP="002F53B7">
            <w:pPr>
              <w:rPr>
                <w:rFonts w:ascii="Calibri" w:hAnsi="Calibri" w:cs="Calibri"/>
                <w:color w:val="000000"/>
                <w:sz w:val="22"/>
              </w:rPr>
            </w:pPr>
            <w:r>
              <w:rPr>
                <w:rFonts w:ascii="Calibri" w:hAnsi="Calibri" w:cs="Calibri"/>
                <w:color w:val="000000"/>
                <w:sz w:val="22"/>
              </w:rPr>
              <w:t xml:space="preserve">                  Capital: Bureau of Economic Analysis, Fixed Asset Table 4.2, line</w:t>
            </w:r>
            <w:r w:rsidR="00C7037B">
              <w:rPr>
                <w:rFonts w:ascii="Calibri" w:hAnsi="Calibri" w:cs="Calibri"/>
                <w:color w:val="000000"/>
                <w:sz w:val="22"/>
              </w:rPr>
              <w:t xml:space="preserve"> 9</w:t>
            </w:r>
          </w:p>
        </w:tc>
        <w:tc>
          <w:tcPr>
            <w:tcW w:w="810" w:type="dxa"/>
            <w:gridSpan w:val="2"/>
            <w:tcBorders>
              <w:top w:val="nil"/>
              <w:left w:val="nil"/>
              <w:bottom w:val="nil"/>
              <w:right w:val="nil"/>
            </w:tcBorders>
            <w:shd w:val="clear" w:color="auto" w:fill="auto"/>
            <w:noWrap/>
            <w:vAlign w:val="bottom"/>
            <w:hideMark/>
          </w:tcPr>
          <w:p w14:paraId="056B8502" w14:textId="77777777" w:rsidR="002F53B7" w:rsidRDefault="002F53B7" w:rsidP="002F53B7">
            <w:pPr>
              <w:rPr>
                <w:rFonts w:ascii="Calibri" w:hAnsi="Calibri" w:cs="Calibri"/>
                <w:color w:val="000000"/>
                <w:sz w:val="22"/>
              </w:rPr>
            </w:pPr>
          </w:p>
        </w:tc>
        <w:tc>
          <w:tcPr>
            <w:tcW w:w="1260" w:type="dxa"/>
            <w:gridSpan w:val="3"/>
            <w:tcBorders>
              <w:top w:val="nil"/>
              <w:left w:val="nil"/>
              <w:bottom w:val="nil"/>
              <w:right w:val="nil"/>
            </w:tcBorders>
            <w:shd w:val="clear" w:color="auto" w:fill="auto"/>
            <w:noWrap/>
            <w:vAlign w:val="bottom"/>
            <w:hideMark/>
          </w:tcPr>
          <w:p w14:paraId="08DA62F7" w14:textId="77777777" w:rsidR="002F53B7" w:rsidRDefault="002F53B7" w:rsidP="002F53B7">
            <w:pPr>
              <w:rPr>
                <w:sz w:val="20"/>
                <w:szCs w:val="20"/>
              </w:rPr>
            </w:pPr>
          </w:p>
        </w:tc>
        <w:tc>
          <w:tcPr>
            <w:tcW w:w="1260" w:type="dxa"/>
            <w:gridSpan w:val="2"/>
            <w:tcBorders>
              <w:top w:val="nil"/>
              <w:left w:val="nil"/>
              <w:bottom w:val="nil"/>
              <w:right w:val="nil"/>
            </w:tcBorders>
            <w:shd w:val="clear" w:color="auto" w:fill="auto"/>
            <w:noWrap/>
            <w:vAlign w:val="bottom"/>
            <w:hideMark/>
          </w:tcPr>
          <w:p w14:paraId="3D134AEA" w14:textId="77777777" w:rsidR="002F53B7" w:rsidRDefault="002F53B7" w:rsidP="002F53B7">
            <w:pPr>
              <w:rPr>
                <w:sz w:val="20"/>
                <w:szCs w:val="20"/>
              </w:rPr>
            </w:pPr>
          </w:p>
        </w:tc>
        <w:tc>
          <w:tcPr>
            <w:tcW w:w="1440" w:type="dxa"/>
            <w:gridSpan w:val="2"/>
            <w:tcBorders>
              <w:top w:val="nil"/>
              <w:left w:val="nil"/>
              <w:bottom w:val="nil"/>
              <w:right w:val="nil"/>
            </w:tcBorders>
            <w:shd w:val="clear" w:color="auto" w:fill="auto"/>
            <w:noWrap/>
            <w:vAlign w:val="bottom"/>
            <w:hideMark/>
          </w:tcPr>
          <w:p w14:paraId="282DBACA" w14:textId="77777777" w:rsidR="002F53B7" w:rsidRDefault="002F53B7" w:rsidP="002F53B7">
            <w:pPr>
              <w:rPr>
                <w:sz w:val="20"/>
                <w:szCs w:val="20"/>
              </w:rPr>
            </w:pPr>
          </w:p>
        </w:tc>
      </w:tr>
      <w:tr w:rsidR="002F53B7" w14:paraId="2BA85EFD" w14:textId="77777777" w:rsidTr="00730CB1">
        <w:trPr>
          <w:gridAfter w:val="1"/>
          <w:wAfter w:w="217" w:type="dxa"/>
          <w:trHeight w:val="290"/>
        </w:trPr>
        <w:tc>
          <w:tcPr>
            <w:tcW w:w="976" w:type="dxa"/>
            <w:tcBorders>
              <w:top w:val="nil"/>
              <w:left w:val="nil"/>
              <w:bottom w:val="nil"/>
              <w:right w:val="nil"/>
            </w:tcBorders>
            <w:shd w:val="clear" w:color="auto" w:fill="auto"/>
            <w:noWrap/>
            <w:vAlign w:val="bottom"/>
            <w:hideMark/>
          </w:tcPr>
          <w:p w14:paraId="74A3E89A" w14:textId="77777777" w:rsidR="002F53B7" w:rsidRDefault="002F53B7" w:rsidP="002F53B7">
            <w:pPr>
              <w:rPr>
                <w:sz w:val="20"/>
                <w:szCs w:val="20"/>
              </w:rPr>
            </w:pPr>
          </w:p>
        </w:tc>
        <w:tc>
          <w:tcPr>
            <w:tcW w:w="4154" w:type="dxa"/>
            <w:gridSpan w:val="8"/>
            <w:tcBorders>
              <w:top w:val="nil"/>
              <w:left w:val="nil"/>
              <w:bottom w:val="nil"/>
              <w:right w:val="nil"/>
            </w:tcBorders>
            <w:shd w:val="clear" w:color="auto" w:fill="auto"/>
            <w:noWrap/>
            <w:vAlign w:val="bottom"/>
            <w:hideMark/>
          </w:tcPr>
          <w:p w14:paraId="4F1F42F9" w14:textId="2F6E9456" w:rsidR="002F53B7" w:rsidRDefault="002F53B7" w:rsidP="002F53B7">
            <w:pPr>
              <w:rPr>
                <w:rFonts w:ascii="Calibri" w:hAnsi="Calibri" w:cs="Calibri"/>
                <w:color w:val="000000"/>
                <w:sz w:val="22"/>
              </w:rPr>
            </w:pPr>
            <w:r>
              <w:rPr>
                <w:rFonts w:ascii="Calibri" w:hAnsi="Calibri" w:cs="Calibri"/>
                <w:color w:val="000000"/>
                <w:sz w:val="22"/>
              </w:rPr>
              <w:t xml:space="preserve">                  See text for full description.</w:t>
            </w:r>
          </w:p>
        </w:tc>
        <w:tc>
          <w:tcPr>
            <w:tcW w:w="900" w:type="dxa"/>
            <w:gridSpan w:val="2"/>
            <w:tcBorders>
              <w:top w:val="nil"/>
              <w:left w:val="nil"/>
              <w:bottom w:val="nil"/>
              <w:right w:val="nil"/>
            </w:tcBorders>
            <w:shd w:val="clear" w:color="auto" w:fill="auto"/>
            <w:noWrap/>
            <w:vAlign w:val="bottom"/>
            <w:hideMark/>
          </w:tcPr>
          <w:p w14:paraId="7D591B00" w14:textId="77777777" w:rsidR="002F53B7" w:rsidRDefault="002F53B7" w:rsidP="002F53B7">
            <w:pPr>
              <w:rPr>
                <w:rFonts w:ascii="Calibri" w:hAnsi="Calibri" w:cs="Calibri"/>
                <w:color w:val="000000"/>
                <w:sz w:val="22"/>
              </w:rPr>
            </w:pPr>
          </w:p>
        </w:tc>
        <w:tc>
          <w:tcPr>
            <w:tcW w:w="900" w:type="dxa"/>
            <w:gridSpan w:val="2"/>
            <w:tcBorders>
              <w:top w:val="nil"/>
              <w:left w:val="nil"/>
              <w:bottom w:val="nil"/>
              <w:right w:val="nil"/>
            </w:tcBorders>
            <w:shd w:val="clear" w:color="auto" w:fill="auto"/>
            <w:noWrap/>
            <w:vAlign w:val="bottom"/>
            <w:hideMark/>
          </w:tcPr>
          <w:p w14:paraId="5E6DD951" w14:textId="77777777" w:rsidR="002F53B7" w:rsidRDefault="002F53B7" w:rsidP="002F53B7">
            <w:pPr>
              <w:rPr>
                <w:sz w:val="20"/>
                <w:szCs w:val="20"/>
              </w:rPr>
            </w:pPr>
          </w:p>
        </w:tc>
        <w:tc>
          <w:tcPr>
            <w:tcW w:w="810" w:type="dxa"/>
            <w:tcBorders>
              <w:top w:val="nil"/>
              <w:left w:val="nil"/>
              <w:bottom w:val="nil"/>
              <w:right w:val="nil"/>
            </w:tcBorders>
            <w:shd w:val="clear" w:color="auto" w:fill="auto"/>
            <w:noWrap/>
            <w:vAlign w:val="bottom"/>
            <w:hideMark/>
          </w:tcPr>
          <w:p w14:paraId="3736DE41" w14:textId="77777777" w:rsidR="002F53B7" w:rsidRDefault="002F53B7" w:rsidP="002F53B7">
            <w:pPr>
              <w:rPr>
                <w:sz w:val="20"/>
                <w:szCs w:val="20"/>
              </w:rPr>
            </w:pPr>
          </w:p>
        </w:tc>
        <w:tc>
          <w:tcPr>
            <w:tcW w:w="810" w:type="dxa"/>
            <w:gridSpan w:val="2"/>
            <w:tcBorders>
              <w:top w:val="nil"/>
              <w:left w:val="nil"/>
              <w:bottom w:val="nil"/>
              <w:right w:val="nil"/>
            </w:tcBorders>
            <w:shd w:val="clear" w:color="auto" w:fill="auto"/>
            <w:noWrap/>
            <w:vAlign w:val="bottom"/>
            <w:hideMark/>
          </w:tcPr>
          <w:p w14:paraId="4EF937AF" w14:textId="77777777" w:rsidR="002F53B7" w:rsidRDefault="002F53B7" w:rsidP="002F53B7">
            <w:pPr>
              <w:rPr>
                <w:sz w:val="20"/>
                <w:szCs w:val="20"/>
              </w:rPr>
            </w:pPr>
          </w:p>
        </w:tc>
        <w:tc>
          <w:tcPr>
            <w:tcW w:w="1260" w:type="dxa"/>
            <w:gridSpan w:val="3"/>
            <w:tcBorders>
              <w:top w:val="nil"/>
              <w:left w:val="nil"/>
              <w:bottom w:val="nil"/>
              <w:right w:val="nil"/>
            </w:tcBorders>
            <w:shd w:val="clear" w:color="auto" w:fill="auto"/>
            <w:noWrap/>
            <w:vAlign w:val="bottom"/>
            <w:hideMark/>
          </w:tcPr>
          <w:p w14:paraId="49DA06C5" w14:textId="77777777" w:rsidR="002F53B7" w:rsidRDefault="002F53B7" w:rsidP="002F53B7">
            <w:pPr>
              <w:rPr>
                <w:sz w:val="20"/>
                <w:szCs w:val="20"/>
              </w:rPr>
            </w:pPr>
          </w:p>
        </w:tc>
        <w:tc>
          <w:tcPr>
            <w:tcW w:w="1260" w:type="dxa"/>
            <w:gridSpan w:val="2"/>
            <w:tcBorders>
              <w:top w:val="nil"/>
              <w:left w:val="nil"/>
              <w:bottom w:val="nil"/>
              <w:right w:val="nil"/>
            </w:tcBorders>
            <w:shd w:val="clear" w:color="auto" w:fill="auto"/>
            <w:noWrap/>
            <w:vAlign w:val="bottom"/>
            <w:hideMark/>
          </w:tcPr>
          <w:p w14:paraId="4C42975F" w14:textId="77777777" w:rsidR="002F53B7" w:rsidRDefault="002F53B7" w:rsidP="002F53B7">
            <w:pPr>
              <w:rPr>
                <w:sz w:val="20"/>
                <w:szCs w:val="20"/>
              </w:rPr>
            </w:pPr>
          </w:p>
        </w:tc>
        <w:tc>
          <w:tcPr>
            <w:tcW w:w="1440" w:type="dxa"/>
            <w:gridSpan w:val="2"/>
            <w:tcBorders>
              <w:top w:val="nil"/>
              <w:left w:val="nil"/>
              <w:bottom w:val="nil"/>
              <w:right w:val="nil"/>
            </w:tcBorders>
            <w:shd w:val="clear" w:color="auto" w:fill="auto"/>
            <w:noWrap/>
            <w:vAlign w:val="bottom"/>
            <w:hideMark/>
          </w:tcPr>
          <w:p w14:paraId="31B5EF41" w14:textId="77777777" w:rsidR="002F53B7" w:rsidRDefault="002F53B7" w:rsidP="002F53B7">
            <w:pPr>
              <w:rPr>
                <w:sz w:val="20"/>
                <w:szCs w:val="20"/>
              </w:rPr>
            </w:pPr>
          </w:p>
        </w:tc>
      </w:tr>
      <w:tr w:rsidR="002F53B7" w:rsidRPr="00526B15" w14:paraId="3C526A38" w14:textId="77777777" w:rsidTr="00730CB1">
        <w:tblPrEx>
          <w:tblCellMar>
            <w:left w:w="108" w:type="dxa"/>
            <w:right w:w="108" w:type="dxa"/>
          </w:tblCellMar>
        </w:tblPrEx>
        <w:trPr>
          <w:trHeight w:val="290"/>
        </w:trPr>
        <w:tc>
          <w:tcPr>
            <w:tcW w:w="976" w:type="dxa"/>
            <w:tcBorders>
              <w:top w:val="nil"/>
              <w:left w:val="nil"/>
              <w:bottom w:val="nil"/>
              <w:right w:val="nil"/>
            </w:tcBorders>
            <w:shd w:val="clear" w:color="auto" w:fill="auto"/>
            <w:noWrap/>
            <w:vAlign w:val="bottom"/>
            <w:hideMark/>
          </w:tcPr>
          <w:p w14:paraId="3C1E7CAE" w14:textId="588C8B7A" w:rsidR="002F53B7" w:rsidRPr="00526B15" w:rsidRDefault="002F53B7" w:rsidP="002F53B7">
            <w:pPr>
              <w:spacing w:after="0" w:line="240" w:lineRule="auto"/>
              <w:rPr>
                <w:rFonts w:eastAsia="Times New Roman" w:cs="Times New Roman"/>
                <w:sz w:val="20"/>
                <w:szCs w:val="24"/>
              </w:rPr>
            </w:pPr>
            <w:r>
              <w:lastRenderedPageBreak/>
              <w:t xml:space="preserve"> </w:t>
            </w:r>
            <w:r>
              <w:br w:type="page"/>
            </w:r>
          </w:p>
        </w:tc>
        <w:tc>
          <w:tcPr>
            <w:tcW w:w="976" w:type="dxa"/>
            <w:tcBorders>
              <w:top w:val="nil"/>
              <w:left w:val="nil"/>
              <w:bottom w:val="nil"/>
              <w:right w:val="nil"/>
            </w:tcBorders>
            <w:shd w:val="clear" w:color="auto" w:fill="auto"/>
            <w:noWrap/>
            <w:vAlign w:val="bottom"/>
            <w:hideMark/>
          </w:tcPr>
          <w:p w14:paraId="78A200D7"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7A072BF1"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002DB5DD"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74A695C1"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35CC0F57"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707558FD" w14:textId="77777777" w:rsidR="002F53B7" w:rsidRPr="00526B15" w:rsidRDefault="002F53B7" w:rsidP="002F53B7">
            <w:pPr>
              <w:spacing w:after="0" w:line="240" w:lineRule="auto"/>
              <w:rPr>
                <w:rFonts w:ascii="Calibri" w:eastAsia="Times New Roman" w:hAnsi="Calibri" w:cs="Calibri"/>
                <w:color w:val="000000"/>
                <w:sz w:val="22"/>
              </w:rPr>
            </w:pPr>
            <w:r w:rsidRPr="00526B15">
              <w:rPr>
                <w:rFonts w:ascii="Calibri" w:eastAsia="Times New Roman" w:hAnsi="Calibri" w:cs="Calibri"/>
                <w:color w:val="000000"/>
                <w:sz w:val="22"/>
              </w:rPr>
              <w:t xml:space="preserve">Table </w:t>
            </w:r>
            <w:r>
              <w:rPr>
                <w:rFonts w:ascii="Calibri" w:eastAsia="Times New Roman" w:hAnsi="Calibri" w:cs="Calibri"/>
                <w:color w:val="000000"/>
                <w:sz w:val="22"/>
              </w:rPr>
              <w:t>2</w:t>
            </w:r>
          </w:p>
        </w:tc>
        <w:tc>
          <w:tcPr>
            <w:tcW w:w="976" w:type="dxa"/>
            <w:gridSpan w:val="3"/>
            <w:tcBorders>
              <w:top w:val="nil"/>
              <w:left w:val="nil"/>
              <w:bottom w:val="nil"/>
              <w:right w:val="nil"/>
            </w:tcBorders>
            <w:shd w:val="clear" w:color="auto" w:fill="auto"/>
            <w:noWrap/>
            <w:vAlign w:val="bottom"/>
            <w:hideMark/>
          </w:tcPr>
          <w:p w14:paraId="60E3E0B0" w14:textId="77777777" w:rsidR="002F53B7" w:rsidRPr="00526B15" w:rsidRDefault="002F53B7" w:rsidP="002F53B7">
            <w:pPr>
              <w:spacing w:after="0" w:line="240" w:lineRule="auto"/>
              <w:rPr>
                <w:rFonts w:ascii="Calibri" w:eastAsia="Times New Roman" w:hAnsi="Calibri" w:cs="Calibri"/>
                <w:color w:val="000000"/>
                <w:sz w:val="22"/>
              </w:rPr>
            </w:pPr>
          </w:p>
        </w:tc>
        <w:tc>
          <w:tcPr>
            <w:tcW w:w="976" w:type="dxa"/>
            <w:gridSpan w:val="2"/>
            <w:tcBorders>
              <w:top w:val="nil"/>
              <w:left w:val="nil"/>
              <w:bottom w:val="nil"/>
              <w:right w:val="nil"/>
            </w:tcBorders>
            <w:shd w:val="clear" w:color="auto" w:fill="auto"/>
            <w:noWrap/>
            <w:vAlign w:val="bottom"/>
            <w:hideMark/>
          </w:tcPr>
          <w:p w14:paraId="212FA6AB" w14:textId="77777777" w:rsidR="002F53B7" w:rsidRPr="00526B15" w:rsidRDefault="002F53B7" w:rsidP="002F53B7">
            <w:pPr>
              <w:spacing w:after="0" w:line="240" w:lineRule="auto"/>
              <w:rPr>
                <w:rFonts w:eastAsia="Times New Roman" w:cs="Times New Roman"/>
                <w:sz w:val="20"/>
                <w:szCs w:val="20"/>
              </w:rPr>
            </w:pPr>
          </w:p>
        </w:tc>
        <w:tc>
          <w:tcPr>
            <w:tcW w:w="1015" w:type="dxa"/>
            <w:tcBorders>
              <w:top w:val="nil"/>
              <w:left w:val="nil"/>
              <w:bottom w:val="nil"/>
              <w:right w:val="nil"/>
            </w:tcBorders>
            <w:shd w:val="clear" w:color="auto" w:fill="auto"/>
            <w:noWrap/>
            <w:vAlign w:val="bottom"/>
            <w:hideMark/>
          </w:tcPr>
          <w:p w14:paraId="3C19A2B9"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3E845A50"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7689975C"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17809EA2" w14:textId="77777777" w:rsidR="002F53B7" w:rsidRPr="00526B15" w:rsidRDefault="002F53B7" w:rsidP="002F53B7">
            <w:pPr>
              <w:spacing w:after="0" w:line="240" w:lineRule="auto"/>
              <w:rPr>
                <w:rFonts w:eastAsia="Times New Roman" w:cs="Times New Roman"/>
                <w:sz w:val="20"/>
                <w:szCs w:val="20"/>
              </w:rPr>
            </w:pPr>
          </w:p>
        </w:tc>
      </w:tr>
      <w:tr w:rsidR="002F53B7" w:rsidRPr="00526B15" w14:paraId="40366E1A" w14:textId="77777777" w:rsidTr="00730CB1">
        <w:tblPrEx>
          <w:tblCellMar>
            <w:left w:w="108" w:type="dxa"/>
            <w:right w:w="108" w:type="dxa"/>
          </w:tblCellMar>
        </w:tblPrEx>
        <w:trPr>
          <w:trHeight w:val="290"/>
        </w:trPr>
        <w:tc>
          <w:tcPr>
            <w:tcW w:w="976" w:type="dxa"/>
            <w:tcBorders>
              <w:top w:val="nil"/>
              <w:left w:val="nil"/>
              <w:bottom w:val="nil"/>
              <w:right w:val="nil"/>
            </w:tcBorders>
            <w:shd w:val="clear" w:color="auto" w:fill="auto"/>
            <w:noWrap/>
            <w:vAlign w:val="bottom"/>
            <w:hideMark/>
          </w:tcPr>
          <w:p w14:paraId="40C1B71E" w14:textId="77777777" w:rsidR="002F53B7" w:rsidRPr="00526B15"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29ACC65"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67A01801"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03C5CBFD" w14:textId="77777777" w:rsidR="002F53B7" w:rsidRPr="00526B15" w:rsidRDefault="002F53B7" w:rsidP="002F53B7">
            <w:pPr>
              <w:spacing w:after="0" w:line="240" w:lineRule="auto"/>
              <w:rPr>
                <w:rFonts w:eastAsia="Times New Roman" w:cs="Times New Roman"/>
                <w:sz w:val="20"/>
                <w:szCs w:val="20"/>
              </w:rPr>
            </w:pPr>
          </w:p>
        </w:tc>
        <w:tc>
          <w:tcPr>
            <w:tcW w:w="4880" w:type="dxa"/>
            <w:gridSpan w:val="11"/>
            <w:tcBorders>
              <w:top w:val="nil"/>
              <w:left w:val="nil"/>
              <w:bottom w:val="nil"/>
              <w:right w:val="nil"/>
            </w:tcBorders>
            <w:shd w:val="clear" w:color="auto" w:fill="auto"/>
            <w:noWrap/>
            <w:vAlign w:val="bottom"/>
            <w:hideMark/>
          </w:tcPr>
          <w:p w14:paraId="562F526B" w14:textId="77777777" w:rsidR="002F53B7" w:rsidRPr="00526B15" w:rsidRDefault="002F53B7" w:rsidP="002F53B7">
            <w:pPr>
              <w:spacing w:after="0" w:line="240" w:lineRule="auto"/>
              <w:rPr>
                <w:rFonts w:ascii="Calibri" w:eastAsia="Times New Roman" w:hAnsi="Calibri" w:cs="Calibri"/>
                <w:color w:val="000000"/>
                <w:sz w:val="22"/>
              </w:rPr>
            </w:pPr>
            <w:r w:rsidRPr="00526B15">
              <w:rPr>
                <w:rFonts w:ascii="Calibri" w:eastAsia="Times New Roman" w:hAnsi="Calibri" w:cs="Calibri"/>
                <w:color w:val="000000"/>
                <w:sz w:val="22"/>
              </w:rPr>
              <w:t>Productivity Growth in Wholesale and Retail Trade</w:t>
            </w:r>
          </w:p>
        </w:tc>
        <w:tc>
          <w:tcPr>
            <w:tcW w:w="1015" w:type="dxa"/>
            <w:tcBorders>
              <w:top w:val="nil"/>
              <w:left w:val="nil"/>
              <w:bottom w:val="nil"/>
              <w:right w:val="nil"/>
            </w:tcBorders>
            <w:shd w:val="clear" w:color="auto" w:fill="auto"/>
            <w:noWrap/>
            <w:vAlign w:val="bottom"/>
            <w:hideMark/>
          </w:tcPr>
          <w:p w14:paraId="7079C4D6" w14:textId="77777777" w:rsidR="002F53B7" w:rsidRPr="00526B15" w:rsidRDefault="002F53B7" w:rsidP="002F53B7">
            <w:pPr>
              <w:spacing w:after="0" w:line="240" w:lineRule="auto"/>
              <w:rPr>
                <w:rFonts w:ascii="Calibri" w:eastAsia="Times New Roman" w:hAnsi="Calibri" w:cs="Calibri"/>
                <w:color w:val="000000"/>
                <w:sz w:val="22"/>
              </w:rPr>
            </w:pPr>
          </w:p>
        </w:tc>
        <w:tc>
          <w:tcPr>
            <w:tcW w:w="976" w:type="dxa"/>
            <w:gridSpan w:val="2"/>
            <w:tcBorders>
              <w:top w:val="nil"/>
              <w:left w:val="nil"/>
              <w:bottom w:val="nil"/>
              <w:right w:val="nil"/>
            </w:tcBorders>
            <w:shd w:val="clear" w:color="auto" w:fill="auto"/>
            <w:noWrap/>
            <w:vAlign w:val="bottom"/>
            <w:hideMark/>
          </w:tcPr>
          <w:p w14:paraId="0A812A26"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183AB692"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1F7AAC73" w14:textId="77777777" w:rsidR="002F53B7" w:rsidRPr="00526B15" w:rsidRDefault="002F53B7" w:rsidP="002F53B7">
            <w:pPr>
              <w:spacing w:after="0" w:line="240" w:lineRule="auto"/>
              <w:rPr>
                <w:rFonts w:eastAsia="Times New Roman" w:cs="Times New Roman"/>
                <w:sz w:val="20"/>
                <w:szCs w:val="20"/>
              </w:rPr>
            </w:pPr>
          </w:p>
        </w:tc>
      </w:tr>
      <w:tr w:rsidR="002F53B7" w:rsidRPr="00526B15" w14:paraId="20662418" w14:textId="77777777" w:rsidTr="00730CB1">
        <w:tblPrEx>
          <w:tblCellMar>
            <w:left w:w="108" w:type="dxa"/>
            <w:right w:w="108" w:type="dxa"/>
          </w:tblCellMar>
        </w:tblPrEx>
        <w:trPr>
          <w:trHeight w:val="290"/>
        </w:trPr>
        <w:tc>
          <w:tcPr>
            <w:tcW w:w="976" w:type="dxa"/>
            <w:tcBorders>
              <w:top w:val="nil"/>
              <w:left w:val="nil"/>
              <w:bottom w:val="nil"/>
              <w:right w:val="nil"/>
            </w:tcBorders>
            <w:shd w:val="clear" w:color="auto" w:fill="auto"/>
            <w:noWrap/>
            <w:vAlign w:val="bottom"/>
            <w:hideMark/>
          </w:tcPr>
          <w:p w14:paraId="032AA960" w14:textId="77777777" w:rsidR="002F53B7" w:rsidRPr="00526B15"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6B077C2"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0AEF0395"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0E6914CB"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704F62EB" w14:textId="77777777" w:rsidR="002F53B7" w:rsidRPr="00526B15" w:rsidRDefault="002F53B7" w:rsidP="002F53B7">
            <w:pPr>
              <w:spacing w:after="0" w:line="240" w:lineRule="auto"/>
              <w:rPr>
                <w:rFonts w:eastAsia="Times New Roman" w:cs="Times New Roman"/>
                <w:sz w:val="20"/>
                <w:szCs w:val="20"/>
              </w:rPr>
            </w:pPr>
          </w:p>
        </w:tc>
        <w:tc>
          <w:tcPr>
            <w:tcW w:w="2928" w:type="dxa"/>
            <w:gridSpan w:val="7"/>
            <w:tcBorders>
              <w:top w:val="nil"/>
              <w:left w:val="nil"/>
              <w:bottom w:val="nil"/>
              <w:right w:val="nil"/>
            </w:tcBorders>
            <w:shd w:val="clear" w:color="auto" w:fill="auto"/>
            <w:noWrap/>
            <w:vAlign w:val="bottom"/>
            <w:hideMark/>
          </w:tcPr>
          <w:p w14:paraId="3092D3E6"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0BD7E238" w14:textId="77777777" w:rsidR="002F53B7" w:rsidRPr="00526B15" w:rsidRDefault="002F53B7" w:rsidP="002F53B7">
            <w:pPr>
              <w:spacing w:after="0" w:line="240" w:lineRule="auto"/>
              <w:jc w:val="center"/>
              <w:rPr>
                <w:rFonts w:eastAsia="Times New Roman" w:cs="Times New Roman"/>
                <w:sz w:val="20"/>
                <w:szCs w:val="20"/>
              </w:rPr>
            </w:pPr>
          </w:p>
        </w:tc>
        <w:tc>
          <w:tcPr>
            <w:tcW w:w="1015" w:type="dxa"/>
            <w:tcBorders>
              <w:top w:val="nil"/>
              <w:left w:val="nil"/>
              <w:bottom w:val="nil"/>
              <w:right w:val="nil"/>
            </w:tcBorders>
            <w:shd w:val="clear" w:color="auto" w:fill="auto"/>
            <w:noWrap/>
            <w:vAlign w:val="bottom"/>
            <w:hideMark/>
          </w:tcPr>
          <w:p w14:paraId="740E32A4"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5FB9B589"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727641A0"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3DC096CE" w14:textId="77777777" w:rsidR="002F53B7" w:rsidRPr="00526B15" w:rsidRDefault="002F53B7" w:rsidP="002F53B7">
            <w:pPr>
              <w:spacing w:after="0" w:line="240" w:lineRule="auto"/>
              <w:rPr>
                <w:rFonts w:eastAsia="Times New Roman" w:cs="Times New Roman"/>
                <w:sz w:val="20"/>
                <w:szCs w:val="20"/>
              </w:rPr>
            </w:pPr>
          </w:p>
        </w:tc>
      </w:tr>
      <w:tr w:rsidR="002F53B7" w:rsidRPr="00526B15" w14:paraId="2DF4DCDB" w14:textId="77777777" w:rsidTr="00730CB1">
        <w:tblPrEx>
          <w:tblCellMar>
            <w:left w:w="108" w:type="dxa"/>
            <w:right w:w="108" w:type="dxa"/>
          </w:tblCellMar>
        </w:tblPrEx>
        <w:trPr>
          <w:trHeight w:val="290"/>
        </w:trPr>
        <w:tc>
          <w:tcPr>
            <w:tcW w:w="976" w:type="dxa"/>
            <w:tcBorders>
              <w:top w:val="nil"/>
              <w:left w:val="nil"/>
              <w:bottom w:val="nil"/>
              <w:right w:val="nil"/>
            </w:tcBorders>
            <w:shd w:val="clear" w:color="auto" w:fill="auto"/>
            <w:noWrap/>
            <w:vAlign w:val="bottom"/>
            <w:hideMark/>
          </w:tcPr>
          <w:p w14:paraId="09837C99" w14:textId="77777777" w:rsidR="002F53B7" w:rsidRPr="00526B15"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44F9ED3"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4D8CC2B1"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2C15E96D"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5FA8CE5E"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6A01C8D5"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618287AA" w14:textId="77777777" w:rsidR="002F53B7" w:rsidRPr="00526B15" w:rsidRDefault="002F53B7" w:rsidP="002F53B7">
            <w:pPr>
              <w:spacing w:after="0" w:line="240" w:lineRule="auto"/>
              <w:rPr>
                <w:rFonts w:eastAsia="Times New Roman" w:cs="Times New Roman"/>
                <w:sz w:val="20"/>
                <w:szCs w:val="20"/>
              </w:rPr>
            </w:pPr>
          </w:p>
        </w:tc>
        <w:tc>
          <w:tcPr>
            <w:tcW w:w="976" w:type="dxa"/>
            <w:gridSpan w:val="3"/>
            <w:tcBorders>
              <w:top w:val="nil"/>
              <w:left w:val="nil"/>
              <w:bottom w:val="nil"/>
              <w:right w:val="nil"/>
            </w:tcBorders>
            <w:shd w:val="clear" w:color="auto" w:fill="auto"/>
            <w:noWrap/>
            <w:vAlign w:val="bottom"/>
            <w:hideMark/>
          </w:tcPr>
          <w:p w14:paraId="679B815D"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53BEA93F" w14:textId="77777777" w:rsidR="002F53B7" w:rsidRPr="00526B15" w:rsidRDefault="002F53B7" w:rsidP="002F53B7">
            <w:pPr>
              <w:spacing w:after="0" w:line="240" w:lineRule="auto"/>
              <w:rPr>
                <w:rFonts w:eastAsia="Times New Roman" w:cs="Times New Roman"/>
                <w:sz w:val="20"/>
                <w:szCs w:val="20"/>
              </w:rPr>
            </w:pPr>
          </w:p>
        </w:tc>
        <w:tc>
          <w:tcPr>
            <w:tcW w:w="1015" w:type="dxa"/>
            <w:tcBorders>
              <w:top w:val="nil"/>
              <w:left w:val="nil"/>
              <w:bottom w:val="nil"/>
              <w:right w:val="nil"/>
            </w:tcBorders>
            <w:shd w:val="clear" w:color="auto" w:fill="auto"/>
            <w:noWrap/>
            <w:vAlign w:val="bottom"/>
            <w:hideMark/>
          </w:tcPr>
          <w:p w14:paraId="546FB545"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5C89FAAC"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346273D3"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4002293D" w14:textId="77777777" w:rsidR="002F53B7" w:rsidRPr="00526B15" w:rsidRDefault="002F53B7" w:rsidP="002F53B7">
            <w:pPr>
              <w:spacing w:after="0" w:line="240" w:lineRule="auto"/>
              <w:rPr>
                <w:rFonts w:eastAsia="Times New Roman" w:cs="Times New Roman"/>
                <w:sz w:val="20"/>
                <w:szCs w:val="20"/>
              </w:rPr>
            </w:pPr>
          </w:p>
        </w:tc>
      </w:tr>
      <w:tr w:rsidR="002F53B7" w:rsidRPr="00526B15" w14:paraId="1FF9BBC5" w14:textId="77777777" w:rsidTr="00730CB1">
        <w:tblPrEx>
          <w:tblCellMar>
            <w:left w:w="108" w:type="dxa"/>
            <w:right w:w="108" w:type="dxa"/>
          </w:tblCellMar>
        </w:tblPrEx>
        <w:trPr>
          <w:trHeight w:val="290"/>
        </w:trPr>
        <w:tc>
          <w:tcPr>
            <w:tcW w:w="976" w:type="dxa"/>
            <w:tcBorders>
              <w:top w:val="nil"/>
              <w:left w:val="nil"/>
              <w:bottom w:val="nil"/>
              <w:right w:val="nil"/>
            </w:tcBorders>
            <w:shd w:val="clear" w:color="auto" w:fill="auto"/>
            <w:noWrap/>
            <w:vAlign w:val="bottom"/>
            <w:hideMark/>
          </w:tcPr>
          <w:p w14:paraId="25C99347" w14:textId="77777777" w:rsidR="002F53B7" w:rsidRPr="00526B15"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123DCD7" w14:textId="77777777" w:rsidR="002F53B7" w:rsidRPr="00526B15" w:rsidRDefault="002F53B7" w:rsidP="002F53B7">
            <w:pPr>
              <w:spacing w:after="0" w:line="240" w:lineRule="auto"/>
              <w:jc w:val="center"/>
              <w:rPr>
                <w:rFonts w:ascii="Calibri" w:eastAsia="Times New Roman" w:hAnsi="Calibri" w:cs="Calibri"/>
                <w:color w:val="000000"/>
                <w:sz w:val="22"/>
              </w:rPr>
            </w:pPr>
            <w:r w:rsidRPr="00526B15">
              <w:rPr>
                <w:rFonts w:ascii="Calibri" w:eastAsia="Times New Roman" w:hAnsi="Calibri" w:cs="Calibri"/>
                <w:color w:val="000000"/>
                <w:sz w:val="22"/>
              </w:rPr>
              <w:t>Nom.</w:t>
            </w:r>
          </w:p>
        </w:tc>
        <w:tc>
          <w:tcPr>
            <w:tcW w:w="976" w:type="dxa"/>
            <w:gridSpan w:val="2"/>
            <w:tcBorders>
              <w:top w:val="nil"/>
              <w:left w:val="nil"/>
              <w:bottom w:val="nil"/>
              <w:right w:val="nil"/>
            </w:tcBorders>
            <w:shd w:val="clear" w:color="auto" w:fill="auto"/>
            <w:noWrap/>
            <w:vAlign w:val="bottom"/>
            <w:hideMark/>
          </w:tcPr>
          <w:p w14:paraId="17DBF9FA" w14:textId="77777777" w:rsidR="002F53B7" w:rsidRPr="00526B15" w:rsidRDefault="002F53B7" w:rsidP="002F53B7">
            <w:pPr>
              <w:spacing w:after="0" w:line="240" w:lineRule="auto"/>
              <w:jc w:val="center"/>
              <w:rPr>
                <w:rFonts w:ascii="Calibri" w:eastAsia="Times New Roman" w:hAnsi="Calibri" w:cs="Calibri"/>
                <w:color w:val="000000"/>
                <w:sz w:val="22"/>
              </w:rPr>
            </w:pPr>
            <w:r w:rsidRPr="00526B15">
              <w:rPr>
                <w:rFonts w:ascii="Calibri" w:eastAsia="Times New Roman" w:hAnsi="Calibri" w:cs="Calibri"/>
                <w:color w:val="000000"/>
                <w:sz w:val="22"/>
              </w:rPr>
              <w:t>PCE</w:t>
            </w:r>
          </w:p>
        </w:tc>
        <w:tc>
          <w:tcPr>
            <w:tcW w:w="976" w:type="dxa"/>
            <w:gridSpan w:val="2"/>
            <w:tcBorders>
              <w:top w:val="nil"/>
              <w:left w:val="nil"/>
              <w:bottom w:val="nil"/>
              <w:right w:val="nil"/>
            </w:tcBorders>
            <w:shd w:val="clear" w:color="auto" w:fill="auto"/>
            <w:noWrap/>
            <w:vAlign w:val="bottom"/>
            <w:hideMark/>
          </w:tcPr>
          <w:p w14:paraId="6D11A570" w14:textId="77777777" w:rsidR="002F53B7" w:rsidRPr="00526B15" w:rsidRDefault="002F53B7" w:rsidP="002F53B7">
            <w:pPr>
              <w:spacing w:after="0" w:line="240" w:lineRule="auto"/>
              <w:jc w:val="center"/>
              <w:rPr>
                <w:rFonts w:ascii="Calibri" w:eastAsia="Times New Roman" w:hAnsi="Calibri" w:cs="Calibri"/>
                <w:color w:val="000000"/>
                <w:sz w:val="22"/>
              </w:rPr>
            </w:pPr>
            <w:r w:rsidRPr="00526B15">
              <w:rPr>
                <w:rFonts w:ascii="Calibri" w:eastAsia="Times New Roman" w:hAnsi="Calibri" w:cs="Calibri"/>
                <w:color w:val="000000"/>
                <w:sz w:val="22"/>
              </w:rPr>
              <w:t>Real</w:t>
            </w:r>
          </w:p>
        </w:tc>
        <w:tc>
          <w:tcPr>
            <w:tcW w:w="976" w:type="dxa"/>
            <w:gridSpan w:val="2"/>
            <w:tcBorders>
              <w:top w:val="nil"/>
              <w:left w:val="nil"/>
              <w:bottom w:val="nil"/>
              <w:right w:val="nil"/>
            </w:tcBorders>
            <w:shd w:val="clear" w:color="auto" w:fill="auto"/>
            <w:noWrap/>
            <w:vAlign w:val="bottom"/>
            <w:hideMark/>
          </w:tcPr>
          <w:p w14:paraId="5904ADAD" w14:textId="77777777" w:rsidR="002F53B7" w:rsidRPr="00526B15" w:rsidRDefault="002F53B7" w:rsidP="002F53B7">
            <w:pPr>
              <w:spacing w:after="0" w:line="240" w:lineRule="auto"/>
              <w:jc w:val="center"/>
              <w:rPr>
                <w:rFonts w:ascii="Calibri" w:eastAsia="Times New Roman" w:hAnsi="Calibri" w:cs="Calibri"/>
                <w:color w:val="000000"/>
                <w:sz w:val="22"/>
              </w:rPr>
            </w:pPr>
            <w:r w:rsidRPr="00526B15">
              <w:rPr>
                <w:rFonts w:ascii="Calibri" w:eastAsia="Times New Roman" w:hAnsi="Calibri" w:cs="Calibri"/>
                <w:color w:val="000000"/>
                <w:sz w:val="22"/>
              </w:rPr>
              <w:t>FTEs</w:t>
            </w:r>
          </w:p>
        </w:tc>
        <w:tc>
          <w:tcPr>
            <w:tcW w:w="976" w:type="dxa"/>
            <w:gridSpan w:val="2"/>
            <w:tcBorders>
              <w:top w:val="nil"/>
              <w:left w:val="nil"/>
              <w:bottom w:val="nil"/>
              <w:right w:val="nil"/>
            </w:tcBorders>
            <w:shd w:val="clear" w:color="auto" w:fill="auto"/>
            <w:noWrap/>
            <w:vAlign w:val="bottom"/>
            <w:hideMark/>
          </w:tcPr>
          <w:p w14:paraId="2387A695" w14:textId="77777777" w:rsidR="002F53B7" w:rsidRPr="00526B15" w:rsidRDefault="002F53B7" w:rsidP="002F53B7">
            <w:pPr>
              <w:spacing w:after="0" w:line="240" w:lineRule="auto"/>
              <w:jc w:val="center"/>
              <w:rPr>
                <w:rFonts w:ascii="Calibri" w:eastAsia="Times New Roman" w:hAnsi="Calibri" w:cs="Calibri"/>
                <w:color w:val="000000"/>
                <w:sz w:val="22"/>
              </w:rPr>
            </w:pPr>
            <w:r w:rsidRPr="00526B15">
              <w:rPr>
                <w:rFonts w:ascii="Calibri" w:eastAsia="Times New Roman" w:hAnsi="Calibri" w:cs="Calibri"/>
                <w:color w:val="000000"/>
                <w:sz w:val="22"/>
              </w:rPr>
              <w:t>FTEs</w:t>
            </w:r>
          </w:p>
        </w:tc>
        <w:tc>
          <w:tcPr>
            <w:tcW w:w="976" w:type="dxa"/>
            <w:gridSpan w:val="2"/>
            <w:tcBorders>
              <w:top w:val="nil"/>
              <w:left w:val="nil"/>
              <w:bottom w:val="nil"/>
              <w:right w:val="nil"/>
            </w:tcBorders>
            <w:shd w:val="clear" w:color="auto" w:fill="auto"/>
            <w:noWrap/>
            <w:vAlign w:val="bottom"/>
            <w:hideMark/>
          </w:tcPr>
          <w:p w14:paraId="260E68B7" w14:textId="77777777" w:rsidR="002F53B7" w:rsidRPr="00526B15" w:rsidRDefault="002F53B7" w:rsidP="002F53B7">
            <w:pPr>
              <w:spacing w:after="0" w:line="240" w:lineRule="auto"/>
              <w:rPr>
                <w:rFonts w:ascii="Calibri" w:eastAsia="Times New Roman" w:hAnsi="Calibri" w:cs="Calibri"/>
                <w:color w:val="000000"/>
                <w:sz w:val="22"/>
              </w:rPr>
            </w:pPr>
            <w:r w:rsidRPr="00526B15">
              <w:rPr>
                <w:rFonts w:ascii="Calibri" w:eastAsia="Times New Roman" w:hAnsi="Calibri" w:cs="Calibri"/>
                <w:color w:val="000000"/>
                <w:sz w:val="22"/>
              </w:rPr>
              <w:t>FTEs RT</w:t>
            </w:r>
          </w:p>
        </w:tc>
        <w:tc>
          <w:tcPr>
            <w:tcW w:w="976" w:type="dxa"/>
            <w:gridSpan w:val="3"/>
            <w:tcBorders>
              <w:top w:val="nil"/>
              <w:left w:val="nil"/>
              <w:bottom w:val="nil"/>
              <w:right w:val="nil"/>
            </w:tcBorders>
            <w:shd w:val="clear" w:color="auto" w:fill="auto"/>
            <w:noWrap/>
            <w:vAlign w:val="bottom"/>
            <w:hideMark/>
          </w:tcPr>
          <w:p w14:paraId="11D3EC01" w14:textId="77777777" w:rsidR="002F53B7" w:rsidRPr="00526B15" w:rsidRDefault="002F53B7" w:rsidP="002F53B7">
            <w:pPr>
              <w:spacing w:after="0" w:line="240" w:lineRule="auto"/>
              <w:rPr>
                <w:rFonts w:ascii="Calibri" w:eastAsia="Times New Roman" w:hAnsi="Calibri" w:cs="Calibri"/>
                <w:color w:val="000000"/>
                <w:sz w:val="22"/>
              </w:rPr>
            </w:pPr>
            <w:r w:rsidRPr="00526B15">
              <w:rPr>
                <w:rFonts w:ascii="Calibri" w:eastAsia="Times New Roman" w:hAnsi="Calibri" w:cs="Calibri"/>
                <w:color w:val="000000"/>
                <w:sz w:val="22"/>
              </w:rPr>
              <w:t>Hours</w:t>
            </w:r>
          </w:p>
        </w:tc>
        <w:tc>
          <w:tcPr>
            <w:tcW w:w="1991" w:type="dxa"/>
            <w:gridSpan w:val="3"/>
            <w:tcBorders>
              <w:top w:val="nil"/>
              <w:left w:val="nil"/>
              <w:bottom w:val="nil"/>
              <w:right w:val="nil"/>
            </w:tcBorders>
            <w:shd w:val="clear" w:color="auto" w:fill="auto"/>
            <w:noWrap/>
            <w:vAlign w:val="bottom"/>
            <w:hideMark/>
          </w:tcPr>
          <w:p w14:paraId="0A11ACB2" w14:textId="77777777" w:rsidR="002F53B7" w:rsidRPr="00526B15" w:rsidRDefault="002F53B7" w:rsidP="002F53B7">
            <w:pPr>
              <w:spacing w:after="0" w:line="240" w:lineRule="auto"/>
              <w:rPr>
                <w:rFonts w:ascii="Calibri" w:eastAsia="Times New Roman" w:hAnsi="Calibri" w:cs="Calibri"/>
                <w:color w:val="000000"/>
                <w:sz w:val="22"/>
              </w:rPr>
            </w:pPr>
            <w:r w:rsidRPr="00526B15">
              <w:rPr>
                <w:rFonts w:ascii="Calibri" w:eastAsia="Times New Roman" w:hAnsi="Calibri" w:cs="Calibri"/>
                <w:color w:val="000000"/>
                <w:sz w:val="22"/>
              </w:rPr>
              <w:t>Multimerch.</w:t>
            </w:r>
          </w:p>
        </w:tc>
        <w:tc>
          <w:tcPr>
            <w:tcW w:w="976" w:type="dxa"/>
            <w:gridSpan w:val="2"/>
            <w:tcBorders>
              <w:top w:val="nil"/>
              <w:left w:val="nil"/>
              <w:bottom w:val="nil"/>
              <w:right w:val="nil"/>
            </w:tcBorders>
            <w:shd w:val="clear" w:color="auto" w:fill="auto"/>
            <w:noWrap/>
            <w:vAlign w:val="bottom"/>
            <w:hideMark/>
          </w:tcPr>
          <w:p w14:paraId="631AE355" w14:textId="77777777" w:rsidR="002F53B7" w:rsidRPr="00526B15" w:rsidRDefault="002F53B7" w:rsidP="002F53B7">
            <w:pPr>
              <w:spacing w:after="0" w:line="240" w:lineRule="auto"/>
              <w:jc w:val="center"/>
              <w:rPr>
                <w:rFonts w:ascii="Calibri" w:eastAsia="Times New Roman" w:hAnsi="Calibri" w:cs="Calibri"/>
                <w:color w:val="000000"/>
                <w:sz w:val="22"/>
              </w:rPr>
            </w:pPr>
            <w:r w:rsidRPr="00526B15">
              <w:rPr>
                <w:rFonts w:ascii="Calibri" w:eastAsia="Times New Roman" w:hAnsi="Calibri" w:cs="Calibri"/>
                <w:color w:val="000000"/>
                <w:sz w:val="22"/>
              </w:rPr>
              <w:t>Capital</w:t>
            </w:r>
          </w:p>
        </w:tc>
        <w:tc>
          <w:tcPr>
            <w:tcW w:w="976" w:type="dxa"/>
            <w:gridSpan w:val="2"/>
            <w:tcBorders>
              <w:top w:val="nil"/>
              <w:left w:val="nil"/>
              <w:bottom w:val="nil"/>
              <w:right w:val="nil"/>
            </w:tcBorders>
            <w:shd w:val="clear" w:color="auto" w:fill="auto"/>
            <w:noWrap/>
            <w:vAlign w:val="bottom"/>
            <w:hideMark/>
          </w:tcPr>
          <w:p w14:paraId="19901656" w14:textId="77777777" w:rsidR="002F53B7" w:rsidRPr="00526B15" w:rsidRDefault="002F53B7" w:rsidP="002F53B7">
            <w:pPr>
              <w:spacing w:after="0" w:line="240" w:lineRule="auto"/>
              <w:jc w:val="center"/>
              <w:rPr>
                <w:rFonts w:ascii="Calibri" w:eastAsia="Times New Roman" w:hAnsi="Calibri" w:cs="Calibri"/>
                <w:color w:val="000000"/>
                <w:sz w:val="22"/>
              </w:rPr>
            </w:pPr>
            <w:r w:rsidRPr="00526B15">
              <w:rPr>
                <w:rFonts w:ascii="Calibri" w:eastAsia="Times New Roman" w:hAnsi="Calibri" w:cs="Calibri"/>
                <w:color w:val="000000"/>
                <w:sz w:val="22"/>
              </w:rPr>
              <w:t>Labor</w:t>
            </w:r>
          </w:p>
        </w:tc>
        <w:tc>
          <w:tcPr>
            <w:tcW w:w="976" w:type="dxa"/>
            <w:gridSpan w:val="2"/>
            <w:tcBorders>
              <w:top w:val="nil"/>
              <w:left w:val="nil"/>
              <w:bottom w:val="nil"/>
              <w:right w:val="nil"/>
            </w:tcBorders>
            <w:shd w:val="clear" w:color="auto" w:fill="auto"/>
            <w:noWrap/>
            <w:vAlign w:val="bottom"/>
            <w:hideMark/>
          </w:tcPr>
          <w:p w14:paraId="47B5AEA5" w14:textId="77777777" w:rsidR="002F53B7" w:rsidRPr="00526B15" w:rsidRDefault="002F53B7" w:rsidP="002F53B7">
            <w:pPr>
              <w:spacing w:after="0" w:line="240" w:lineRule="auto"/>
              <w:jc w:val="center"/>
              <w:rPr>
                <w:rFonts w:ascii="Calibri" w:eastAsia="Times New Roman" w:hAnsi="Calibri" w:cs="Calibri"/>
                <w:color w:val="000000"/>
                <w:sz w:val="22"/>
              </w:rPr>
            </w:pPr>
            <w:r w:rsidRPr="00526B15">
              <w:rPr>
                <w:rFonts w:ascii="Calibri" w:eastAsia="Times New Roman" w:hAnsi="Calibri" w:cs="Calibri"/>
                <w:color w:val="000000"/>
                <w:sz w:val="22"/>
              </w:rPr>
              <w:t>TFP</w:t>
            </w:r>
          </w:p>
        </w:tc>
      </w:tr>
      <w:tr w:rsidR="002F53B7" w:rsidRPr="00526B15" w14:paraId="0AC60C10" w14:textId="77777777" w:rsidTr="00730CB1">
        <w:tblPrEx>
          <w:tblCellMar>
            <w:left w:w="108" w:type="dxa"/>
            <w:right w:w="108" w:type="dxa"/>
          </w:tblCellMar>
        </w:tblPrEx>
        <w:trPr>
          <w:trHeight w:val="300"/>
        </w:trPr>
        <w:tc>
          <w:tcPr>
            <w:tcW w:w="976" w:type="dxa"/>
            <w:tcBorders>
              <w:top w:val="nil"/>
              <w:left w:val="nil"/>
              <w:bottom w:val="nil"/>
              <w:right w:val="nil"/>
            </w:tcBorders>
            <w:shd w:val="clear" w:color="auto" w:fill="auto"/>
            <w:noWrap/>
            <w:vAlign w:val="bottom"/>
            <w:hideMark/>
          </w:tcPr>
          <w:p w14:paraId="4AA54783" w14:textId="77777777" w:rsidR="002F53B7" w:rsidRPr="00526B15" w:rsidRDefault="002F53B7" w:rsidP="002F53B7">
            <w:pPr>
              <w:spacing w:after="0" w:line="240" w:lineRule="auto"/>
              <w:jc w:val="center"/>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41B5495A" w14:textId="77777777" w:rsidR="002F53B7" w:rsidRPr="00526B15" w:rsidRDefault="002F53B7" w:rsidP="002F53B7">
            <w:pPr>
              <w:spacing w:after="0" w:line="240" w:lineRule="auto"/>
              <w:jc w:val="center"/>
              <w:rPr>
                <w:rFonts w:ascii="Calibri" w:eastAsia="Times New Roman" w:hAnsi="Calibri" w:cs="Calibri"/>
                <w:color w:val="000000"/>
                <w:sz w:val="22"/>
              </w:rPr>
            </w:pPr>
            <w:r w:rsidRPr="00526B15">
              <w:rPr>
                <w:rFonts w:ascii="Calibri" w:eastAsia="Times New Roman" w:hAnsi="Calibri" w:cs="Calibri"/>
                <w:color w:val="000000"/>
                <w:sz w:val="22"/>
              </w:rPr>
              <w:t>Income</w:t>
            </w:r>
          </w:p>
        </w:tc>
        <w:tc>
          <w:tcPr>
            <w:tcW w:w="976" w:type="dxa"/>
            <w:gridSpan w:val="2"/>
            <w:tcBorders>
              <w:top w:val="nil"/>
              <w:left w:val="nil"/>
              <w:bottom w:val="nil"/>
              <w:right w:val="nil"/>
            </w:tcBorders>
            <w:shd w:val="clear" w:color="auto" w:fill="auto"/>
            <w:noWrap/>
            <w:vAlign w:val="bottom"/>
            <w:hideMark/>
          </w:tcPr>
          <w:p w14:paraId="62CBD696" w14:textId="77777777" w:rsidR="002F53B7" w:rsidRPr="00526B15" w:rsidRDefault="002F53B7" w:rsidP="002F53B7">
            <w:pPr>
              <w:spacing w:after="0" w:line="240" w:lineRule="auto"/>
              <w:jc w:val="center"/>
              <w:rPr>
                <w:rFonts w:ascii="Calibri" w:eastAsia="Times New Roman" w:hAnsi="Calibri" w:cs="Calibri"/>
                <w:color w:val="000000"/>
                <w:sz w:val="22"/>
              </w:rPr>
            </w:pPr>
            <w:r w:rsidRPr="00526B15">
              <w:rPr>
                <w:rFonts w:ascii="Calibri" w:eastAsia="Times New Roman" w:hAnsi="Calibri" w:cs="Calibri"/>
                <w:color w:val="000000"/>
                <w:sz w:val="22"/>
              </w:rPr>
              <w:t>Deflator</w:t>
            </w:r>
          </w:p>
        </w:tc>
        <w:tc>
          <w:tcPr>
            <w:tcW w:w="976" w:type="dxa"/>
            <w:gridSpan w:val="2"/>
            <w:tcBorders>
              <w:top w:val="nil"/>
              <w:left w:val="nil"/>
              <w:bottom w:val="nil"/>
              <w:right w:val="nil"/>
            </w:tcBorders>
            <w:shd w:val="clear" w:color="auto" w:fill="auto"/>
            <w:noWrap/>
            <w:vAlign w:val="bottom"/>
            <w:hideMark/>
          </w:tcPr>
          <w:p w14:paraId="40F430FA" w14:textId="77777777" w:rsidR="002F53B7" w:rsidRPr="00526B15" w:rsidRDefault="002F53B7" w:rsidP="002F53B7">
            <w:pPr>
              <w:spacing w:after="0" w:line="240" w:lineRule="auto"/>
              <w:jc w:val="center"/>
              <w:rPr>
                <w:rFonts w:ascii="Calibri" w:eastAsia="Times New Roman" w:hAnsi="Calibri" w:cs="Calibri"/>
                <w:color w:val="000000"/>
                <w:sz w:val="22"/>
              </w:rPr>
            </w:pPr>
            <w:r w:rsidRPr="00526B15">
              <w:rPr>
                <w:rFonts w:ascii="Calibri" w:eastAsia="Times New Roman" w:hAnsi="Calibri" w:cs="Calibri"/>
                <w:color w:val="000000"/>
                <w:sz w:val="22"/>
              </w:rPr>
              <w:t>Output</w:t>
            </w:r>
          </w:p>
        </w:tc>
        <w:tc>
          <w:tcPr>
            <w:tcW w:w="976" w:type="dxa"/>
            <w:gridSpan w:val="2"/>
            <w:tcBorders>
              <w:top w:val="nil"/>
              <w:left w:val="nil"/>
              <w:bottom w:val="nil"/>
              <w:right w:val="nil"/>
            </w:tcBorders>
            <w:shd w:val="clear" w:color="auto" w:fill="auto"/>
            <w:noWrap/>
            <w:vAlign w:val="bottom"/>
            <w:hideMark/>
          </w:tcPr>
          <w:p w14:paraId="7307C3A7" w14:textId="77777777" w:rsidR="002F53B7" w:rsidRPr="00526B15" w:rsidRDefault="002F53B7" w:rsidP="002F53B7">
            <w:pPr>
              <w:spacing w:after="0" w:line="240" w:lineRule="auto"/>
              <w:jc w:val="center"/>
              <w:rPr>
                <w:rFonts w:ascii="Calibri" w:eastAsia="Times New Roman" w:hAnsi="Calibri" w:cs="Calibri"/>
                <w:color w:val="000000"/>
                <w:sz w:val="22"/>
              </w:rPr>
            </w:pPr>
            <w:r w:rsidRPr="00526B15">
              <w:rPr>
                <w:rFonts w:ascii="Calibri" w:eastAsia="Times New Roman" w:hAnsi="Calibri" w:cs="Calibri"/>
                <w:color w:val="000000"/>
                <w:sz w:val="22"/>
              </w:rPr>
              <w:t>WT</w:t>
            </w:r>
          </w:p>
        </w:tc>
        <w:tc>
          <w:tcPr>
            <w:tcW w:w="976" w:type="dxa"/>
            <w:gridSpan w:val="2"/>
            <w:tcBorders>
              <w:top w:val="nil"/>
              <w:left w:val="nil"/>
              <w:bottom w:val="nil"/>
              <w:right w:val="nil"/>
            </w:tcBorders>
            <w:shd w:val="clear" w:color="auto" w:fill="auto"/>
            <w:noWrap/>
            <w:vAlign w:val="bottom"/>
            <w:hideMark/>
          </w:tcPr>
          <w:p w14:paraId="0BE9DFE6" w14:textId="77777777" w:rsidR="002F53B7" w:rsidRPr="00526B15" w:rsidRDefault="002F53B7" w:rsidP="002F53B7">
            <w:pPr>
              <w:spacing w:after="0" w:line="240" w:lineRule="auto"/>
              <w:jc w:val="center"/>
              <w:rPr>
                <w:rFonts w:ascii="Calibri" w:eastAsia="Times New Roman" w:hAnsi="Calibri" w:cs="Calibri"/>
                <w:color w:val="000000"/>
                <w:sz w:val="22"/>
              </w:rPr>
            </w:pPr>
            <w:r w:rsidRPr="00526B15">
              <w:rPr>
                <w:rFonts w:ascii="Calibri" w:eastAsia="Times New Roman" w:hAnsi="Calibri" w:cs="Calibri"/>
                <w:color w:val="000000"/>
                <w:sz w:val="22"/>
              </w:rPr>
              <w:t>RT</w:t>
            </w:r>
          </w:p>
        </w:tc>
        <w:tc>
          <w:tcPr>
            <w:tcW w:w="976" w:type="dxa"/>
            <w:gridSpan w:val="2"/>
            <w:tcBorders>
              <w:top w:val="nil"/>
              <w:left w:val="nil"/>
              <w:bottom w:val="nil"/>
              <w:right w:val="nil"/>
            </w:tcBorders>
            <w:shd w:val="clear" w:color="auto" w:fill="auto"/>
            <w:noWrap/>
            <w:vAlign w:val="bottom"/>
            <w:hideMark/>
          </w:tcPr>
          <w:p w14:paraId="263F2258" w14:textId="77777777" w:rsidR="002F53B7" w:rsidRPr="00526B15" w:rsidRDefault="002F53B7" w:rsidP="002F53B7">
            <w:pPr>
              <w:spacing w:after="0" w:line="240" w:lineRule="auto"/>
              <w:rPr>
                <w:rFonts w:ascii="Calibri" w:eastAsia="Times New Roman" w:hAnsi="Calibri" w:cs="Calibri"/>
                <w:color w:val="000000"/>
                <w:sz w:val="22"/>
              </w:rPr>
            </w:pPr>
            <w:r w:rsidRPr="00526B15">
              <w:rPr>
                <w:rFonts w:ascii="Calibri" w:eastAsia="Times New Roman" w:hAnsi="Calibri" w:cs="Calibri"/>
                <w:color w:val="000000"/>
                <w:sz w:val="22"/>
              </w:rPr>
              <w:t>Adjust.</w:t>
            </w:r>
          </w:p>
        </w:tc>
        <w:tc>
          <w:tcPr>
            <w:tcW w:w="976" w:type="dxa"/>
            <w:gridSpan w:val="3"/>
            <w:tcBorders>
              <w:top w:val="nil"/>
              <w:left w:val="nil"/>
              <w:bottom w:val="nil"/>
              <w:right w:val="nil"/>
            </w:tcBorders>
            <w:shd w:val="clear" w:color="auto" w:fill="auto"/>
            <w:noWrap/>
            <w:vAlign w:val="bottom"/>
            <w:hideMark/>
          </w:tcPr>
          <w:p w14:paraId="5F154EC0" w14:textId="77777777" w:rsidR="002F53B7" w:rsidRPr="00526B15" w:rsidRDefault="002F53B7" w:rsidP="002F53B7">
            <w:pPr>
              <w:spacing w:after="0" w:line="240" w:lineRule="auto"/>
              <w:rPr>
                <w:rFonts w:ascii="Calibri" w:eastAsia="Times New Roman" w:hAnsi="Calibri" w:cs="Calibri"/>
                <w:color w:val="000000"/>
                <w:sz w:val="22"/>
              </w:rPr>
            </w:pPr>
            <w:r w:rsidRPr="00526B15">
              <w:rPr>
                <w:rFonts w:ascii="Calibri" w:eastAsia="Times New Roman" w:hAnsi="Calibri" w:cs="Calibri"/>
                <w:color w:val="000000"/>
                <w:sz w:val="22"/>
              </w:rPr>
              <w:t>Proxy</w:t>
            </w:r>
          </w:p>
        </w:tc>
        <w:tc>
          <w:tcPr>
            <w:tcW w:w="976" w:type="dxa"/>
            <w:gridSpan w:val="2"/>
            <w:tcBorders>
              <w:top w:val="nil"/>
              <w:left w:val="nil"/>
              <w:bottom w:val="nil"/>
              <w:right w:val="nil"/>
            </w:tcBorders>
            <w:shd w:val="clear" w:color="auto" w:fill="auto"/>
            <w:noWrap/>
            <w:vAlign w:val="bottom"/>
            <w:hideMark/>
          </w:tcPr>
          <w:p w14:paraId="4F7B1236" w14:textId="77777777" w:rsidR="002F53B7" w:rsidRPr="00526B15" w:rsidRDefault="002F53B7" w:rsidP="002F53B7">
            <w:pPr>
              <w:spacing w:after="0" w:line="240" w:lineRule="auto"/>
              <w:rPr>
                <w:rFonts w:ascii="Calibri" w:eastAsia="Times New Roman" w:hAnsi="Calibri" w:cs="Calibri"/>
                <w:color w:val="000000"/>
                <w:sz w:val="22"/>
              </w:rPr>
            </w:pPr>
            <w:r w:rsidRPr="00526B15">
              <w:rPr>
                <w:rFonts w:ascii="Calibri" w:eastAsia="Times New Roman" w:hAnsi="Calibri" w:cs="Calibri"/>
                <w:color w:val="000000"/>
                <w:sz w:val="22"/>
              </w:rPr>
              <w:t>Shop.</w:t>
            </w:r>
          </w:p>
        </w:tc>
        <w:tc>
          <w:tcPr>
            <w:tcW w:w="1015" w:type="dxa"/>
            <w:tcBorders>
              <w:top w:val="nil"/>
              <w:left w:val="nil"/>
              <w:bottom w:val="nil"/>
              <w:right w:val="nil"/>
            </w:tcBorders>
            <w:shd w:val="clear" w:color="auto" w:fill="auto"/>
            <w:noWrap/>
            <w:vAlign w:val="bottom"/>
            <w:hideMark/>
          </w:tcPr>
          <w:p w14:paraId="3F768220" w14:textId="77777777" w:rsidR="002F53B7" w:rsidRPr="00526B15" w:rsidRDefault="002F53B7" w:rsidP="002F53B7">
            <w:pPr>
              <w:spacing w:after="0" w:line="240" w:lineRule="auto"/>
              <w:rPr>
                <w:rFonts w:ascii="Calibri" w:eastAsia="Times New Roman" w:hAnsi="Calibri" w:cs="Calibri"/>
                <w:color w:val="000000"/>
                <w:sz w:val="22"/>
              </w:rPr>
            </w:pPr>
            <w:r w:rsidRPr="00526B15">
              <w:rPr>
                <w:rFonts w:ascii="Calibri" w:eastAsia="Times New Roman" w:hAnsi="Calibri" w:cs="Calibri"/>
                <w:color w:val="000000"/>
                <w:sz w:val="22"/>
              </w:rPr>
              <w:t>Warehse</w:t>
            </w:r>
          </w:p>
        </w:tc>
        <w:tc>
          <w:tcPr>
            <w:tcW w:w="976" w:type="dxa"/>
            <w:gridSpan w:val="2"/>
            <w:tcBorders>
              <w:top w:val="nil"/>
              <w:left w:val="nil"/>
              <w:bottom w:val="nil"/>
              <w:right w:val="nil"/>
            </w:tcBorders>
            <w:shd w:val="clear" w:color="auto" w:fill="auto"/>
            <w:noWrap/>
            <w:vAlign w:val="bottom"/>
            <w:hideMark/>
          </w:tcPr>
          <w:p w14:paraId="406ADDAB" w14:textId="77777777" w:rsidR="002F53B7" w:rsidRPr="00526B15" w:rsidRDefault="002F53B7" w:rsidP="002F53B7">
            <w:pPr>
              <w:spacing w:after="0" w:line="240" w:lineRule="auto"/>
              <w:jc w:val="center"/>
              <w:rPr>
                <w:rFonts w:ascii="Calibri" w:eastAsia="Times New Roman" w:hAnsi="Calibri" w:cs="Calibri"/>
                <w:color w:val="000000"/>
                <w:sz w:val="22"/>
              </w:rPr>
            </w:pPr>
            <w:r w:rsidRPr="00526B15">
              <w:rPr>
                <w:rFonts w:ascii="Calibri" w:eastAsia="Times New Roman" w:hAnsi="Calibri" w:cs="Calibri"/>
                <w:color w:val="000000"/>
                <w:sz w:val="22"/>
              </w:rPr>
              <w:t>Comb.</w:t>
            </w:r>
          </w:p>
        </w:tc>
        <w:tc>
          <w:tcPr>
            <w:tcW w:w="976" w:type="dxa"/>
            <w:gridSpan w:val="2"/>
            <w:tcBorders>
              <w:top w:val="nil"/>
              <w:left w:val="nil"/>
              <w:bottom w:val="nil"/>
              <w:right w:val="nil"/>
            </w:tcBorders>
            <w:shd w:val="clear" w:color="auto" w:fill="auto"/>
            <w:noWrap/>
            <w:vAlign w:val="bottom"/>
            <w:hideMark/>
          </w:tcPr>
          <w:p w14:paraId="5EC6AD01" w14:textId="77777777" w:rsidR="002F53B7" w:rsidRPr="00526B15" w:rsidRDefault="002F53B7" w:rsidP="002F53B7">
            <w:pPr>
              <w:spacing w:after="0" w:line="240" w:lineRule="auto"/>
              <w:jc w:val="center"/>
              <w:rPr>
                <w:rFonts w:ascii="Calibri" w:eastAsia="Times New Roman" w:hAnsi="Calibri" w:cs="Calibri"/>
                <w:color w:val="000000"/>
                <w:sz w:val="22"/>
              </w:rPr>
            </w:pPr>
            <w:r w:rsidRPr="00526B15">
              <w:rPr>
                <w:rFonts w:ascii="Calibri" w:eastAsia="Times New Roman" w:hAnsi="Calibri" w:cs="Calibri"/>
                <w:color w:val="000000"/>
                <w:sz w:val="22"/>
              </w:rPr>
              <w:t>Prod.</w:t>
            </w:r>
          </w:p>
        </w:tc>
        <w:tc>
          <w:tcPr>
            <w:tcW w:w="976" w:type="dxa"/>
            <w:gridSpan w:val="2"/>
            <w:tcBorders>
              <w:top w:val="nil"/>
              <w:left w:val="nil"/>
              <w:bottom w:val="nil"/>
              <w:right w:val="nil"/>
            </w:tcBorders>
            <w:shd w:val="clear" w:color="auto" w:fill="auto"/>
            <w:noWrap/>
            <w:vAlign w:val="bottom"/>
            <w:hideMark/>
          </w:tcPr>
          <w:p w14:paraId="06E7EEEF" w14:textId="77777777" w:rsidR="002F53B7" w:rsidRPr="00526B15" w:rsidRDefault="002F53B7" w:rsidP="002F53B7">
            <w:pPr>
              <w:spacing w:after="0" w:line="240" w:lineRule="auto"/>
              <w:jc w:val="center"/>
              <w:rPr>
                <w:rFonts w:ascii="Calibri" w:eastAsia="Times New Roman" w:hAnsi="Calibri" w:cs="Calibri"/>
                <w:color w:val="000000"/>
                <w:sz w:val="22"/>
              </w:rPr>
            </w:pPr>
          </w:p>
        </w:tc>
      </w:tr>
      <w:tr w:rsidR="002F53B7" w:rsidRPr="00526B15" w14:paraId="6DB3B858" w14:textId="77777777" w:rsidTr="00730CB1">
        <w:tblPrEx>
          <w:tblCellMar>
            <w:left w:w="108" w:type="dxa"/>
            <w:right w:w="108" w:type="dxa"/>
          </w:tblCellMar>
        </w:tblPrEx>
        <w:trPr>
          <w:trHeight w:val="300"/>
        </w:trPr>
        <w:tc>
          <w:tcPr>
            <w:tcW w:w="976" w:type="dxa"/>
            <w:tcBorders>
              <w:top w:val="nil"/>
              <w:left w:val="nil"/>
              <w:bottom w:val="nil"/>
              <w:right w:val="nil"/>
            </w:tcBorders>
            <w:shd w:val="clear" w:color="auto" w:fill="auto"/>
            <w:noWrap/>
            <w:vAlign w:val="bottom"/>
            <w:hideMark/>
          </w:tcPr>
          <w:p w14:paraId="6AC96EFE" w14:textId="77777777" w:rsidR="002F53B7" w:rsidRPr="00526B15" w:rsidRDefault="002F53B7" w:rsidP="002F53B7">
            <w:pPr>
              <w:spacing w:after="0" w:line="240" w:lineRule="auto"/>
              <w:jc w:val="center"/>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CB3F46B"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2EB48750" w14:textId="77777777" w:rsidR="002F53B7" w:rsidRPr="00526B15" w:rsidRDefault="002F53B7" w:rsidP="002F53B7">
            <w:pPr>
              <w:spacing w:after="0" w:line="240" w:lineRule="auto"/>
              <w:jc w:val="center"/>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5EB7C4C1" w14:textId="77777777" w:rsidR="002F53B7" w:rsidRPr="00526B15" w:rsidRDefault="002F53B7" w:rsidP="002F53B7">
            <w:pPr>
              <w:spacing w:after="0" w:line="240" w:lineRule="auto"/>
              <w:jc w:val="center"/>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4B03FEE6" w14:textId="77777777" w:rsidR="002F53B7" w:rsidRPr="00526B15" w:rsidRDefault="002F53B7" w:rsidP="002F53B7">
            <w:pPr>
              <w:spacing w:after="0" w:line="240" w:lineRule="auto"/>
              <w:jc w:val="center"/>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73568EC6" w14:textId="77777777" w:rsidR="002F53B7" w:rsidRPr="00526B15" w:rsidRDefault="002F53B7" w:rsidP="002F53B7">
            <w:pPr>
              <w:spacing w:after="0" w:line="240" w:lineRule="auto"/>
              <w:jc w:val="center"/>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5AB03E3C" w14:textId="77777777" w:rsidR="002F53B7" w:rsidRPr="00526B15" w:rsidRDefault="002F53B7" w:rsidP="002F53B7">
            <w:pPr>
              <w:spacing w:after="0" w:line="240" w:lineRule="auto"/>
              <w:jc w:val="center"/>
              <w:rPr>
                <w:rFonts w:eastAsia="Times New Roman" w:cs="Times New Roman"/>
                <w:sz w:val="20"/>
                <w:szCs w:val="20"/>
              </w:rPr>
            </w:pPr>
          </w:p>
        </w:tc>
        <w:tc>
          <w:tcPr>
            <w:tcW w:w="976" w:type="dxa"/>
            <w:gridSpan w:val="3"/>
            <w:tcBorders>
              <w:top w:val="nil"/>
              <w:left w:val="nil"/>
              <w:bottom w:val="nil"/>
              <w:right w:val="nil"/>
            </w:tcBorders>
            <w:shd w:val="clear" w:color="auto" w:fill="auto"/>
            <w:noWrap/>
            <w:vAlign w:val="bottom"/>
            <w:hideMark/>
          </w:tcPr>
          <w:p w14:paraId="36506AD3"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461EF120" w14:textId="77777777" w:rsidR="002F53B7" w:rsidRPr="00526B15" w:rsidRDefault="002F53B7" w:rsidP="002F53B7">
            <w:pPr>
              <w:spacing w:after="0" w:line="240" w:lineRule="auto"/>
              <w:rPr>
                <w:rFonts w:eastAsia="Times New Roman" w:cs="Times New Roman"/>
                <w:sz w:val="20"/>
                <w:szCs w:val="20"/>
              </w:rPr>
            </w:pPr>
          </w:p>
        </w:tc>
        <w:tc>
          <w:tcPr>
            <w:tcW w:w="1015" w:type="dxa"/>
            <w:tcBorders>
              <w:top w:val="nil"/>
              <w:left w:val="nil"/>
              <w:bottom w:val="nil"/>
              <w:right w:val="nil"/>
            </w:tcBorders>
            <w:shd w:val="clear" w:color="auto" w:fill="auto"/>
            <w:noWrap/>
            <w:vAlign w:val="bottom"/>
            <w:hideMark/>
          </w:tcPr>
          <w:p w14:paraId="2C15359D"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44B68B78"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2A1166B8"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789E5870" w14:textId="77777777" w:rsidR="002F53B7" w:rsidRPr="00526B15" w:rsidRDefault="002F53B7" w:rsidP="002F53B7">
            <w:pPr>
              <w:spacing w:after="0" w:line="240" w:lineRule="auto"/>
              <w:jc w:val="center"/>
              <w:rPr>
                <w:rFonts w:eastAsia="Times New Roman" w:cs="Times New Roman"/>
                <w:sz w:val="20"/>
                <w:szCs w:val="20"/>
              </w:rPr>
            </w:pPr>
          </w:p>
        </w:tc>
      </w:tr>
      <w:tr w:rsidR="002F53B7" w:rsidRPr="00526B15" w14:paraId="7423515B" w14:textId="77777777" w:rsidTr="00730CB1">
        <w:tblPrEx>
          <w:tblCellMar>
            <w:left w:w="108" w:type="dxa"/>
            <w:right w:w="108" w:type="dxa"/>
          </w:tblCellMar>
        </w:tblPrEx>
        <w:trPr>
          <w:trHeight w:val="300"/>
        </w:trPr>
        <w:tc>
          <w:tcPr>
            <w:tcW w:w="976" w:type="dxa"/>
            <w:tcBorders>
              <w:top w:val="nil"/>
              <w:left w:val="nil"/>
              <w:bottom w:val="nil"/>
              <w:right w:val="nil"/>
            </w:tcBorders>
            <w:shd w:val="clear" w:color="auto" w:fill="auto"/>
            <w:noWrap/>
            <w:vAlign w:val="bottom"/>
            <w:hideMark/>
          </w:tcPr>
          <w:p w14:paraId="22B40B52" w14:textId="77777777" w:rsidR="002F53B7" w:rsidRPr="00526B15" w:rsidRDefault="002F53B7" w:rsidP="002F53B7">
            <w:pPr>
              <w:spacing w:after="0" w:line="240" w:lineRule="auto"/>
              <w:rPr>
                <w:rFonts w:ascii="Calibri" w:eastAsia="Times New Roman" w:hAnsi="Calibri" w:cs="Calibri"/>
                <w:color w:val="000000"/>
                <w:sz w:val="22"/>
              </w:rPr>
            </w:pPr>
            <w:r w:rsidRPr="00526B15">
              <w:rPr>
                <w:rFonts w:ascii="Calibri" w:eastAsia="Times New Roman" w:hAnsi="Calibri" w:cs="Calibri"/>
                <w:color w:val="000000"/>
                <w:sz w:val="22"/>
              </w:rPr>
              <w:t>Levels</w:t>
            </w:r>
          </w:p>
        </w:tc>
        <w:tc>
          <w:tcPr>
            <w:tcW w:w="976" w:type="dxa"/>
            <w:tcBorders>
              <w:top w:val="nil"/>
              <w:left w:val="nil"/>
              <w:bottom w:val="nil"/>
              <w:right w:val="nil"/>
            </w:tcBorders>
            <w:shd w:val="clear" w:color="auto" w:fill="auto"/>
            <w:noWrap/>
            <w:vAlign w:val="bottom"/>
            <w:hideMark/>
          </w:tcPr>
          <w:p w14:paraId="70230C4C" w14:textId="77777777" w:rsidR="002F53B7" w:rsidRPr="00526B15" w:rsidRDefault="002F53B7" w:rsidP="002F53B7">
            <w:pPr>
              <w:spacing w:after="0" w:line="240" w:lineRule="auto"/>
              <w:rPr>
                <w:rFonts w:ascii="Calibri" w:eastAsia="Times New Roman" w:hAnsi="Calibri" w:cs="Calibri"/>
                <w:color w:val="000000"/>
                <w:sz w:val="22"/>
              </w:rPr>
            </w:pPr>
          </w:p>
        </w:tc>
        <w:tc>
          <w:tcPr>
            <w:tcW w:w="976" w:type="dxa"/>
            <w:gridSpan w:val="2"/>
            <w:tcBorders>
              <w:top w:val="nil"/>
              <w:left w:val="nil"/>
              <w:bottom w:val="nil"/>
              <w:right w:val="nil"/>
            </w:tcBorders>
            <w:shd w:val="clear" w:color="auto" w:fill="auto"/>
            <w:noWrap/>
            <w:vAlign w:val="bottom"/>
            <w:hideMark/>
          </w:tcPr>
          <w:p w14:paraId="0B9BB2B4" w14:textId="77777777" w:rsidR="002F53B7" w:rsidRPr="00526B15" w:rsidRDefault="002F53B7" w:rsidP="002F53B7">
            <w:pPr>
              <w:spacing w:after="0" w:line="240" w:lineRule="auto"/>
              <w:jc w:val="center"/>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6F2356DD" w14:textId="77777777" w:rsidR="002F53B7" w:rsidRPr="00526B15" w:rsidRDefault="002F53B7" w:rsidP="002F53B7">
            <w:pPr>
              <w:spacing w:after="0" w:line="240" w:lineRule="auto"/>
              <w:jc w:val="center"/>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39C85452" w14:textId="77777777" w:rsidR="002F53B7" w:rsidRPr="00526B15" w:rsidRDefault="002F53B7" w:rsidP="002F53B7">
            <w:pPr>
              <w:spacing w:after="0" w:line="240" w:lineRule="auto"/>
              <w:jc w:val="center"/>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5557A754" w14:textId="77777777" w:rsidR="002F53B7" w:rsidRPr="00526B15" w:rsidRDefault="002F53B7" w:rsidP="002F53B7">
            <w:pPr>
              <w:spacing w:after="0" w:line="240" w:lineRule="auto"/>
              <w:jc w:val="center"/>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1EBB1DAE" w14:textId="77777777" w:rsidR="002F53B7" w:rsidRPr="00526B15" w:rsidRDefault="002F53B7" w:rsidP="002F53B7">
            <w:pPr>
              <w:spacing w:after="0" w:line="240" w:lineRule="auto"/>
              <w:jc w:val="center"/>
              <w:rPr>
                <w:rFonts w:eastAsia="Times New Roman" w:cs="Times New Roman"/>
                <w:sz w:val="20"/>
                <w:szCs w:val="20"/>
              </w:rPr>
            </w:pPr>
          </w:p>
        </w:tc>
        <w:tc>
          <w:tcPr>
            <w:tcW w:w="976" w:type="dxa"/>
            <w:gridSpan w:val="3"/>
            <w:tcBorders>
              <w:top w:val="nil"/>
              <w:left w:val="nil"/>
              <w:bottom w:val="nil"/>
              <w:right w:val="nil"/>
            </w:tcBorders>
            <w:shd w:val="clear" w:color="auto" w:fill="auto"/>
            <w:noWrap/>
            <w:vAlign w:val="bottom"/>
            <w:hideMark/>
          </w:tcPr>
          <w:p w14:paraId="0B6E5FBA"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245B08F0" w14:textId="77777777" w:rsidR="002F53B7" w:rsidRPr="00526B15" w:rsidRDefault="002F53B7" w:rsidP="002F53B7">
            <w:pPr>
              <w:spacing w:after="0" w:line="240" w:lineRule="auto"/>
              <w:rPr>
                <w:rFonts w:eastAsia="Times New Roman" w:cs="Times New Roman"/>
                <w:sz w:val="20"/>
                <w:szCs w:val="20"/>
              </w:rPr>
            </w:pPr>
          </w:p>
        </w:tc>
        <w:tc>
          <w:tcPr>
            <w:tcW w:w="1015" w:type="dxa"/>
            <w:tcBorders>
              <w:top w:val="nil"/>
              <w:left w:val="nil"/>
              <w:bottom w:val="nil"/>
              <w:right w:val="nil"/>
            </w:tcBorders>
            <w:shd w:val="clear" w:color="auto" w:fill="auto"/>
            <w:noWrap/>
            <w:vAlign w:val="bottom"/>
            <w:hideMark/>
          </w:tcPr>
          <w:p w14:paraId="537292AA"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6D71556D"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2FE7365A"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541CE8FF" w14:textId="77777777" w:rsidR="002F53B7" w:rsidRPr="00526B15" w:rsidRDefault="002F53B7" w:rsidP="002F53B7">
            <w:pPr>
              <w:spacing w:after="0" w:line="240" w:lineRule="auto"/>
              <w:jc w:val="center"/>
              <w:rPr>
                <w:rFonts w:eastAsia="Times New Roman" w:cs="Times New Roman"/>
                <w:sz w:val="20"/>
                <w:szCs w:val="20"/>
              </w:rPr>
            </w:pPr>
          </w:p>
        </w:tc>
      </w:tr>
      <w:tr w:rsidR="002F53B7" w:rsidRPr="00526B15" w14:paraId="47E98F44" w14:textId="77777777" w:rsidTr="00730CB1">
        <w:tblPrEx>
          <w:tblCellMar>
            <w:left w:w="108" w:type="dxa"/>
            <w:right w:w="108" w:type="dxa"/>
          </w:tblCellMar>
        </w:tblPrEx>
        <w:trPr>
          <w:trHeight w:val="290"/>
        </w:trPr>
        <w:tc>
          <w:tcPr>
            <w:tcW w:w="976" w:type="dxa"/>
            <w:tcBorders>
              <w:top w:val="nil"/>
              <w:left w:val="nil"/>
              <w:bottom w:val="nil"/>
              <w:right w:val="nil"/>
            </w:tcBorders>
            <w:shd w:val="clear" w:color="auto" w:fill="auto"/>
            <w:noWrap/>
            <w:vAlign w:val="bottom"/>
            <w:hideMark/>
          </w:tcPr>
          <w:p w14:paraId="09F4FE48" w14:textId="77777777" w:rsidR="002F53B7" w:rsidRPr="00526B15" w:rsidRDefault="002F53B7" w:rsidP="002F53B7">
            <w:pPr>
              <w:spacing w:after="0" w:line="240" w:lineRule="auto"/>
              <w:jc w:val="right"/>
              <w:rPr>
                <w:rFonts w:ascii="Calibri" w:eastAsia="Times New Roman" w:hAnsi="Calibri" w:cs="Calibri"/>
                <w:color w:val="000000"/>
                <w:sz w:val="22"/>
              </w:rPr>
            </w:pPr>
            <w:r w:rsidRPr="00526B15">
              <w:rPr>
                <w:rFonts w:ascii="Calibri" w:eastAsia="Times New Roman" w:hAnsi="Calibri" w:cs="Calibri"/>
                <w:color w:val="000000"/>
                <w:sz w:val="22"/>
              </w:rPr>
              <w:t>1929</w:t>
            </w:r>
          </w:p>
        </w:tc>
        <w:tc>
          <w:tcPr>
            <w:tcW w:w="976" w:type="dxa"/>
            <w:tcBorders>
              <w:top w:val="nil"/>
              <w:left w:val="nil"/>
              <w:bottom w:val="nil"/>
              <w:right w:val="nil"/>
            </w:tcBorders>
            <w:shd w:val="clear" w:color="auto" w:fill="auto"/>
            <w:noWrap/>
            <w:vAlign w:val="bottom"/>
            <w:hideMark/>
          </w:tcPr>
          <w:p w14:paraId="16CBCB21" w14:textId="77777777" w:rsidR="002F53B7" w:rsidRPr="00526B15" w:rsidRDefault="002F53B7" w:rsidP="002F53B7">
            <w:pPr>
              <w:spacing w:after="0" w:line="240" w:lineRule="auto"/>
              <w:jc w:val="right"/>
              <w:rPr>
                <w:rFonts w:ascii="Calibri" w:eastAsia="Times New Roman" w:hAnsi="Calibri" w:cs="Calibri"/>
                <w:color w:val="000000"/>
                <w:sz w:val="22"/>
              </w:rPr>
            </w:pPr>
            <w:r w:rsidRPr="00526B15">
              <w:rPr>
                <w:rFonts w:ascii="Calibri" w:eastAsia="Times New Roman" w:hAnsi="Calibri" w:cs="Calibri"/>
                <w:color w:val="000000"/>
                <w:sz w:val="22"/>
              </w:rPr>
              <w:t>13511</w:t>
            </w:r>
          </w:p>
        </w:tc>
        <w:tc>
          <w:tcPr>
            <w:tcW w:w="976" w:type="dxa"/>
            <w:gridSpan w:val="2"/>
            <w:tcBorders>
              <w:top w:val="nil"/>
              <w:left w:val="nil"/>
              <w:bottom w:val="nil"/>
              <w:right w:val="nil"/>
            </w:tcBorders>
            <w:shd w:val="clear" w:color="auto" w:fill="auto"/>
            <w:noWrap/>
            <w:vAlign w:val="bottom"/>
            <w:hideMark/>
          </w:tcPr>
          <w:p w14:paraId="233C6298" w14:textId="77777777" w:rsidR="002F53B7" w:rsidRPr="00526B15" w:rsidRDefault="002F53B7" w:rsidP="002F53B7">
            <w:pPr>
              <w:spacing w:after="0" w:line="240" w:lineRule="auto"/>
              <w:jc w:val="right"/>
              <w:rPr>
                <w:rFonts w:ascii="Calibri" w:eastAsia="Times New Roman" w:hAnsi="Calibri" w:cs="Calibri"/>
                <w:color w:val="000000"/>
                <w:sz w:val="22"/>
              </w:rPr>
            </w:pPr>
            <w:r w:rsidRPr="00526B15">
              <w:rPr>
                <w:rFonts w:ascii="Calibri" w:eastAsia="Times New Roman" w:hAnsi="Calibri" w:cs="Calibri"/>
                <w:color w:val="000000"/>
                <w:sz w:val="22"/>
              </w:rPr>
              <w:t>55.3</w:t>
            </w:r>
          </w:p>
        </w:tc>
        <w:tc>
          <w:tcPr>
            <w:tcW w:w="976" w:type="dxa"/>
            <w:gridSpan w:val="2"/>
            <w:tcBorders>
              <w:top w:val="nil"/>
              <w:left w:val="nil"/>
              <w:bottom w:val="nil"/>
              <w:right w:val="nil"/>
            </w:tcBorders>
            <w:shd w:val="clear" w:color="auto" w:fill="auto"/>
            <w:noWrap/>
            <w:vAlign w:val="bottom"/>
            <w:hideMark/>
          </w:tcPr>
          <w:p w14:paraId="5E9F1E22" w14:textId="77777777" w:rsidR="002F53B7" w:rsidRPr="00526B15" w:rsidRDefault="002F53B7" w:rsidP="002F53B7">
            <w:pPr>
              <w:spacing w:after="0" w:line="240" w:lineRule="auto"/>
              <w:jc w:val="right"/>
              <w:rPr>
                <w:rFonts w:ascii="Calibri" w:eastAsia="Times New Roman" w:hAnsi="Calibri" w:cs="Calibri"/>
                <w:color w:val="000000"/>
                <w:sz w:val="22"/>
              </w:rPr>
            </w:pPr>
            <w:r w:rsidRPr="00526B15">
              <w:rPr>
                <w:rFonts w:ascii="Calibri" w:eastAsia="Times New Roman" w:hAnsi="Calibri" w:cs="Calibri"/>
                <w:color w:val="000000"/>
                <w:sz w:val="22"/>
              </w:rPr>
              <w:t>244.32</w:t>
            </w:r>
          </w:p>
        </w:tc>
        <w:tc>
          <w:tcPr>
            <w:tcW w:w="976" w:type="dxa"/>
            <w:gridSpan w:val="2"/>
            <w:tcBorders>
              <w:top w:val="nil"/>
              <w:left w:val="nil"/>
              <w:bottom w:val="nil"/>
              <w:right w:val="nil"/>
            </w:tcBorders>
            <w:shd w:val="clear" w:color="auto" w:fill="auto"/>
            <w:noWrap/>
            <w:vAlign w:val="bottom"/>
            <w:hideMark/>
          </w:tcPr>
          <w:p w14:paraId="1953F20B" w14:textId="77777777" w:rsidR="002F53B7" w:rsidRPr="00526B15" w:rsidRDefault="002F53B7" w:rsidP="002F53B7">
            <w:pPr>
              <w:spacing w:after="0" w:line="240" w:lineRule="auto"/>
              <w:jc w:val="right"/>
              <w:rPr>
                <w:rFonts w:ascii="Calibri" w:eastAsia="Times New Roman" w:hAnsi="Calibri" w:cs="Calibri"/>
                <w:color w:val="000000"/>
                <w:sz w:val="22"/>
              </w:rPr>
            </w:pPr>
            <w:r w:rsidRPr="00526B15">
              <w:rPr>
                <w:rFonts w:ascii="Calibri" w:eastAsia="Times New Roman" w:hAnsi="Calibri" w:cs="Calibri"/>
                <w:color w:val="000000"/>
                <w:sz w:val="22"/>
              </w:rPr>
              <w:t>1631</w:t>
            </w:r>
          </w:p>
        </w:tc>
        <w:tc>
          <w:tcPr>
            <w:tcW w:w="976" w:type="dxa"/>
            <w:gridSpan w:val="2"/>
            <w:tcBorders>
              <w:top w:val="nil"/>
              <w:left w:val="nil"/>
              <w:bottom w:val="nil"/>
              <w:right w:val="nil"/>
            </w:tcBorders>
            <w:shd w:val="clear" w:color="auto" w:fill="auto"/>
            <w:noWrap/>
            <w:vAlign w:val="bottom"/>
            <w:hideMark/>
          </w:tcPr>
          <w:p w14:paraId="447954DB" w14:textId="77777777" w:rsidR="002F53B7" w:rsidRPr="00526B15" w:rsidRDefault="002F53B7" w:rsidP="002F53B7">
            <w:pPr>
              <w:spacing w:after="0" w:line="240" w:lineRule="auto"/>
              <w:jc w:val="right"/>
              <w:rPr>
                <w:rFonts w:ascii="Calibri" w:eastAsia="Times New Roman" w:hAnsi="Calibri" w:cs="Calibri"/>
                <w:color w:val="000000"/>
                <w:sz w:val="22"/>
              </w:rPr>
            </w:pPr>
            <w:r w:rsidRPr="00526B15">
              <w:rPr>
                <w:rFonts w:ascii="Calibri" w:eastAsia="Times New Roman" w:hAnsi="Calibri" w:cs="Calibri"/>
                <w:color w:val="000000"/>
                <w:sz w:val="22"/>
              </w:rPr>
              <w:t>4215</w:t>
            </w:r>
          </w:p>
        </w:tc>
        <w:tc>
          <w:tcPr>
            <w:tcW w:w="976" w:type="dxa"/>
            <w:gridSpan w:val="2"/>
            <w:tcBorders>
              <w:top w:val="nil"/>
              <w:left w:val="nil"/>
              <w:bottom w:val="nil"/>
              <w:right w:val="nil"/>
            </w:tcBorders>
            <w:shd w:val="clear" w:color="auto" w:fill="auto"/>
            <w:noWrap/>
            <w:vAlign w:val="bottom"/>
            <w:hideMark/>
          </w:tcPr>
          <w:p w14:paraId="7DB92C9F" w14:textId="77777777" w:rsidR="002F53B7" w:rsidRPr="00526B15" w:rsidRDefault="002F53B7" w:rsidP="002F53B7">
            <w:pPr>
              <w:spacing w:after="0" w:line="240" w:lineRule="auto"/>
              <w:jc w:val="right"/>
              <w:rPr>
                <w:rFonts w:ascii="Calibri" w:eastAsia="Times New Roman" w:hAnsi="Calibri" w:cs="Calibri"/>
                <w:color w:val="000000"/>
                <w:sz w:val="22"/>
              </w:rPr>
            </w:pPr>
            <w:r w:rsidRPr="00526B15">
              <w:rPr>
                <w:rFonts w:ascii="Calibri" w:eastAsia="Times New Roman" w:hAnsi="Calibri" w:cs="Calibri"/>
                <w:color w:val="000000"/>
                <w:sz w:val="22"/>
              </w:rPr>
              <w:t>4215</w:t>
            </w:r>
          </w:p>
        </w:tc>
        <w:tc>
          <w:tcPr>
            <w:tcW w:w="976" w:type="dxa"/>
            <w:gridSpan w:val="3"/>
            <w:tcBorders>
              <w:top w:val="nil"/>
              <w:left w:val="nil"/>
              <w:bottom w:val="nil"/>
              <w:right w:val="nil"/>
            </w:tcBorders>
            <w:shd w:val="clear" w:color="auto" w:fill="auto"/>
            <w:noWrap/>
            <w:vAlign w:val="bottom"/>
            <w:hideMark/>
          </w:tcPr>
          <w:p w14:paraId="43F1D283" w14:textId="77777777" w:rsidR="002F53B7" w:rsidRPr="00526B15" w:rsidRDefault="002F53B7" w:rsidP="002F53B7">
            <w:pPr>
              <w:spacing w:after="0" w:line="240" w:lineRule="auto"/>
              <w:jc w:val="right"/>
              <w:rPr>
                <w:rFonts w:ascii="Calibri" w:eastAsia="Times New Roman" w:hAnsi="Calibri" w:cs="Calibri"/>
                <w:color w:val="000000"/>
                <w:sz w:val="22"/>
              </w:rPr>
            </w:pPr>
            <w:r w:rsidRPr="00526B15">
              <w:rPr>
                <w:rFonts w:ascii="Calibri" w:eastAsia="Times New Roman" w:hAnsi="Calibri" w:cs="Calibri"/>
                <w:color w:val="000000"/>
                <w:sz w:val="22"/>
              </w:rPr>
              <w:t>5846</w:t>
            </w:r>
          </w:p>
        </w:tc>
        <w:tc>
          <w:tcPr>
            <w:tcW w:w="976" w:type="dxa"/>
            <w:gridSpan w:val="2"/>
            <w:tcBorders>
              <w:top w:val="nil"/>
              <w:left w:val="nil"/>
              <w:bottom w:val="nil"/>
              <w:right w:val="nil"/>
            </w:tcBorders>
            <w:shd w:val="clear" w:color="auto" w:fill="auto"/>
            <w:noWrap/>
            <w:vAlign w:val="bottom"/>
            <w:hideMark/>
          </w:tcPr>
          <w:p w14:paraId="2F25C415" w14:textId="77777777" w:rsidR="002F53B7" w:rsidRPr="00526B15" w:rsidRDefault="002F53B7" w:rsidP="002F53B7">
            <w:pPr>
              <w:spacing w:after="0" w:line="240" w:lineRule="auto"/>
              <w:jc w:val="right"/>
              <w:rPr>
                <w:rFonts w:ascii="Calibri" w:eastAsia="Times New Roman" w:hAnsi="Calibri" w:cs="Calibri"/>
                <w:color w:val="000000"/>
                <w:sz w:val="22"/>
              </w:rPr>
            </w:pPr>
            <w:r w:rsidRPr="00526B15">
              <w:rPr>
                <w:rFonts w:ascii="Calibri" w:eastAsia="Times New Roman" w:hAnsi="Calibri" w:cs="Calibri"/>
                <w:color w:val="000000"/>
                <w:sz w:val="22"/>
              </w:rPr>
              <w:t>13.95</w:t>
            </w:r>
          </w:p>
        </w:tc>
        <w:tc>
          <w:tcPr>
            <w:tcW w:w="1015" w:type="dxa"/>
            <w:tcBorders>
              <w:top w:val="nil"/>
              <w:left w:val="nil"/>
              <w:bottom w:val="nil"/>
              <w:right w:val="nil"/>
            </w:tcBorders>
            <w:shd w:val="clear" w:color="auto" w:fill="auto"/>
            <w:noWrap/>
            <w:vAlign w:val="bottom"/>
            <w:hideMark/>
          </w:tcPr>
          <w:p w14:paraId="56E020F6" w14:textId="77777777" w:rsidR="002F53B7" w:rsidRPr="00526B15" w:rsidRDefault="002F53B7" w:rsidP="002F53B7">
            <w:pPr>
              <w:spacing w:after="0" w:line="240" w:lineRule="auto"/>
              <w:jc w:val="right"/>
              <w:rPr>
                <w:rFonts w:ascii="Calibri" w:eastAsia="Times New Roman" w:hAnsi="Calibri" w:cs="Calibri"/>
                <w:color w:val="000000"/>
                <w:sz w:val="22"/>
              </w:rPr>
            </w:pPr>
            <w:r w:rsidRPr="00526B15">
              <w:rPr>
                <w:rFonts w:ascii="Calibri" w:eastAsia="Times New Roman" w:hAnsi="Calibri" w:cs="Calibri"/>
                <w:color w:val="000000"/>
                <w:sz w:val="22"/>
              </w:rPr>
              <w:t>16.499</w:t>
            </w:r>
          </w:p>
        </w:tc>
        <w:tc>
          <w:tcPr>
            <w:tcW w:w="976" w:type="dxa"/>
            <w:gridSpan w:val="2"/>
            <w:tcBorders>
              <w:top w:val="nil"/>
              <w:left w:val="nil"/>
              <w:bottom w:val="nil"/>
              <w:right w:val="nil"/>
            </w:tcBorders>
            <w:shd w:val="clear" w:color="auto" w:fill="auto"/>
            <w:noWrap/>
            <w:vAlign w:val="bottom"/>
            <w:hideMark/>
          </w:tcPr>
          <w:p w14:paraId="6F5D5435" w14:textId="77777777" w:rsidR="002F53B7" w:rsidRPr="00526B15" w:rsidRDefault="002F53B7" w:rsidP="002F53B7">
            <w:pPr>
              <w:spacing w:after="0" w:line="240" w:lineRule="auto"/>
              <w:jc w:val="right"/>
              <w:rPr>
                <w:rFonts w:ascii="Calibri" w:eastAsia="Times New Roman" w:hAnsi="Calibri" w:cs="Calibri"/>
                <w:color w:val="000000"/>
                <w:sz w:val="22"/>
              </w:rPr>
            </w:pPr>
          </w:p>
        </w:tc>
        <w:tc>
          <w:tcPr>
            <w:tcW w:w="976" w:type="dxa"/>
            <w:gridSpan w:val="2"/>
            <w:tcBorders>
              <w:top w:val="nil"/>
              <w:left w:val="nil"/>
              <w:bottom w:val="nil"/>
              <w:right w:val="nil"/>
            </w:tcBorders>
            <w:shd w:val="clear" w:color="auto" w:fill="auto"/>
            <w:noWrap/>
            <w:vAlign w:val="bottom"/>
            <w:hideMark/>
          </w:tcPr>
          <w:p w14:paraId="6A746319"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0E0A9B04" w14:textId="77777777" w:rsidR="002F53B7" w:rsidRPr="00526B15" w:rsidRDefault="002F53B7" w:rsidP="002F53B7">
            <w:pPr>
              <w:spacing w:after="0" w:line="240" w:lineRule="auto"/>
              <w:rPr>
                <w:rFonts w:eastAsia="Times New Roman" w:cs="Times New Roman"/>
                <w:sz w:val="20"/>
                <w:szCs w:val="20"/>
              </w:rPr>
            </w:pPr>
          </w:p>
        </w:tc>
      </w:tr>
      <w:tr w:rsidR="002F53B7" w:rsidRPr="00526B15" w14:paraId="7CAD0EC3" w14:textId="77777777" w:rsidTr="00730CB1">
        <w:tblPrEx>
          <w:tblCellMar>
            <w:left w:w="108" w:type="dxa"/>
            <w:right w:w="108" w:type="dxa"/>
          </w:tblCellMar>
        </w:tblPrEx>
        <w:trPr>
          <w:trHeight w:val="290"/>
        </w:trPr>
        <w:tc>
          <w:tcPr>
            <w:tcW w:w="976" w:type="dxa"/>
            <w:tcBorders>
              <w:top w:val="nil"/>
              <w:left w:val="nil"/>
              <w:bottom w:val="nil"/>
              <w:right w:val="nil"/>
            </w:tcBorders>
            <w:shd w:val="clear" w:color="auto" w:fill="auto"/>
            <w:noWrap/>
            <w:vAlign w:val="bottom"/>
            <w:hideMark/>
          </w:tcPr>
          <w:p w14:paraId="662A00FD" w14:textId="77777777" w:rsidR="002F53B7" w:rsidRPr="00526B15" w:rsidRDefault="002F53B7" w:rsidP="002F53B7">
            <w:pPr>
              <w:spacing w:after="0" w:line="240" w:lineRule="auto"/>
              <w:jc w:val="right"/>
              <w:rPr>
                <w:rFonts w:ascii="Calibri" w:eastAsia="Times New Roman" w:hAnsi="Calibri" w:cs="Calibri"/>
                <w:color w:val="000000"/>
                <w:sz w:val="22"/>
              </w:rPr>
            </w:pPr>
            <w:r w:rsidRPr="00526B15">
              <w:rPr>
                <w:rFonts w:ascii="Calibri" w:eastAsia="Times New Roman" w:hAnsi="Calibri" w:cs="Calibri"/>
                <w:color w:val="000000"/>
                <w:sz w:val="22"/>
              </w:rPr>
              <w:t>1941</w:t>
            </w:r>
          </w:p>
        </w:tc>
        <w:tc>
          <w:tcPr>
            <w:tcW w:w="976" w:type="dxa"/>
            <w:tcBorders>
              <w:top w:val="nil"/>
              <w:left w:val="nil"/>
              <w:bottom w:val="nil"/>
              <w:right w:val="nil"/>
            </w:tcBorders>
            <w:shd w:val="clear" w:color="auto" w:fill="auto"/>
            <w:noWrap/>
            <w:vAlign w:val="bottom"/>
            <w:hideMark/>
          </w:tcPr>
          <w:p w14:paraId="7474C937" w14:textId="77777777" w:rsidR="002F53B7" w:rsidRPr="00526B15" w:rsidRDefault="002F53B7" w:rsidP="002F53B7">
            <w:pPr>
              <w:spacing w:after="0" w:line="240" w:lineRule="auto"/>
              <w:jc w:val="right"/>
              <w:rPr>
                <w:rFonts w:ascii="Calibri" w:eastAsia="Times New Roman" w:hAnsi="Calibri" w:cs="Calibri"/>
                <w:color w:val="000000"/>
                <w:sz w:val="22"/>
              </w:rPr>
            </w:pPr>
            <w:r w:rsidRPr="00526B15">
              <w:rPr>
                <w:rFonts w:ascii="Calibri" w:eastAsia="Times New Roman" w:hAnsi="Calibri" w:cs="Calibri"/>
                <w:color w:val="000000"/>
                <w:sz w:val="22"/>
              </w:rPr>
              <w:t>17411</w:t>
            </w:r>
          </w:p>
        </w:tc>
        <w:tc>
          <w:tcPr>
            <w:tcW w:w="976" w:type="dxa"/>
            <w:gridSpan w:val="2"/>
            <w:tcBorders>
              <w:top w:val="nil"/>
              <w:left w:val="nil"/>
              <w:bottom w:val="nil"/>
              <w:right w:val="nil"/>
            </w:tcBorders>
            <w:shd w:val="clear" w:color="auto" w:fill="auto"/>
            <w:noWrap/>
            <w:vAlign w:val="bottom"/>
            <w:hideMark/>
          </w:tcPr>
          <w:p w14:paraId="3F5844FB" w14:textId="77777777" w:rsidR="002F53B7" w:rsidRPr="00526B15" w:rsidRDefault="002F53B7" w:rsidP="002F53B7">
            <w:pPr>
              <w:spacing w:after="0" w:line="240" w:lineRule="auto"/>
              <w:jc w:val="right"/>
              <w:rPr>
                <w:rFonts w:ascii="Calibri" w:eastAsia="Times New Roman" w:hAnsi="Calibri" w:cs="Calibri"/>
                <w:color w:val="000000"/>
                <w:sz w:val="22"/>
              </w:rPr>
            </w:pPr>
            <w:r w:rsidRPr="00526B15">
              <w:rPr>
                <w:rFonts w:ascii="Calibri" w:eastAsia="Times New Roman" w:hAnsi="Calibri" w:cs="Calibri"/>
                <w:color w:val="000000"/>
                <w:sz w:val="22"/>
              </w:rPr>
              <w:t>48.7</w:t>
            </w:r>
          </w:p>
        </w:tc>
        <w:tc>
          <w:tcPr>
            <w:tcW w:w="976" w:type="dxa"/>
            <w:gridSpan w:val="2"/>
            <w:tcBorders>
              <w:top w:val="nil"/>
              <w:left w:val="nil"/>
              <w:bottom w:val="nil"/>
              <w:right w:val="nil"/>
            </w:tcBorders>
            <w:shd w:val="clear" w:color="auto" w:fill="auto"/>
            <w:noWrap/>
            <w:vAlign w:val="bottom"/>
            <w:hideMark/>
          </w:tcPr>
          <w:p w14:paraId="385B30B8" w14:textId="77777777" w:rsidR="002F53B7" w:rsidRPr="00526B15" w:rsidRDefault="002F53B7" w:rsidP="002F53B7">
            <w:pPr>
              <w:spacing w:after="0" w:line="240" w:lineRule="auto"/>
              <w:jc w:val="right"/>
              <w:rPr>
                <w:rFonts w:ascii="Calibri" w:eastAsia="Times New Roman" w:hAnsi="Calibri" w:cs="Calibri"/>
                <w:color w:val="000000"/>
                <w:sz w:val="22"/>
              </w:rPr>
            </w:pPr>
            <w:r w:rsidRPr="00526B15">
              <w:rPr>
                <w:rFonts w:ascii="Calibri" w:eastAsia="Times New Roman" w:hAnsi="Calibri" w:cs="Calibri"/>
                <w:color w:val="000000"/>
                <w:sz w:val="22"/>
              </w:rPr>
              <w:t>357.52</w:t>
            </w:r>
          </w:p>
        </w:tc>
        <w:tc>
          <w:tcPr>
            <w:tcW w:w="976" w:type="dxa"/>
            <w:gridSpan w:val="2"/>
            <w:tcBorders>
              <w:top w:val="nil"/>
              <w:left w:val="nil"/>
              <w:bottom w:val="nil"/>
              <w:right w:val="nil"/>
            </w:tcBorders>
            <w:shd w:val="clear" w:color="auto" w:fill="auto"/>
            <w:noWrap/>
            <w:vAlign w:val="bottom"/>
            <w:hideMark/>
          </w:tcPr>
          <w:p w14:paraId="1D68CD06" w14:textId="77777777" w:rsidR="002F53B7" w:rsidRPr="00526B15" w:rsidRDefault="002F53B7" w:rsidP="002F53B7">
            <w:pPr>
              <w:spacing w:after="0" w:line="240" w:lineRule="auto"/>
              <w:jc w:val="right"/>
              <w:rPr>
                <w:rFonts w:ascii="Calibri" w:eastAsia="Times New Roman" w:hAnsi="Calibri" w:cs="Calibri"/>
                <w:color w:val="000000"/>
                <w:sz w:val="22"/>
              </w:rPr>
            </w:pPr>
            <w:r w:rsidRPr="00526B15">
              <w:rPr>
                <w:rFonts w:ascii="Calibri" w:eastAsia="Times New Roman" w:hAnsi="Calibri" w:cs="Calibri"/>
                <w:color w:val="000000"/>
                <w:sz w:val="22"/>
              </w:rPr>
              <w:t>1952</w:t>
            </w:r>
          </w:p>
        </w:tc>
        <w:tc>
          <w:tcPr>
            <w:tcW w:w="976" w:type="dxa"/>
            <w:gridSpan w:val="2"/>
            <w:tcBorders>
              <w:top w:val="nil"/>
              <w:left w:val="nil"/>
              <w:bottom w:val="nil"/>
              <w:right w:val="nil"/>
            </w:tcBorders>
            <w:shd w:val="clear" w:color="auto" w:fill="auto"/>
            <w:noWrap/>
            <w:vAlign w:val="bottom"/>
            <w:hideMark/>
          </w:tcPr>
          <w:p w14:paraId="588E3246" w14:textId="77777777" w:rsidR="002F53B7" w:rsidRPr="00526B15" w:rsidRDefault="002F53B7" w:rsidP="002F53B7">
            <w:pPr>
              <w:spacing w:after="0" w:line="240" w:lineRule="auto"/>
              <w:jc w:val="right"/>
              <w:rPr>
                <w:rFonts w:ascii="Calibri" w:eastAsia="Times New Roman" w:hAnsi="Calibri" w:cs="Calibri"/>
                <w:color w:val="000000"/>
                <w:sz w:val="22"/>
              </w:rPr>
            </w:pPr>
            <w:r w:rsidRPr="00526B15">
              <w:rPr>
                <w:rFonts w:ascii="Calibri" w:eastAsia="Times New Roman" w:hAnsi="Calibri" w:cs="Calibri"/>
                <w:color w:val="000000"/>
                <w:sz w:val="22"/>
              </w:rPr>
              <w:t>5075</w:t>
            </w:r>
          </w:p>
        </w:tc>
        <w:tc>
          <w:tcPr>
            <w:tcW w:w="976" w:type="dxa"/>
            <w:gridSpan w:val="2"/>
            <w:tcBorders>
              <w:top w:val="nil"/>
              <w:left w:val="nil"/>
              <w:bottom w:val="nil"/>
              <w:right w:val="nil"/>
            </w:tcBorders>
            <w:shd w:val="clear" w:color="auto" w:fill="auto"/>
            <w:noWrap/>
            <w:vAlign w:val="bottom"/>
            <w:hideMark/>
          </w:tcPr>
          <w:p w14:paraId="622B9220" w14:textId="77777777" w:rsidR="002F53B7" w:rsidRPr="00526B15" w:rsidRDefault="002F53B7" w:rsidP="002F53B7">
            <w:pPr>
              <w:spacing w:after="0" w:line="240" w:lineRule="auto"/>
              <w:jc w:val="right"/>
              <w:rPr>
                <w:rFonts w:ascii="Calibri" w:eastAsia="Times New Roman" w:hAnsi="Calibri" w:cs="Calibri"/>
                <w:color w:val="000000"/>
                <w:sz w:val="22"/>
              </w:rPr>
            </w:pPr>
            <w:r w:rsidRPr="00526B15">
              <w:rPr>
                <w:rFonts w:ascii="Calibri" w:eastAsia="Times New Roman" w:hAnsi="Calibri" w:cs="Calibri"/>
                <w:color w:val="000000"/>
                <w:sz w:val="22"/>
              </w:rPr>
              <w:t>5075</w:t>
            </w:r>
          </w:p>
        </w:tc>
        <w:tc>
          <w:tcPr>
            <w:tcW w:w="976" w:type="dxa"/>
            <w:gridSpan w:val="3"/>
            <w:tcBorders>
              <w:top w:val="nil"/>
              <w:left w:val="nil"/>
              <w:bottom w:val="nil"/>
              <w:right w:val="nil"/>
            </w:tcBorders>
            <w:shd w:val="clear" w:color="auto" w:fill="auto"/>
            <w:noWrap/>
            <w:vAlign w:val="bottom"/>
            <w:hideMark/>
          </w:tcPr>
          <w:p w14:paraId="3C91C8A4" w14:textId="77777777" w:rsidR="002F53B7" w:rsidRPr="00526B15" w:rsidRDefault="002F53B7" w:rsidP="002F53B7">
            <w:pPr>
              <w:spacing w:after="0" w:line="240" w:lineRule="auto"/>
              <w:jc w:val="right"/>
              <w:rPr>
                <w:rFonts w:ascii="Calibri" w:eastAsia="Times New Roman" w:hAnsi="Calibri" w:cs="Calibri"/>
                <w:color w:val="000000"/>
                <w:sz w:val="22"/>
              </w:rPr>
            </w:pPr>
            <w:r w:rsidRPr="00526B15">
              <w:rPr>
                <w:rFonts w:ascii="Calibri" w:eastAsia="Times New Roman" w:hAnsi="Calibri" w:cs="Calibri"/>
                <w:color w:val="000000"/>
                <w:sz w:val="22"/>
              </w:rPr>
              <w:t>7027</w:t>
            </w:r>
          </w:p>
        </w:tc>
        <w:tc>
          <w:tcPr>
            <w:tcW w:w="976" w:type="dxa"/>
            <w:gridSpan w:val="2"/>
            <w:tcBorders>
              <w:top w:val="nil"/>
              <w:left w:val="nil"/>
              <w:bottom w:val="nil"/>
              <w:right w:val="nil"/>
            </w:tcBorders>
            <w:shd w:val="clear" w:color="auto" w:fill="auto"/>
            <w:noWrap/>
            <w:vAlign w:val="bottom"/>
            <w:hideMark/>
          </w:tcPr>
          <w:p w14:paraId="3FCB0E73" w14:textId="77777777" w:rsidR="002F53B7" w:rsidRPr="00526B15" w:rsidRDefault="002F53B7" w:rsidP="002F53B7">
            <w:pPr>
              <w:spacing w:after="0" w:line="240" w:lineRule="auto"/>
              <w:jc w:val="right"/>
              <w:rPr>
                <w:rFonts w:ascii="Calibri" w:eastAsia="Times New Roman" w:hAnsi="Calibri" w:cs="Calibri"/>
                <w:color w:val="000000"/>
                <w:sz w:val="22"/>
              </w:rPr>
            </w:pPr>
            <w:r w:rsidRPr="00526B15">
              <w:rPr>
                <w:rFonts w:ascii="Calibri" w:eastAsia="Times New Roman" w:hAnsi="Calibri" w:cs="Calibri"/>
                <w:color w:val="000000"/>
                <w:sz w:val="22"/>
              </w:rPr>
              <w:t>13.318</w:t>
            </w:r>
          </w:p>
        </w:tc>
        <w:tc>
          <w:tcPr>
            <w:tcW w:w="1015" w:type="dxa"/>
            <w:tcBorders>
              <w:top w:val="nil"/>
              <w:left w:val="nil"/>
              <w:bottom w:val="nil"/>
              <w:right w:val="nil"/>
            </w:tcBorders>
            <w:shd w:val="clear" w:color="auto" w:fill="auto"/>
            <w:noWrap/>
            <w:vAlign w:val="bottom"/>
            <w:hideMark/>
          </w:tcPr>
          <w:p w14:paraId="6BF62791" w14:textId="77777777" w:rsidR="002F53B7" w:rsidRPr="00526B15" w:rsidRDefault="002F53B7" w:rsidP="002F53B7">
            <w:pPr>
              <w:spacing w:after="0" w:line="240" w:lineRule="auto"/>
              <w:jc w:val="right"/>
              <w:rPr>
                <w:rFonts w:ascii="Calibri" w:eastAsia="Times New Roman" w:hAnsi="Calibri" w:cs="Calibri"/>
                <w:color w:val="000000"/>
                <w:sz w:val="22"/>
              </w:rPr>
            </w:pPr>
            <w:r w:rsidRPr="00526B15">
              <w:rPr>
                <w:rFonts w:ascii="Calibri" w:eastAsia="Times New Roman" w:hAnsi="Calibri" w:cs="Calibri"/>
                <w:color w:val="000000"/>
                <w:sz w:val="22"/>
              </w:rPr>
              <w:t>14.946</w:t>
            </w:r>
          </w:p>
        </w:tc>
        <w:tc>
          <w:tcPr>
            <w:tcW w:w="976" w:type="dxa"/>
            <w:gridSpan w:val="2"/>
            <w:tcBorders>
              <w:top w:val="nil"/>
              <w:left w:val="nil"/>
              <w:bottom w:val="nil"/>
              <w:right w:val="nil"/>
            </w:tcBorders>
            <w:shd w:val="clear" w:color="auto" w:fill="auto"/>
            <w:noWrap/>
            <w:vAlign w:val="bottom"/>
            <w:hideMark/>
          </w:tcPr>
          <w:p w14:paraId="5D58E50D" w14:textId="77777777" w:rsidR="002F53B7" w:rsidRPr="00526B15" w:rsidRDefault="002F53B7" w:rsidP="002F53B7">
            <w:pPr>
              <w:spacing w:after="0" w:line="240" w:lineRule="auto"/>
              <w:jc w:val="right"/>
              <w:rPr>
                <w:rFonts w:ascii="Calibri" w:eastAsia="Times New Roman" w:hAnsi="Calibri" w:cs="Calibri"/>
                <w:color w:val="000000"/>
                <w:sz w:val="22"/>
              </w:rPr>
            </w:pPr>
          </w:p>
        </w:tc>
        <w:tc>
          <w:tcPr>
            <w:tcW w:w="976" w:type="dxa"/>
            <w:gridSpan w:val="2"/>
            <w:tcBorders>
              <w:top w:val="nil"/>
              <w:left w:val="nil"/>
              <w:bottom w:val="nil"/>
              <w:right w:val="nil"/>
            </w:tcBorders>
            <w:shd w:val="clear" w:color="auto" w:fill="auto"/>
            <w:noWrap/>
            <w:vAlign w:val="bottom"/>
            <w:hideMark/>
          </w:tcPr>
          <w:p w14:paraId="36581BD5"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6D309ABC" w14:textId="77777777" w:rsidR="002F53B7" w:rsidRPr="00526B15" w:rsidRDefault="002F53B7" w:rsidP="002F53B7">
            <w:pPr>
              <w:spacing w:after="0" w:line="240" w:lineRule="auto"/>
              <w:rPr>
                <w:rFonts w:eastAsia="Times New Roman" w:cs="Times New Roman"/>
                <w:sz w:val="20"/>
                <w:szCs w:val="20"/>
              </w:rPr>
            </w:pPr>
          </w:p>
        </w:tc>
      </w:tr>
      <w:tr w:rsidR="002F53B7" w:rsidRPr="00526B15" w14:paraId="6C017A4D" w14:textId="77777777" w:rsidTr="00730CB1">
        <w:tblPrEx>
          <w:tblCellMar>
            <w:left w:w="108" w:type="dxa"/>
            <w:right w:w="108" w:type="dxa"/>
          </w:tblCellMar>
        </w:tblPrEx>
        <w:trPr>
          <w:trHeight w:val="290"/>
        </w:trPr>
        <w:tc>
          <w:tcPr>
            <w:tcW w:w="976" w:type="dxa"/>
            <w:tcBorders>
              <w:top w:val="nil"/>
              <w:left w:val="nil"/>
              <w:bottom w:val="nil"/>
              <w:right w:val="nil"/>
            </w:tcBorders>
            <w:shd w:val="clear" w:color="auto" w:fill="auto"/>
            <w:noWrap/>
            <w:vAlign w:val="bottom"/>
            <w:hideMark/>
          </w:tcPr>
          <w:p w14:paraId="161C4168" w14:textId="77777777" w:rsidR="002F53B7" w:rsidRPr="00526B15" w:rsidRDefault="002F53B7" w:rsidP="002F53B7">
            <w:pPr>
              <w:spacing w:after="0" w:line="240" w:lineRule="auto"/>
              <w:jc w:val="right"/>
              <w:rPr>
                <w:rFonts w:ascii="Calibri" w:eastAsia="Times New Roman" w:hAnsi="Calibri" w:cs="Calibri"/>
                <w:color w:val="000000"/>
                <w:sz w:val="22"/>
              </w:rPr>
            </w:pPr>
            <w:r w:rsidRPr="00526B15">
              <w:rPr>
                <w:rFonts w:ascii="Calibri" w:eastAsia="Times New Roman" w:hAnsi="Calibri" w:cs="Calibri"/>
                <w:color w:val="000000"/>
                <w:sz w:val="22"/>
              </w:rPr>
              <w:t>1948</w:t>
            </w:r>
          </w:p>
        </w:tc>
        <w:tc>
          <w:tcPr>
            <w:tcW w:w="976" w:type="dxa"/>
            <w:tcBorders>
              <w:top w:val="nil"/>
              <w:left w:val="nil"/>
              <w:bottom w:val="nil"/>
              <w:right w:val="nil"/>
            </w:tcBorders>
            <w:shd w:val="clear" w:color="auto" w:fill="auto"/>
            <w:noWrap/>
            <w:vAlign w:val="bottom"/>
            <w:hideMark/>
          </w:tcPr>
          <w:p w14:paraId="55060247" w14:textId="77777777" w:rsidR="002F53B7" w:rsidRPr="00526B15" w:rsidRDefault="002F53B7" w:rsidP="002F53B7">
            <w:pPr>
              <w:spacing w:after="0" w:line="240" w:lineRule="auto"/>
              <w:jc w:val="right"/>
              <w:rPr>
                <w:rFonts w:ascii="Calibri" w:eastAsia="Times New Roman" w:hAnsi="Calibri" w:cs="Calibri"/>
                <w:color w:val="000000"/>
                <w:sz w:val="22"/>
              </w:rPr>
            </w:pPr>
            <w:r w:rsidRPr="00526B15">
              <w:rPr>
                <w:rFonts w:ascii="Calibri" w:eastAsia="Times New Roman" w:hAnsi="Calibri" w:cs="Calibri"/>
                <w:color w:val="000000"/>
                <w:sz w:val="22"/>
              </w:rPr>
              <w:t>41674</w:t>
            </w:r>
          </w:p>
        </w:tc>
        <w:tc>
          <w:tcPr>
            <w:tcW w:w="976" w:type="dxa"/>
            <w:gridSpan w:val="2"/>
            <w:tcBorders>
              <w:top w:val="nil"/>
              <w:left w:val="nil"/>
              <w:bottom w:val="nil"/>
              <w:right w:val="nil"/>
            </w:tcBorders>
            <w:shd w:val="clear" w:color="auto" w:fill="auto"/>
            <w:noWrap/>
            <w:vAlign w:val="bottom"/>
            <w:hideMark/>
          </w:tcPr>
          <w:p w14:paraId="62925347" w14:textId="77777777" w:rsidR="002F53B7" w:rsidRPr="00526B15" w:rsidRDefault="002F53B7" w:rsidP="002F53B7">
            <w:pPr>
              <w:spacing w:after="0" w:line="240" w:lineRule="auto"/>
              <w:jc w:val="right"/>
              <w:rPr>
                <w:rFonts w:ascii="Calibri" w:eastAsia="Times New Roman" w:hAnsi="Calibri" w:cs="Calibri"/>
                <w:color w:val="000000"/>
                <w:sz w:val="22"/>
              </w:rPr>
            </w:pPr>
            <w:r w:rsidRPr="00526B15">
              <w:rPr>
                <w:rFonts w:ascii="Calibri" w:eastAsia="Times New Roman" w:hAnsi="Calibri" w:cs="Calibri"/>
                <w:color w:val="000000"/>
                <w:sz w:val="22"/>
              </w:rPr>
              <w:t>82.3</w:t>
            </w:r>
          </w:p>
        </w:tc>
        <w:tc>
          <w:tcPr>
            <w:tcW w:w="976" w:type="dxa"/>
            <w:gridSpan w:val="2"/>
            <w:tcBorders>
              <w:top w:val="nil"/>
              <w:left w:val="nil"/>
              <w:bottom w:val="nil"/>
              <w:right w:val="nil"/>
            </w:tcBorders>
            <w:shd w:val="clear" w:color="auto" w:fill="auto"/>
            <w:noWrap/>
            <w:vAlign w:val="bottom"/>
            <w:hideMark/>
          </w:tcPr>
          <w:p w14:paraId="2291C3CE" w14:textId="77777777" w:rsidR="002F53B7" w:rsidRPr="00526B15" w:rsidRDefault="002F53B7" w:rsidP="002F53B7">
            <w:pPr>
              <w:spacing w:after="0" w:line="240" w:lineRule="auto"/>
              <w:jc w:val="right"/>
              <w:rPr>
                <w:rFonts w:ascii="Calibri" w:eastAsia="Times New Roman" w:hAnsi="Calibri" w:cs="Calibri"/>
                <w:color w:val="000000"/>
                <w:sz w:val="22"/>
              </w:rPr>
            </w:pPr>
            <w:r w:rsidRPr="00526B15">
              <w:rPr>
                <w:rFonts w:ascii="Calibri" w:eastAsia="Times New Roman" w:hAnsi="Calibri" w:cs="Calibri"/>
                <w:color w:val="000000"/>
                <w:sz w:val="22"/>
              </w:rPr>
              <w:t>506.37</w:t>
            </w:r>
          </w:p>
        </w:tc>
        <w:tc>
          <w:tcPr>
            <w:tcW w:w="976" w:type="dxa"/>
            <w:gridSpan w:val="2"/>
            <w:tcBorders>
              <w:top w:val="nil"/>
              <w:left w:val="nil"/>
              <w:bottom w:val="nil"/>
              <w:right w:val="nil"/>
            </w:tcBorders>
            <w:shd w:val="clear" w:color="auto" w:fill="auto"/>
            <w:noWrap/>
            <w:vAlign w:val="bottom"/>
            <w:hideMark/>
          </w:tcPr>
          <w:p w14:paraId="4D1176B9" w14:textId="77777777" w:rsidR="002F53B7" w:rsidRPr="00526B15" w:rsidRDefault="002F53B7" w:rsidP="002F53B7">
            <w:pPr>
              <w:spacing w:after="0" w:line="240" w:lineRule="auto"/>
              <w:jc w:val="right"/>
              <w:rPr>
                <w:rFonts w:ascii="Calibri" w:eastAsia="Times New Roman" w:hAnsi="Calibri" w:cs="Calibri"/>
                <w:color w:val="000000"/>
                <w:sz w:val="22"/>
              </w:rPr>
            </w:pPr>
            <w:r w:rsidRPr="00526B15">
              <w:rPr>
                <w:rFonts w:ascii="Calibri" w:eastAsia="Times New Roman" w:hAnsi="Calibri" w:cs="Calibri"/>
                <w:color w:val="000000"/>
                <w:sz w:val="22"/>
              </w:rPr>
              <w:t>2428</w:t>
            </w:r>
          </w:p>
        </w:tc>
        <w:tc>
          <w:tcPr>
            <w:tcW w:w="976" w:type="dxa"/>
            <w:gridSpan w:val="2"/>
            <w:tcBorders>
              <w:top w:val="nil"/>
              <w:left w:val="nil"/>
              <w:bottom w:val="nil"/>
              <w:right w:val="nil"/>
            </w:tcBorders>
            <w:shd w:val="clear" w:color="auto" w:fill="auto"/>
            <w:noWrap/>
            <w:vAlign w:val="bottom"/>
            <w:hideMark/>
          </w:tcPr>
          <w:p w14:paraId="32047C96" w14:textId="77777777" w:rsidR="002F53B7" w:rsidRPr="00526B15" w:rsidRDefault="002F53B7" w:rsidP="002F53B7">
            <w:pPr>
              <w:spacing w:after="0" w:line="240" w:lineRule="auto"/>
              <w:jc w:val="right"/>
              <w:rPr>
                <w:rFonts w:ascii="Calibri" w:eastAsia="Times New Roman" w:hAnsi="Calibri" w:cs="Calibri"/>
                <w:color w:val="000000"/>
                <w:sz w:val="22"/>
              </w:rPr>
            </w:pPr>
            <w:r w:rsidRPr="00526B15">
              <w:rPr>
                <w:rFonts w:ascii="Calibri" w:eastAsia="Times New Roman" w:hAnsi="Calibri" w:cs="Calibri"/>
                <w:color w:val="000000"/>
                <w:sz w:val="22"/>
              </w:rPr>
              <w:t>6477</w:t>
            </w:r>
          </w:p>
        </w:tc>
        <w:tc>
          <w:tcPr>
            <w:tcW w:w="976" w:type="dxa"/>
            <w:gridSpan w:val="2"/>
            <w:tcBorders>
              <w:top w:val="nil"/>
              <w:left w:val="nil"/>
              <w:bottom w:val="nil"/>
              <w:right w:val="nil"/>
            </w:tcBorders>
            <w:shd w:val="clear" w:color="auto" w:fill="auto"/>
            <w:noWrap/>
            <w:vAlign w:val="bottom"/>
            <w:hideMark/>
          </w:tcPr>
          <w:p w14:paraId="712C571D" w14:textId="77777777" w:rsidR="002F53B7" w:rsidRPr="00526B15" w:rsidRDefault="002F53B7" w:rsidP="002F53B7">
            <w:pPr>
              <w:spacing w:after="0" w:line="240" w:lineRule="auto"/>
              <w:jc w:val="right"/>
              <w:rPr>
                <w:rFonts w:ascii="Calibri" w:eastAsia="Times New Roman" w:hAnsi="Calibri" w:cs="Calibri"/>
                <w:color w:val="000000"/>
                <w:sz w:val="22"/>
              </w:rPr>
            </w:pPr>
            <w:r w:rsidRPr="00526B15">
              <w:rPr>
                <w:rFonts w:ascii="Calibri" w:eastAsia="Times New Roman" w:hAnsi="Calibri" w:cs="Calibri"/>
                <w:color w:val="000000"/>
                <w:sz w:val="22"/>
              </w:rPr>
              <w:t>6084</w:t>
            </w:r>
          </w:p>
        </w:tc>
        <w:tc>
          <w:tcPr>
            <w:tcW w:w="976" w:type="dxa"/>
            <w:gridSpan w:val="3"/>
            <w:tcBorders>
              <w:top w:val="nil"/>
              <w:left w:val="nil"/>
              <w:bottom w:val="nil"/>
              <w:right w:val="nil"/>
            </w:tcBorders>
            <w:shd w:val="clear" w:color="auto" w:fill="auto"/>
            <w:noWrap/>
            <w:vAlign w:val="bottom"/>
            <w:hideMark/>
          </w:tcPr>
          <w:p w14:paraId="4D16DE75" w14:textId="77777777" w:rsidR="002F53B7" w:rsidRPr="00526B15" w:rsidRDefault="002F53B7" w:rsidP="002F53B7">
            <w:pPr>
              <w:spacing w:after="0" w:line="240" w:lineRule="auto"/>
              <w:jc w:val="right"/>
              <w:rPr>
                <w:rFonts w:ascii="Calibri" w:eastAsia="Times New Roman" w:hAnsi="Calibri" w:cs="Calibri"/>
                <w:color w:val="000000"/>
                <w:sz w:val="22"/>
              </w:rPr>
            </w:pPr>
            <w:r w:rsidRPr="00526B15">
              <w:rPr>
                <w:rFonts w:ascii="Calibri" w:eastAsia="Times New Roman" w:hAnsi="Calibri" w:cs="Calibri"/>
                <w:color w:val="000000"/>
                <w:sz w:val="22"/>
              </w:rPr>
              <w:t>8512</w:t>
            </w:r>
          </w:p>
        </w:tc>
        <w:tc>
          <w:tcPr>
            <w:tcW w:w="976" w:type="dxa"/>
            <w:gridSpan w:val="2"/>
            <w:tcBorders>
              <w:top w:val="nil"/>
              <w:left w:val="nil"/>
              <w:bottom w:val="nil"/>
              <w:right w:val="nil"/>
            </w:tcBorders>
            <w:shd w:val="clear" w:color="auto" w:fill="auto"/>
            <w:noWrap/>
            <w:vAlign w:val="bottom"/>
            <w:hideMark/>
          </w:tcPr>
          <w:p w14:paraId="01611024" w14:textId="77777777" w:rsidR="002F53B7" w:rsidRPr="00526B15" w:rsidRDefault="002F53B7" w:rsidP="002F53B7">
            <w:pPr>
              <w:spacing w:after="0" w:line="240" w:lineRule="auto"/>
              <w:jc w:val="right"/>
              <w:rPr>
                <w:rFonts w:ascii="Calibri" w:eastAsia="Times New Roman" w:hAnsi="Calibri" w:cs="Calibri"/>
                <w:color w:val="000000"/>
                <w:sz w:val="22"/>
              </w:rPr>
            </w:pPr>
            <w:r w:rsidRPr="00526B15">
              <w:rPr>
                <w:rFonts w:ascii="Calibri" w:eastAsia="Times New Roman" w:hAnsi="Calibri" w:cs="Calibri"/>
                <w:color w:val="000000"/>
                <w:sz w:val="22"/>
              </w:rPr>
              <w:t>12.822</w:t>
            </w:r>
          </w:p>
        </w:tc>
        <w:tc>
          <w:tcPr>
            <w:tcW w:w="1015" w:type="dxa"/>
            <w:tcBorders>
              <w:top w:val="nil"/>
              <w:left w:val="nil"/>
              <w:bottom w:val="nil"/>
              <w:right w:val="nil"/>
            </w:tcBorders>
            <w:shd w:val="clear" w:color="auto" w:fill="auto"/>
            <w:noWrap/>
            <w:vAlign w:val="bottom"/>
            <w:hideMark/>
          </w:tcPr>
          <w:p w14:paraId="03B4DC32" w14:textId="77777777" w:rsidR="002F53B7" w:rsidRPr="00526B15" w:rsidRDefault="002F53B7" w:rsidP="002F53B7">
            <w:pPr>
              <w:spacing w:after="0" w:line="240" w:lineRule="auto"/>
              <w:jc w:val="right"/>
              <w:rPr>
                <w:rFonts w:ascii="Calibri" w:eastAsia="Times New Roman" w:hAnsi="Calibri" w:cs="Calibri"/>
                <w:color w:val="000000"/>
                <w:sz w:val="22"/>
              </w:rPr>
            </w:pPr>
            <w:r w:rsidRPr="00526B15">
              <w:rPr>
                <w:rFonts w:ascii="Calibri" w:eastAsia="Times New Roman" w:hAnsi="Calibri" w:cs="Calibri"/>
                <w:color w:val="000000"/>
                <w:sz w:val="22"/>
              </w:rPr>
              <w:t>14.053</w:t>
            </w:r>
          </w:p>
        </w:tc>
        <w:tc>
          <w:tcPr>
            <w:tcW w:w="976" w:type="dxa"/>
            <w:gridSpan w:val="2"/>
            <w:tcBorders>
              <w:top w:val="nil"/>
              <w:left w:val="nil"/>
              <w:bottom w:val="nil"/>
              <w:right w:val="nil"/>
            </w:tcBorders>
            <w:shd w:val="clear" w:color="auto" w:fill="auto"/>
            <w:noWrap/>
            <w:vAlign w:val="bottom"/>
            <w:hideMark/>
          </w:tcPr>
          <w:p w14:paraId="4C701699" w14:textId="77777777" w:rsidR="002F53B7" w:rsidRPr="00526B15" w:rsidRDefault="002F53B7" w:rsidP="002F53B7">
            <w:pPr>
              <w:spacing w:after="0" w:line="240" w:lineRule="auto"/>
              <w:jc w:val="right"/>
              <w:rPr>
                <w:rFonts w:ascii="Calibri" w:eastAsia="Times New Roman" w:hAnsi="Calibri" w:cs="Calibri"/>
                <w:color w:val="000000"/>
                <w:sz w:val="22"/>
              </w:rPr>
            </w:pPr>
          </w:p>
        </w:tc>
        <w:tc>
          <w:tcPr>
            <w:tcW w:w="976" w:type="dxa"/>
            <w:gridSpan w:val="2"/>
            <w:tcBorders>
              <w:top w:val="nil"/>
              <w:left w:val="nil"/>
              <w:bottom w:val="nil"/>
              <w:right w:val="nil"/>
            </w:tcBorders>
            <w:shd w:val="clear" w:color="auto" w:fill="auto"/>
            <w:noWrap/>
            <w:vAlign w:val="bottom"/>
            <w:hideMark/>
          </w:tcPr>
          <w:p w14:paraId="031FC5E8"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74F81318" w14:textId="77777777" w:rsidR="002F53B7" w:rsidRPr="00526B15" w:rsidRDefault="002F53B7" w:rsidP="002F53B7">
            <w:pPr>
              <w:spacing w:after="0" w:line="240" w:lineRule="auto"/>
              <w:rPr>
                <w:rFonts w:eastAsia="Times New Roman" w:cs="Times New Roman"/>
                <w:sz w:val="20"/>
                <w:szCs w:val="20"/>
              </w:rPr>
            </w:pPr>
          </w:p>
        </w:tc>
      </w:tr>
      <w:tr w:rsidR="002F53B7" w:rsidRPr="00526B15" w14:paraId="178E0920" w14:textId="77777777" w:rsidTr="00730CB1">
        <w:tblPrEx>
          <w:tblCellMar>
            <w:left w:w="108" w:type="dxa"/>
            <w:right w:w="108" w:type="dxa"/>
          </w:tblCellMar>
        </w:tblPrEx>
        <w:trPr>
          <w:trHeight w:val="290"/>
        </w:trPr>
        <w:tc>
          <w:tcPr>
            <w:tcW w:w="976" w:type="dxa"/>
            <w:tcBorders>
              <w:top w:val="nil"/>
              <w:left w:val="nil"/>
              <w:bottom w:val="nil"/>
              <w:right w:val="nil"/>
            </w:tcBorders>
            <w:shd w:val="clear" w:color="auto" w:fill="auto"/>
            <w:noWrap/>
            <w:vAlign w:val="bottom"/>
            <w:hideMark/>
          </w:tcPr>
          <w:p w14:paraId="0FBDD330" w14:textId="77777777" w:rsidR="002F53B7" w:rsidRPr="00526B15"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005B8B9E"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5307E232"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707D8209"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19F294C0"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0A41386F"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031EB406" w14:textId="77777777" w:rsidR="002F53B7" w:rsidRPr="00526B15" w:rsidRDefault="002F53B7" w:rsidP="002F53B7">
            <w:pPr>
              <w:spacing w:after="0" w:line="240" w:lineRule="auto"/>
              <w:rPr>
                <w:rFonts w:eastAsia="Times New Roman" w:cs="Times New Roman"/>
                <w:sz w:val="20"/>
                <w:szCs w:val="20"/>
              </w:rPr>
            </w:pPr>
          </w:p>
        </w:tc>
        <w:tc>
          <w:tcPr>
            <w:tcW w:w="976" w:type="dxa"/>
            <w:gridSpan w:val="3"/>
            <w:tcBorders>
              <w:top w:val="nil"/>
              <w:left w:val="nil"/>
              <w:bottom w:val="nil"/>
              <w:right w:val="nil"/>
            </w:tcBorders>
            <w:shd w:val="clear" w:color="auto" w:fill="auto"/>
            <w:noWrap/>
            <w:vAlign w:val="bottom"/>
            <w:hideMark/>
          </w:tcPr>
          <w:p w14:paraId="4BECF869"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5D02B0C2" w14:textId="77777777" w:rsidR="002F53B7" w:rsidRPr="00526B15" w:rsidRDefault="002F53B7" w:rsidP="002F53B7">
            <w:pPr>
              <w:spacing w:after="0" w:line="240" w:lineRule="auto"/>
              <w:rPr>
                <w:rFonts w:eastAsia="Times New Roman" w:cs="Times New Roman"/>
                <w:sz w:val="20"/>
                <w:szCs w:val="20"/>
              </w:rPr>
            </w:pPr>
          </w:p>
        </w:tc>
        <w:tc>
          <w:tcPr>
            <w:tcW w:w="1015" w:type="dxa"/>
            <w:tcBorders>
              <w:top w:val="nil"/>
              <w:left w:val="nil"/>
              <w:bottom w:val="nil"/>
              <w:right w:val="nil"/>
            </w:tcBorders>
            <w:shd w:val="clear" w:color="auto" w:fill="auto"/>
            <w:noWrap/>
            <w:vAlign w:val="bottom"/>
            <w:hideMark/>
          </w:tcPr>
          <w:p w14:paraId="4B43E070"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0605F9FD"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2E541576"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6AC80C55" w14:textId="77777777" w:rsidR="002F53B7" w:rsidRPr="00526B15" w:rsidRDefault="002F53B7" w:rsidP="002F53B7">
            <w:pPr>
              <w:spacing w:after="0" w:line="240" w:lineRule="auto"/>
              <w:rPr>
                <w:rFonts w:eastAsia="Times New Roman" w:cs="Times New Roman"/>
                <w:sz w:val="20"/>
                <w:szCs w:val="20"/>
              </w:rPr>
            </w:pPr>
          </w:p>
        </w:tc>
      </w:tr>
      <w:tr w:rsidR="002F53B7" w:rsidRPr="00526B15" w14:paraId="5AB5BA64" w14:textId="77777777" w:rsidTr="00730CB1">
        <w:tblPrEx>
          <w:tblCellMar>
            <w:left w:w="108" w:type="dxa"/>
            <w:right w:w="108" w:type="dxa"/>
          </w:tblCellMar>
        </w:tblPrEx>
        <w:trPr>
          <w:trHeight w:val="290"/>
        </w:trPr>
        <w:tc>
          <w:tcPr>
            <w:tcW w:w="1952" w:type="dxa"/>
            <w:gridSpan w:val="2"/>
            <w:tcBorders>
              <w:top w:val="nil"/>
              <w:left w:val="nil"/>
              <w:bottom w:val="nil"/>
              <w:right w:val="nil"/>
            </w:tcBorders>
            <w:shd w:val="clear" w:color="auto" w:fill="auto"/>
            <w:noWrap/>
            <w:vAlign w:val="bottom"/>
            <w:hideMark/>
          </w:tcPr>
          <w:p w14:paraId="3F00C7FF" w14:textId="77777777" w:rsidR="002F53B7" w:rsidRPr="00526B15" w:rsidRDefault="002F53B7" w:rsidP="002F53B7">
            <w:pPr>
              <w:spacing w:after="0" w:line="240" w:lineRule="auto"/>
              <w:rPr>
                <w:rFonts w:ascii="Calibri" w:eastAsia="Times New Roman" w:hAnsi="Calibri" w:cs="Calibri"/>
                <w:color w:val="000000"/>
                <w:sz w:val="22"/>
              </w:rPr>
            </w:pPr>
            <w:r w:rsidRPr="00526B15">
              <w:rPr>
                <w:rFonts w:ascii="Calibri" w:eastAsia="Times New Roman" w:hAnsi="Calibri" w:cs="Calibri"/>
                <w:color w:val="000000"/>
                <w:sz w:val="22"/>
              </w:rPr>
              <w:t>Growth rates</w:t>
            </w:r>
          </w:p>
        </w:tc>
        <w:tc>
          <w:tcPr>
            <w:tcW w:w="976" w:type="dxa"/>
            <w:gridSpan w:val="2"/>
            <w:tcBorders>
              <w:top w:val="nil"/>
              <w:left w:val="nil"/>
              <w:bottom w:val="nil"/>
              <w:right w:val="nil"/>
            </w:tcBorders>
            <w:shd w:val="clear" w:color="auto" w:fill="auto"/>
            <w:noWrap/>
            <w:vAlign w:val="bottom"/>
            <w:hideMark/>
          </w:tcPr>
          <w:p w14:paraId="1C056465" w14:textId="77777777" w:rsidR="002F53B7" w:rsidRPr="00526B15" w:rsidRDefault="002F53B7" w:rsidP="002F53B7">
            <w:pPr>
              <w:spacing w:after="0" w:line="240" w:lineRule="auto"/>
              <w:rPr>
                <w:rFonts w:ascii="Calibri" w:eastAsia="Times New Roman" w:hAnsi="Calibri" w:cs="Calibri"/>
                <w:color w:val="000000"/>
                <w:sz w:val="22"/>
              </w:rPr>
            </w:pPr>
          </w:p>
        </w:tc>
        <w:tc>
          <w:tcPr>
            <w:tcW w:w="976" w:type="dxa"/>
            <w:gridSpan w:val="2"/>
            <w:tcBorders>
              <w:top w:val="nil"/>
              <w:left w:val="nil"/>
              <w:bottom w:val="nil"/>
              <w:right w:val="nil"/>
            </w:tcBorders>
            <w:shd w:val="clear" w:color="auto" w:fill="auto"/>
            <w:noWrap/>
            <w:vAlign w:val="bottom"/>
            <w:hideMark/>
          </w:tcPr>
          <w:p w14:paraId="15E9399B"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2F53AAA7"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37C69D1D"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59863035" w14:textId="77777777" w:rsidR="002F53B7" w:rsidRPr="00526B15" w:rsidRDefault="002F53B7" w:rsidP="002F53B7">
            <w:pPr>
              <w:spacing w:after="0" w:line="240" w:lineRule="auto"/>
              <w:rPr>
                <w:rFonts w:eastAsia="Times New Roman" w:cs="Times New Roman"/>
                <w:sz w:val="20"/>
                <w:szCs w:val="20"/>
              </w:rPr>
            </w:pPr>
          </w:p>
        </w:tc>
        <w:tc>
          <w:tcPr>
            <w:tcW w:w="976" w:type="dxa"/>
            <w:gridSpan w:val="3"/>
            <w:tcBorders>
              <w:top w:val="nil"/>
              <w:left w:val="nil"/>
              <w:bottom w:val="nil"/>
              <w:right w:val="nil"/>
            </w:tcBorders>
            <w:shd w:val="clear" w:color="auto" w:fill="auto"/>
            <w:noWrap/>
            <w:vAlign w:val="bottom"/>
            <w:hideMark/>
          </w:tcPr>
          <w:p w14:paraId="0BF456D2"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37B3698A" w14:textId="77777777" w:rsidR="002F53B7" w:rsidRPr="00526B15" w:rsidRDefault="002F53B7" w:rsidP="002F53B7">
            <w:pPr>
              <w:spacing w:after="0" w:line="240" w:lineRule="auto"/>
              <w:rPr>
                <w:rFonts w:eastAsia="Times New Roman" w:cs="Times New Roman"/>
                <w:sz w:val="20"/>
                <w:szCs w:val="20"/>
              </w:rPr>
            </w:pPr>
          </w:p>
        </w:tc>
        <w:tc>
          <w:tcPr>
            <w:tcW w:w="1015" w:type="dxa"/>
            <w:tcBorders>
              <w:top w:val="nil"/>
              <w:left w:val="nil"/>
              <w:bottom w:val="nil"/>
              <w:right w:val="nil"/>
            </w:tcBorders>
            <w:shd w:val="clear" w:color="auto" w:fill="auto"/>
            <w:noWrap/>
            <w:vAlign w:val="bottom"/>
            <w:hideMark/>
          </w:tcPr>
          <w:p w14:paraId="78E4B643"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79310E17"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69F67BF8"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2FFEBD6D" w14:textId="77777777" w:rsidR="002F53B7" w:rsidRPr="00526B15" w:rsidRDefault="002F53B7" w:rsidP="002F53B7">
            <w:pPr>
              <w:spacing w:after="0" w:line="240" w:lineRule="auto"/>
              <w:rPr>
                <w:rFonts w:eastAsia="Times New Roman" w:cs="Times New Roman"/>
                <w:sz w:val="20"/>
                <w:szCs w:val="20"/>
              </w:rPr>
            </w:pPr>
          </w:p>
        </w:tc>
      </w:tr>
      <w:tr w:rsidR="002F53B7" w:rsidRPr="00526B15" w14:paraId="3981CEDC" w14:textId="77777777" w:rsidTr="00730CB1">
        <w:tblPrEx>
          <w:tblCellMar>
            <w:left w:w="108" w:type="dxa"/>
            <w:right w:w="108" w:type="dxa"/>
          </w:tblCellMar>
        </w:tblPrEx>
        <w:trPr>
          <w:trHeight w:val="290"/>
        </w:trPr>
        <w:tc>
          <w:tcPr>
            <w:tcW w:w="976" w:type="dxa"/>
            <w:tcBorders>
              <w:top w:val="nil"/>
              <w:left w:val="nil"/>
              <w:bottom w:val="nil"/>
              <w:right w:val="nil"/>
            </w:tcBorders>
            <w:shd w:val="clear" w:color="auto" w:fill="auto"/>
            <w:noWrap/>
            <w:vAlign w:val="bottom"/>
            <w:hideMark/>
          </w:tcPr>
          <w:p w14:paraId="08BC6639" w14:textId="77777777" w:rsidR="002F53B7" w:rsidRPr="00526B15" w:rsidRDefault="002F53B7" w:rsidP="002F53B7">
            <w:pPr>
              <w:spacing w:after="0" w:line="240" w:lineRule="auto"/>
              <w:jc w:val="center"/>
              <w:rPr>
                <w:rFonts w:ascii="Calibri" w:eastAsia="Times New Roman" w:hAnsi="Calibri" w:cs="Calibri"/>
                <w:color w:val="000000"/>
                <w:sz w:val="22"/>
              </w:rPr>
            </w:pPr>
            <w:r w:rsidRPr="00526B15">
              <w:rPr>
                <w:rFonts w:ascii="Calibri" w:eastAsia="Times New Roman" w:hAnsi="Calibri" w:cs="Calibri"/>
                <w:color w:val="000000"/>
                <w:sz w:val="22"/>
              </w:rPr>
              <w:t>1929-41</w:t>
            </w:r>
          </w:p>
        </w:tc>
        <w:tc>
          <w:tcPr>
            <w:tcW w:w="976" w:type="dxa"/>
            <w:tcBorders>
              <w:top w:val="nil"/>
              <w:left w:val="nil"/>
              <w:bottom w:val="nil"/>
              <w:right w:val="nil"/>
            </w:tcBorders>
            <w:shd w:val="clear" w:color="auto" w:fill="auto"/>
            <w:noWrap/>
            <w:vAlign w:val="bottom"/>
            <w:hideMark/>
          </w:tcPr>
          <w:p w14:paraId="3EAA4EA8" w14:textId="77777777" w:rsidR="002F53B7" w:rsidRPr="00526B15" w:rsidRDefault="002F53B7" w:rsidP="002F53B7">
            <w:pPr>
              <w:spacing w:after="0" w:line="240" w:lineRule="auto"/>
              <w:jc w:val="center"/>
              <w:rPr>
                <w:rFonts w:ascii="Calibri" w:eastAsia="Times New Roman" w:hAnsi="Calibri" w:cs="Calibri"/>
                <w:color w:val="000000"/>
                <w:sz w:val="22"/>
              </w:rPr>
            </w:pPr>
          </w:p>
        </w:tc>
        <w:tc>
          <w:tcPr>
            <w:tcW w:w="976" w:type="dxa"/>
            <w:gridSpan w:val="2"/>
            <w:tcBorders>
              <w:top w:val="nil"/>
              <w:left w:val="nil"/>
              <w:bottom w:val="nil"/>
              <w:right w:val="nil"/>
            </w:tcBorders>
            <w:shd w:val="clear" w:color="auto" w:fill="auto"/>
            <w:noWrap/>
            <w:vAlign w:val="bottom"/>
            <w:hideMark/>
          </w:tcPr>
          <w:p w14:paraId="2698547B"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3CEDB72B" w14:textId="77777777" w:rsidR="002F53B7" w:rsidRPr="00FA6DE8" w:rsidRDefault="002F53B7" w:rsidP="002F53B7">
            <w:pPr>
              <w:spacing w:after="0" w:line="240" w:lineRule="auto"/>
              <w:jc w:val="right"/>
              <w:rPr>
                <w:rFonts w:ascii="Calibri" w:eastAsia="Times New Roman" w:hAnsi="Calibri" w:cs="Calibri"/>
                <w:bCs/>
                <w:color w:val="000000"/>
                <w:sz w:val="22"/>
              </w:rPr>
            </w:pPr>
            <w:r w:rsidRPr="00FA6DE8">
              <w:rPr>
                <w:rFonts w:ascii="Calibri" w:eastAsia="Times New Roman" w:hAnsi="Calibri" w:cs="Calibri"/>
                <w:bCs/>
                <w:color w:val="000000"/>
                <w:sz w:val="22"/>
              </w:rPr>
              <w:t>0.0317</w:t>
            </w:r>
          </w:p>
        </w:tc>
        <w:tc>
          <w:tcPr>
            <w:tcW w:w="976" w:type="dxa"/>
            <w:gridSpan w:val="2"/>
            <w:tcBorders>
              <w:top w:val="nil"/>
              <w:left w:val="nil"/>
              <w:bottom w:val="nil"/>
              <w:right w:val="nil"/>
            </w:tcBorders>
            <w:shd w:val="clear" w:color="auto" w:fill="auto"/>
            <w:noWrap/>
            <w:vAlign w:val="bottom"/>
            <w:hideMark/>
          </w:tcPr>
          <w:p w14:paraId="0698C737" w14:textId="77777777" w:rsidR="002F53B7" w:rsidRPr="00526B15" w:rsidRDefault="002F53B7" w:rsidP="002F53B7">
            <w:pPr>
              <w:spacing w:after="0" w:line="240" w:lineRule="auto"/>
              <w:jc w:val="right"/>
              <w:rPr>
                <w:rFonts w:ascii="Calibri" w:eastAsia="Times New Roman" w:hAnsi="Calibri" w:cs="Calibri"/>
                <w:b/>
                <w:bCs/>
                <w:color w:val="000000"/>
                <w:sz w:val="22"/>
              </w:rPr>
            </w:pPr>
          </w:p>
        </w:tc>
        <w:tc>
          <w:tcPr>
            <w:tcW w:w="976" w:type="dxa"/>
            <w:gridSpan w:val="2"/>
            <w:tcBorders>
              <w:top w:val="nil"/>
              <w:left w:val="nil"/>
              <w:bottom w:val="nil"/>
              <w:right w:val="nil"/>
            </w:tcBorders>
            <w:shd w:val="clear" w:color="auto" w:fill="auto"/>
            <w:noWrap/>
            <w:vAlign w:val="bottom"/>
            <w:hideMark/>
          </w:tcPr>
          <w:p w14:paraId="2E1F2D3F"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7D17A06D" w14:textId="77777777" w:rsidR="002F53B7" w:rsidRPr="00526B15" w:rsidRDefault="002F53B7" w:rsidP="002F53B7">
            <w:pPr>
              <w:spacing w:after="0" w:line="240" w:lineRule="auto"/>
              <w:rPr>
                <w:rFonts w:eastAsia="Times New Roman" w:cs="Times New Roman"/>
                <w:sz w:val="20"/>
                <w:szCs w:val="20"/>
              </w:rPr>
            </w:pPr>
          </w:p>
        </w:tc>
        <w:tc>
          <w:tcPr>
            <w:tcW w:w="976" w:type="dxa"/>
            <w:gridSpan w:val="3"/>
            <w:tcBorders>
              <w:top w:val="nil"/>
              <w:left w:val="nil"/>
              <w:bottom w:val="nil"/>
              <w:right w:val="nil"/>
            </w:tcBorders>
            <w:shd w:val="clear" w:color="auto" w:fill="auto"/>
            <w:noWrap/>
            <w:vAlign w:val="bottom"/>
            <w:hideMark/>
          </w:tcPr>
          <w:p w14:paraId="0E726DF0" w14:textId="77777777" w:rsidR="002F53B7" w:rsidRPr="00FA6DE8" w:rsidRDefault="002F53B7" w:rsidP="002F53B7">
            <w:pPr>
              <w:spacing w:after="0" w:line="240" w:lineRule="auto"/>
              <w:jc w:val="right"/>
              <w:rPr>
                <w:rFonts w:ascii="Calibri" w:eastAsia="Times New Roman" w:hAnsi="Calibri" w:cs="Calibri"/>
                <w:bCs/>
                <w:color w:val="000000"/>
                <w:sz w:val="22"/>
              </w:rPr>
            </w:pPr>
            <w:r w:rsidRPr="00FA6DE8">
              <w:rPr>
                <w:rFonts w:ascii="Calibri" w:eastAsia="Times New Roman" w:hAnsi="Calibri" w:cs="Calibri"/>
                <w:bCs/>
                <w:color w:val="000000"/>
                <w:sz w:val="22"/>
              </w:rPr>
              <w:t>0.0153</w:t>
            </w:r>
          </w:p>
        </w:tc>
        <w:tc>
          <w:tcPr>
            <w:tcW w:w="976" w:type="dxa"/>
            <w:gridSpan w:val="2"/>
            <w:tcBorders>
              <w:top w:val="nil"/>
              <w:left w:val="nil"/>
              <w:bottom w:val="nil"/>
              <w:right w:val="nil"/>
            </w:tcBorders>
            <w:shd w:val="clear" w:color="auto" w:fill="auto"/>
            <w:noWrap/>
            <w:vAlign w:val="bottom"/>
            <w:hideMark/>
          </w:tcPr>
          <w:p w14:paraId="56F038DF" w14:textId="77777777" w:rsidR="002F53B7" w:rsidRPr="00526B15" w:rsidRDefault="002F53B7" w:rsidP="002F53B7">
            <w:pPr>
              <w:spacing w:after="0" w:line="240" w:lineRule="auto"/>
              <w:jc w:val="right"/>
              <w:rPr>
                <w:rFonts w:ascii="Calibri" w:eastAsia="Times New Roman" w:hAnsi="Calibri" w:cs="Calibri"/>
                <w:color w:val="000000"/>
                <w:sz w:val="22"/>
              </w:rPr>
            </w:pPr>
            <w:r w:rsidRPr="00526B15">
              <w:rPr>
                <w:rFonts w:ascii="Calibri" w:eastAsia="Times New Roman" w:hAnsi="Calibri" w:cs="Calibri"/>
                <w:color w:val="000000"/>
                <w:sz w:val="22"/>
              </w:rPr>
              <w:t>-0.0039</w:t>
            </w:r>
          </w:p>
        </w:tc>
        <w:tc>
          <w:tcPr>
            <w:tcW w:w="1015" w:type="dxa"/>
            <w:tcBorders>
              <w:top w:val="nil"/>
              <w:left w:val="nil"/>
              <w:bottom w:val="nil"/>
              <w:right w:val="nil"/>
            </w:tcBorders>
            <w:shd w:val="clear" w:color="auto" w:fill="auto"/>
            <w:noWrap/>
            <w:vAlign w:val="bottom"/>
            <w:hideMark/>
          </w:tcPr>
          <w:p w14:paraId="58C2B50D" w14:textId="77777777" w:rsidR="002F53B7" w:rsidRPr="00526B15" w:rsidRDefault="002F53B7" w:rsidP="002F53B7">
            <w:pPr>
              <w:spacing w:after="0" w:line="240" w:lineRule="auto"/>
              <w:jc w:val="right"/>
              <w:rPr>
                <w:rFonts w:ascii="Calibri" w:eastAsia="Times New Roman" w:hAnsi="Calibri" w:cs="Calibri"/>
                <w:color w:val="000000"/>
                <w:sz w:val="22"/>
              </w:rPr>
            </w:pPr>
            <w:r w:rsidRPr="00526B15">
              <w:rPr>
                <w:rFonts w:ascii="Calibri" w:eastAsia="Times New Roman" w:hAnsi="Calibri" w:cs="Calibri"/>
                <w:color w:val="000000"/>
                <w:sz w:val="22"/>
              </w:rPr>
              <w:t>-0.0082</w:t>
            </w:r>
          </w:p>
        </w:tc>
        <w:tc>
          <w:tcPr>
            <w:tcW w:w="976" w:type="dxa"/>
            <w:gridSpan w:val="2"/>
            <w:tcBorders>
              <w:top w:val="nil"/>
              <w:left w:val="nil"/>
              <w:bottom w:val="nil"/>
              <w:right w:val="nil"/>
            </w:tcBorders>
            <w:shd w:val="clear" w:color="auto" w:fill="auto"/>
            <w:noWrap/>
            <w:vAlign w:val="bottom"/>
            <w:hideMark/>
          </w:tcPr>
          <w:p w14:paraId="40A89F18" w14:textId="77777777" w:rsidR="002F53B7" w:rsidRPr="00FA6DE8" w:rsidRDefault="002F53B7" w:rsidP="002F53B7">
            <w:pPr>
              <w:spacing w:after="0" w:line="240" w:lineRule="auto"/>
              <w:jc w:val="right"/>
              <w:rPr>
                <w:rFonts w:ascii="Calibri" w:eastAsia="Times New Roman" w:hAnsi="Calibri" w:cs="Calibri"/>
                <w:bCs/>
                <w:color w:val="000000"/>
                <w:sz w:val="22"/>
              </w:rPr>
            </w:pPr>
            <w:r w:rsidRPr="00FA6DE8">
              <w:rPr>
                <w:rFonts w:ascii="Calibri" w:eastAsia="Times New Roman" w:hAnsi="Calibri" w:cs="Calibri"/>
                <w:bCs/>
                <w:color w:val="000000"/>
                <w:sz w:val="22"/>
              </w:rPr>
              <w:t>-0.0057</w:t>
            </w:r>
          </w:p>
        </w:tc>
        <w:tc>
          <w:tcPr>
            <w:tcW w:w="976" w:type="dxa"/>
            <w:gridSpan w:val="2"/>
            <w:tcBorders>
              <w:top w:val="nil"/>
              <w:left w:val="nil"/>
              <w:bottom w:val="nil"/>
              <w:right w:val="nil"/>
            </w:tcBorders>
            <w:shd w:val="clear" w:color="auto" w:fill="auto"/>
            <w:noWrap/>
            <w:vAlign w:val="bottom"/>
            <w:hideMark/>
          </w:tcPr>
          <w:p w14:paraId="1FEC40B9" w14:textId="77777777" w:rsidR="002F53B7" w:rsidRPr="00526B15" w:rsidRDefault="002F53B7" w:rsidP="002F53B7">
            <w:pPr>
              <w:spacing w:after="0" w:line="240" w:lineRule="auto"/>
              <w:jc w:val="right"/>
              <w:rPr>
                <w:rFonts w:ascii="Calibri" w:eastAsia="Times New Roman" w:hAnsi="Calibri" w:cs="Calibri"/>
                <w:color w:val="000000"/>
                <w:sz w:val="22"/>
              </w:rPr>
            </w:pPr>
            <w:r w:rsidRPr="00526B15">
              <w:rPr>
                <w:rFonts w:ascii="Calibri" w:eastAsia="Times New Roman" w:hAnsi="Calibri" w:cs="Calibri"/>
                <w:color w:val="000000"/>
                <w:sz w:val="22"/>
              </w:rPr>
              <w:t>0.0164</w:t>
            </w:r>
          </w:p>
        </w:tc>
        <w:tc>
          <w:tcPr>
            <w:tcW w:w="976" w:type="dxa"/>
            <w:gridSpan w:val="2"/>
            <w:tcBorders>
              <w:top w:val="nil"/>
              <w:left w:val="nil"/>
              <w:bottom w:val="nil"/>
              <w:right w:val="nil"/>
            </w:tcBorders>
            <w:shd w:val="clear" w:color="auto" w:fill="auto"/>
            <w:noWrap/>
            <w:vAlign w:val="bottom"/>
            <w:hideMark/>
          </w:tcPr>
          <w:p w14:paraId="457BCD5A" w14:textId="77777777" w:rsidR="002F53B7" w:rsidRPr="00FA6DE8" w:rsidRDefault="002F53B7" w:rsidP="002F53B7">
            <w:pPr>
              <w:spacing w:after="0" w:line="240" w:lineRule="auto"/>
              <w:jc w:val="right"/>
              <w:rPr>
                <w:rFonts w:ascii="Calibri" w:eastAsia="Times New Roman" w:hAnsi="Calibri" w:cs="Calibri"/>
                <w:b/>
                <w:color w:val="000000"/>
                <w:sz w:val="22"/>
              </w:rPr>
            </w:pPr>
            <w:r w:rsidRPr="00FA6DE8">
              <w:rPr>
                <w:rFonts w:ascii="Calibri" w:eastAsia="Times New Roman" w:hAnsi="Calibri" w:cs="Calibri"/>
                <w:b/>
                <w:color w:val="000000"/>
                <w:sz w:val="22"/>
              </w:rPr>
              <w:t>0.0227</w:t>
            </w:r>
          </w:p>
        </w:tc>
      </w:tr>
      <w:tr w:rsidR="002F53B7" w:rsidRPr="00526B15" w14:paraId="24D04530" w14:textId="77777777" w:rsidTr="00730CB1">
        <w:tblPrEx>
          <w:tblCellMar>
            <w:left w:w="108" w:type="dxa"/>
            <w:right w:w="108" w:type="dxa"/>
          </w:tblCellMar>
        </w:tblPrEx>
        <w:trPr>
          <w:trHeight w:val="290"/>
        </w:trPr>
        <w:tc>
          <w:tcPr>
            <w:tcW w:w="976" w:type="dxa"/>
            <w:tcBorders>
              <w:top w:val="nil"/>
              <w:left w:val="nil"/>
              <w:bottom w:val="nil"/>
              <w:right w:val="nil"/>
            </w:tcBorders>
            <w:shd w:val="clear" w:color="auto" w:fill="auto"/>
            <w:noWrap/>
            <w:vAlign w:val="bottom"/>
            <w:hideMark/>
          </w:tcPr>
          <w:p w14:paraId="43E9AD9B" w14:textId="77777777" w:rsidR="002F53B7" w:rsidRPr="00526B15" w:rsidRDefault="002F53B7" w:rsidP="002F53B7">
            <w:pPr>
              <w:spacing w:after="0" w:line="240" w:lineRule="auto"/>
              <w:jc w:val="center"/>
              <w:rPr>
                <w:rFonts w:ascii="Calibri" w:eastAsia="Times New Roman" w:hAnsi="Calibri" w:cs="Calibri"/>
                <w:color w:val="000000"/>
                <w:sz w:val="22"/>
              </w:rPr>
            </w:pPr>
            <w:r w:rsidRPr="00526B15">
              <w:rPr>
                <w:rFonts w:ascii="Calibri" w:eastAsia="Times New Roman" w:hAnsi="Calibri" w:cs="Calibri"/>
                <w:color w:val="000000"/>
                <w:sz w:val="22"/>
              </w:rPr>
              <w:t>1941-48</w:t>
            </w:r>
          </w:p>
        </w:tc>
        <w:tc>
          <w:tcPr>
            <w:tcW w:w="976" w:type="dxa"/>
            <w:tcBorders>
              <w:top w:val="nil"/>
              <w:left w:val="nil"/>
              <w:bottom w:val="nil"/>
              <w:right w:val="nil"/>
            </w:tcBorders>
            <w:shd w:val="clear" w:color="auto" w:fill="auto"/>
            <w:noWrap/>
            <w:vAlign w:val="bottom"/>
            <w:hideMark/>
          </w:tcPr>
          <w:p w14:paraId="76B5EB6C" w14:textId="77777777" w:rsidR="002F53B7" w:rsidRPr="00526B15" w:rsidRDefault="002F53B7" w:rsidP="002F53B7">
            <w:pPr>
              <w:spacing w:after="0" w:line="240" w:lineRule="auto"/>
              <w:jc w:val="center"/>
              <w:rPr>
                <w:rFonts w:ascii="Calibri" w:eastAsia="Times New Roman" w:hAnsi="Calibri" w:cs="Calibri"/>
                <w:color w:val="000000"/>
                <w:sz w:val="22"/>
              </w:rPr>
            </w:pPr>
          </w:p>
        </w:tc>
        <w:tc>
          <w:tcPr>
            <w:tcW w:w="976" w:type="dxa"/>
            <w:gridSpan w:val="2"/>
            <w:tcBorders>
              <w:top w:val="nil"/>
              <w:left w:val="nil"/>
              <w:bottom w:val="nil"/>
              <w:right w:val="nil"/>
            </w:tcBorders>
            <w:shd w:val="clear" w:color="auto" w:fill="auto"/>
            <w:noWrap/>
            <w:vAlign w:val="bottom"/>
            <w:hideMark/>
          </w:tcPr>
          <w:p w14:paraId="3C157F74"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1FC74A4D" w14:textId="77777777" w:rsidR="002F53B7" w:rsidRPr="00FA6DE8" w:rsidRDefault="002F53B7" w:rsidP="002F53B7">
            <w:pPr>
              <w:spacing w:after="0" w:line="240" w:lineRule="auto"/>
              <w:jc w:val="right"/>
              <w:rPr>
                <w:rFonts w:ascii="Calibri" w:eastAsia="Times New Roman" w:hAnsi="Calibri" w:cs="Calibri"/>
                <w:bCs/>
                <w:color w:val="000000"/>
                <w:sz w:val="22"/>
              </w:rPr>
            </w:pPr>
            <w:r w:rsidRPr="00FA6DE8">
              <w:rPr>
                <w:rFonts w:ascii="Calibri" w:eastAsia="Times New Roman" w:hAnsi="Calibri" w:cs="Calibri"/>
                <w:bCs/>
                <w:color w:val="000000"/>
                <w:sz w:val="22"/>
              </w:rPr>
              <w:t>0.0497</w:t>
            </w:r>
          </w:p>
        </w:tc>
        <w:tc>
          <w:tcPr>
            <w:tcW w:w="976" w:type="dxa"/>
            <w:gridSpan w:val="2"/>
            <w:tcBorders>
              <w:top w:val="nil"/>
              <w:left w:val="nil"/>
              <w:bottom w:val="nil"/>
              <w:right w:val="nil"/>
            </w:tcBorders>
            <w:shd w:val="clear" w:color="auto" w:fill="auto"/>
            <w:noWrap/>
            <w:vAlign w:val="bottom"/>
            <w:hideMark/>
          </w:tcPr>
          <w:p w14:paraId="3B7A388D" w14:textId="77777777" w:rsidR="002F53B7" w:rsidRPr="00526B15" w:rsidRDefault="002F53B7" w:rsidP="002F53B7">
            <w:pPr>
              <w:spacing w:after="0" w:line="240" w:lineRule="auto"/>
              <w:jc w:val="right"/>
              <w:rPr>
                <w:rFonts w:ascii="Calibri" w:eastAsia="Times New Roman" w:hAnsi="Calibri" w:cs="Calibri"/>
                <w:b/>
                <w:bCs/>
                <w:color w:val="000000"/>
                <w:sz w:val="22"/>
              </w:rPr>
            </w:pPr>
          </w:p>
        </w:tc>
        <w:tc>
          <w:tcPr>
            <w:tcW w:w="976" w:type="dxa"/>
            <w:gridSpan w:val="2"/>
            <w:tcBorders>
              <w:top w:val="nil"/>
              <w:left w:val="nil"/>
              <w:bottom w:val="nil"/>
              <w:right w:val="nil"/>
            </w:tcBorders>
            <w:shd w:val="clear" w:color="auto" w:fill="auto"/>
            <w:noWrap/>
            <w:vAlign w:val="bottom"/>
            <w:hideMark/>
          </w:tcPr>
          <w:p w14:paraId="5AD84520"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35E0B68A" w14:textId="77777777" w:rsidR="002F53B7" w:rsidRPr="00526B15" w:rsidRDefault="002F53B7" w:rsidP="002F53B7">
            <w:pPr>
              <w:spacing w:after="0" w:line="240" w:lineRule="auto"/>
              <w:rPr>
                <w:rFonts w:eastAsia="Times New Roman" w:cs="Times New Roman"/>
                <w:sz w:val="20"/>
                <w:szCs w:val="20"/>
              </w:rPr>
            </w:pPr>
          </w:p>
        </w:tc>
        <w:tc>
          <w:tcPr>
            <w:tcW w:w="976" w:type="dxa"/>
            <w:gridSpan w:val="3"/>
            <w:tcBorders>
              <w:top w:val="nil"/>
              <w:left w:val="nil"/>
              <w:bottom w:val="nil"/>
              <w:right w:val="nil"/>
            </w:tcBorders>
            <w:shd w:val="clear" w:color="auto" w:fill="auto"/>
            <w:noWrap/>
            <w:vAlign w:val="bottom"/>
            <w:hideMark/>
          </w:tcPr>
          <w:p w14:paraId="08C7A4C7" w14:textId="77777777" w:rsidR="002F53B7" w:rsidRPr="00FA6DE8" w:rsidRDefault="002F53B7" w:rsidP="002F53B7">
            <w:pPr>
              <w:spacing w:after="0" w:line="240" w:lineRule="auto"/>
              <w:jc w:val="right"/>
              <w:rPr>
                <w:rFonts w:ascii="Calibri" w:eastAsia="Times New Roman" w:hAnsi="Calibri" w:cs="Calibri"/>
                <w:bCs/>
                <w:color w:val="000000"/>
                <w:sz w:val="22"/>
              </w:rPr>
            </w:pPr>
            <w:r w:rsidRPr="00FA6DE8">
              <w:rPr>
                <w:rFonts w:ascii="Calibri" w:eastAsia="Times New Roman" w:hAnsi="Calibri" w:cs="Calibri"/>
                <w:bCs/>
                <w:color w:val="000000"/>
                <w:sz w:val="22"/>
              </w:rPr>
              <w:t>0.0274</w:t>
            </w:r>
          </w:p>
        </w:tc>
        <w:tc>
          <w:tcPr>
            <w:tcW w:w="976" w:type="dxa"/>
            <w:gridSpan w:val="2"/>
            <w:tcBorders>
              <w:top w:val="nil"/>
              <w:left w:val="nil"/>
              <w:bottom w:val="nil"/>
              <w:right w:val="nil"/>
            </w:tcBorders>
            <w:shd w:val="clear" w:color="auto" w:fill="auto"/>
            <w:noWrap/>
            <w:vAlign w:val="bottom"/>
            <w:hideMark/>
          </w:tcPr>
          <w:p w14:paraId="6E091532" w14:textId="77777777" w:rsidR="002F53B7" w:rsidRPr="00526B15" w:rsidRDefault="002F53B7" w:rsidP="002F53B7">
            <w:pPr>
              <w:spacing w:after="0" w:line="240" w:lineRule="auto"/>
              <w:jc w:val="right"/>
              <w:rPr>
                <w:rFonts w:ascii="Calibri" w:eastAsia="Times New Roman" w:hAnsi="Calibri" w:cs="Calibri"/>
                <w:color w:val="000000"/>
                <w:sz w:val="22"/>
              </w:rPr>
            </w:pPr>
            <w:r w:rsidRPr="00526B15">
              <w:rPr>
                <w:rFonts w:ascii="Calibri" w:eastAsia="Times New Roman" w:hAnsi="Calibri" w:cs="Calibri"/>
                <w:color w:val="000000"/>
                <w:sz w:val="22"/>
              </w:rPr>
              <w:t>-0.0054</w:t>
            </w:r>
          </w:p>
        </w:tc>
        <w:tc>
          <w:tcPr>
            <w:tcW w:w="1015" w:type="dxa"/>
            <w:tcBorders>
              <w:top w:val="nil"/>
              <w:left w:val="nil"/>
              <w:bottom w:val="nil"/>
              <w:right w:val="nil"/>
            </w:tcBorders>
            <w:shd w:val="clear" w:color="auto" w:fill="auto"/>
            <w:noWrap/>
            <w:vAlign w:val="bottom"/>
            <w:hideMark/>
          </w:tcPr>
          <w:p w14:paraId="6D7F1420" w14:textId="77777777" w:rsidR="002F53B7" w:rsidRPr="00526B15" w:rsidRDefault="002F53B7" w:rsidP="002F53B7">
            <w:pPr>
              <w:spacing w:after="0" w:line="240" w:lineRule="auto"/>
              <w:jc w:val="right"/>
              <w:rPr>
                <w:rFonts w:ascii="Calibri" w:eastAsia="Times New Roman" w:hAnsi="Calibri" w:cs="Calibri"/>
                <w:color w:val="000000"/>
                <w:sz w:val="22"/>
              </w:rPr>
            </w:pPr>
            <w:r w:rsidRPr="00526B15">
              <w:rPr>
                <w:rFonts w:ascii="Calibri" w:eastAsia="Times New Roman" w:hAnsi="Calibri" w:cs="Calibri"/>
                <w:color w:val="000000"/>
                <w:sz w:val="22"/>
              </w:rPr>
              <w:t>-0.0088</w:t>
            </w:r>
          </w:p>
        </w:tc>
        <w:tc>
          <w:tcPr>
            <w:tcW w:w="976" w:type="dxa"/>
            <w:gridSpan w:val="2"/>
            <w:tcBorders>
              <w:top w:val="nil"/>
              <w:left w:val="nil"/>
              <w:bottom w:val="nil"/>
              <w:right w:val="nil"/>
            </w:tcBorders>
            <w:shd w:val="clear" w:color="auto" w:fill="auto"/>
            <w:noWrap/>
            <w:vAlign w:val="bottom"/>
            <w:hideMark/>
          </w:tcPr>
          <w:p w14:paraId="3F33FE4B" w14:textId="77777777" w:rsidR="002F53B7" w:rsidRPr="00FA6DE8" w:rsidRDefault="002F53B7" w:rsidP="002F53B7">
            <w:pPr>
              <w:spacing w:after="0" w:line="240" w:lineRule="auto"/>
              <w:jc w:val="right"/>
              <w:rPr>
                <w:rFonts w:ascii="Calibri" w:eastAsia="Times New Roman" w:hAnsi="Calibri" w:cs="Calibri"/>
                <w:bCs/>
                <w:color w:val="000000"/>
                <w:sz w:val="22"/>
              </w:rPr>
            </w:pPr>
            <w:r w:rsidRPr="00FA6DE8">
              <w:rPr>
                <w:rFonts w:ascii="Calibri" w:eastAsia="Times New Roman" w:hAnsi="Calibri" w:cs="Calibri"/>
                <w:bCs/>
                <w:color w:val="000000"/>
                <w:sz w:val="22"/>
              </w:rPr>
              <w:t>-0.0068</w:t>
            </w:r>
          </w:p>
        </w:tc>
        <w:tc>
          <w:tcPr>
            <w:tcW w:w="976" w:type="dxa"/>
            <w:gridSpan w:val="2"/>
            <w:tcBorders>
              <w:top w:val="nil"/>
              <w:left w:val="nil"/>
              <w:bottom w:val="nil"/>
              <w:right w:val="nil"/>
            </w:tcBorders>
            <w:shd w:val="clear" w:color="auto" w:fill="auto"/>
            <w:noWrap/>
            <w:vAlign w:val="bottom"/>
            <w:hideMark/>
          </w:tcPr>
          <w:p w14:paraId="48AF6806" w14:textId="77777777" w:rsidR="002F53B7" w:rsidRPr="00526B15" w:rsidRDefault="002F53B7" w:rsidP="002F53B7">
            <w:pPr>
              <w:spacing w:after="0" w:line="240" w:lineRule="auto"/>
              <w:jc w:val="right"/>
              <w:rPr>
                <w:rFonts w:ascii="Calibri" w:eastAsia="Times New Roman" w:hAnsi="Calibri" w:cs="Calibri"/>
                <w:color w:val="000000"/>
                <w:sz w:val="22"/>
              </w:rPr>
            </w:pPr>
            <w:r w:rsidRPr="00526B15">
              <w:rPr>
                <w:rFonts w:ascii="Calibri" w:eastAsia="Times New Roman" w:hAnsi="Calibri" w:cs="Calibri"/>
                <w:color w:val="000000"/>
                <w:sz w:val="22"/>
              </w:rPr>
              <w:t>0.0223</w:t>
            </w:r>
          </w:p>
        </w:tc>
        <w:tc>
          <w:tcPr>
            <w:tcW w:w="976" w:type="dxa"/>
            <w:gridSpan w:val="2"/>
            <w:tcBorders>
              <w:top w:val="nil"/>
              <w:left w:val="nil"/>
              <w:bottom w:val="nil"/>
              <w:right w:val="nil"/>
            </w:tcBorders>
            <w:shd w:val="clear" w:color="auto" w:fill="auto"/>
            <w:noWrap/>
            <w:vAlign w:val="bottom"/>
            <w:hideMark/>
          </w:tcPr>
          <w:p w14:paraId="0C3693C9" w14:textId="77777777" w:rsidR="002F53B7" w:rsidRPr="00FA6DE8" w:rsidRDefault="002F53B7" w:rsidP="002F53B7">
            <w:pPr>
              <w:spacing w:after="0" w:line="240" w:lineRule="auto"/>
              <w:jc w:val="right"/>
              <w:rPr>
                <w:rFonts w:ascii="Calibri" w:eastAsia="Times New Roman" w:hAnsi="Calibri" w:cs="Calibri"/>
                <w:b/>
                <w:color w:val="000000"/>
                <w:sz w:val="22"/>
              </w:rPr>
            </w:pPr>
            <w:r w:rsidRPr="00FA6DE8">
              <w:rPr>
                <w:rFonts w:ascii="Calibri" w:eastAsia="Times New Roman" w:hAnsi="Calibri" w:cs="Calibri"/>
                <w:b/>
                <w:color w:val="000000"/>
                <w:sz w:val="22"/>
              </w:rPr>
              <w:t>0.0326</w:t>
            </w:r>
          </w:p>
        </w:tc>
      </w:tr>
      <w:tr w:rsidR="002F53B7" w:rsidRPr="00526B15" w14:paraId="0EB590E9" w14:textId="77777777" w:rsidTr="00730CB1">
        <w:tblPrEx>
          <w:tblCellMar>
            <w:left w:w="108" w:type="dxa"/>
            <w:right w:w="108" w:type="dxa"/>
          </w:tblCellMar>
        </w:tblPrEx>
        <w:trPr>
          <w:trHeight w:val="290"/>
        </w:trPr>
        <w:tc>
          <w:tcPr>
            <w:tcW w:w="976" w:type="dxa"/>
            <w:tcBorders>
              <w:top w:val="nil"/>
              <w:left w:val="nil"/>
              <w:bottom w:val="nil"/>
              <w:right w:val="nil"/>
            </w:tcBorders>
            <w:shd w:val="clear" w:color="auto" w:fill="auto"/>
            <w:noWrap/>
            <w:vAlign w:val="bottom"/>
            <w:hideMark/>
          </w:tcPr>
          <w:p w14:paraId="64FAFAA2" w14:textId="77777777" w:rsidR="002F53B7" w:rsidRPr="00526B15"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0B6DFB89"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155772B7"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56D895F2"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4DFD38FC"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067FEDBF"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74D075D3" w14:textId="77777777" w:rsidR="002F53B7" w:rsidRPr="00526B15" w:rsidRDefault="002F53B7" w:rsidP="002F53B7">
            <w:pPr>
              <w:spacing w:after="0" w:line="240" w:lineRule="auto"/>
              <w:rPr>
                <w:rFonts w:eastAsia="Times New Roman" w:cs="Times New Roman"/>
                <w:sz w:val="20"/>
                <w:szCs w:val="20"/>
              </w:rPr>
            </w:pPr>
          </w:p>
        </w:tc>
        <w:tc>
          <w:tcPr>
            <w:tcW w:w="976" w:type="dxa"/>
            <w:gridSpan w:val="3"/>
            <w:tcBorders>
              <w:top w:val="nil"/>
              <w:left w:val="nil"/>
              <w:bottom w:val="nil"/>
              <w:right w:val="nil"/>
            </w:tcBorders>
            <w:shd w:val="clear" w:color="auto" w:fill="auto"/>
            <w:noWrap/>
            <w:vAlign w:val="bottom"/>
            <w:hideMark/>
          </w:tcPr>
          <w:p w14:paraId="7C451DC1"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029369EE" w14:textId="77777777" w:rsidR="002F53B7" w:rsidRPr="00526B15" w:rsidRDefault="002F53B7" w:rsidP="002F53B7">
            <w:pPr>
              <w:spacing w:after="0" w:line="240" w:lineRule="auto"/>
              <w:rPr>
                <w:rFonts w:eastAsia="Times New Roman" w:cs="Times New Roman"/>
                <w:sz w:val="20"/>
                <w:szCs w:val="20"/>
              </w:rPr>
            </w:pPr>
          </w:p>
        </w:tc>
        <w:tc>
          <w:tcPr>
            <w:tcW w:w="1015" w:type="dxa"/>
            <w:tcBorders>
              <w:top w:val="nil"/>
              <w:left w:val="nil"/>
              <w:bottom w:val="nil"/>
              <w:right w:val="nil"/>
            </w:tcBorders>
            <w:shd w:val="clear" w:color="auto" w:fill="auto"/>
            <w:noWrap/>
            <w:vAlign w:val="bottom"/>
            <w:hideMark/>
          </w:tcPr>
          <w:p w14:paraId="6C5389D4"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5BDB76F6"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0D6FB055"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10CC751D" w14:textId="77777777" w:rsidR="002F53B7" w:rsidRPr="00526B15" w:rsidRDefault="002F53B7" w:rsidP="002F53B7">
            <w:pPr>
              <w:spacing w:after="0" w:line="240" w:lineRule="auto"/>
              <w:rPr>
                <w:rFonts w:eastAsia="Times New Roman" w:cs="Times New Roman"/>
                <w:sz w:val="20"/>
                <w:szCs w:val="20"/>
              </w:rPr>
            </w:pPr>
          </w:p>
        </w:tc>
      </w:tr>
      <w:tr w:rsidR="002F53B7" w:rsidRPr="00526B15" w14:paraId="3F545192" w14:textId="77777777" w:rsidTr="00730CB1">
        <w:tblPrEx>
          <w:tblCellMar>
            <w:left w:w="108" w:type="dxa"/>
            <w:right w:w="108" w:type="dxa"/>
          </w:tblCellMar>
        </w:tblPrEx>
        <w:trPr>
          <w:trHeight w:val="290"/>
        </w:trPr>
        <w:tc>
          <w:tcPr>
            <w:tcW w:w="976" w:type="dxa"/>
            <w:tcBorders>
              <w:top w:val="nil"/>
              <w:left w:val="nil"/>
              <w:bottom w:val="nil"/>
              <w:right w:val="nil"/>
            </w:tcBorders>
            <w:shd w:val="clear" w:color="auto" w:fill="auto"/>
            <w:noWrap/>
            <w:vAlign w:val="bottom"/>
            <w:hideMark/>
          </w:tcPr>
          <w:p w14:paraId="6684F709" w14:textId="77777777" w:rsidR="002F53B7" w:rsidRPr="00526B15"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605FD8C"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7EDC9F33"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70D46255"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1ECD4BFF"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44E92584"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3F51156A" w14:textId="77777777" w:rsidR="002F53B7" w:rsidRPr="00526B15" w:rsidRDefault="002F53B7" w:rsidP="002F53B7">
            <w:pPr>
              <w:spacing w:after="0" w:line="240" w:lineRule="auto"/>
              <w:rPr>
                <w:rFonts w:eastAsia="Times New Roman" w:cs="Times New Roman"/>
                <w:sz w:val="20"/>
                <w:szCs w:val="20"/>
              </w:rPr>
            </w:pPr>
          </w:p>
        </w:tc>
        <w:tc>
          <w:tcPr>
            <w:tcW w:w="976" w:type="dxa"/>
            <w:gridSpan w:val="3"/>
            <w:tcBorders>
              <w:top w:val="nil"/>
              <w:left w:val="nil"/>
              <w:bottom w:val="nil"/>
              <w:right w:val="nil"/>
            </w:tcBorders>
            <w:shd w:val="clear" w:color="auto" w:fill="auto"/>
            <w:noWrap/>
            <w:vAlign w:val="bottom"/>
            <w:hideMark/>
          </w:tcPr>
          <w:p w14:paraId="24AF62E5"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7771A76E" w14:textId="77777777" w:rsidR="002F53B7" w:rsidRPr="00526B15" w:rsidRDefault="002F53B7" w:rsidP="002F53B7">
            <w:pPr>
              <w:spacing w:after="0" w:line="240" w:lineRule="auto"/>
              <w:rPr>
                <w:rFonts w:eastAsia="Times New Roman" w:cs="Times New Roman"/>
                <w:sz w:val="20"/>
                <w:szCs w:val="20"/>
              </w:rPr>
            </w:pPr>
          </w:p>
        </w:tc>
        <w:tc>
          <w:tcPr>
            <w:tcW w:w="1015" w:type="dxa"/>
            <w:tcBorders>
              <w:top w:val="nil"/>
              <w:left w:val="nil"/>
              <w:bottom w:val="nil"/>
              <w:right w:val="nil"/>
            </w:tcBorders>
            <w:shd w:val="clear" w:color="auto" w:fill="auto"/>
            <w:noWrap/>
            <w:vAlign w:val="bottom"/>
            <w:hideMark/>
          </w:tcPr>
          <w:p w14:paraId="5E3128A9"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1EF1C56C"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3C2F7489"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03967D5F" w14:textId="77777777" w:rsidR="002F53B7" w:rsidRPr="00526B15" w:rsidRDefault="002F53B7" w:rsidP="002F53B7">
            <w:pPr>
              <w:spacing w:after="0" w:line="240" w:lineRule="auto"/>
              <w:rPr>
                <w:rFonts w:eastAsia="Times New Roman" w:cs="Times New Roman"/>
                <w:sz w:val="20"/>
                <w:szCs w:val="20"/>
              </w:rPr>
            </w:pPr>
          </w:p>
        </w:tc>
      </w:tr>
      <w:tr w:rsidR="002F53B7" w:rsidRPr="00526B15" w14:paraId="6F1085FF" w14:textId="77777777" w:rsidTr="00730CB1">
        <w:tblPrEx>
          <w:tblCellMar>
            <w:left w:w="108" w:type="dxa"/>
            <w:right w:w="108" w:type="dxa"/>
          </w:tblCellMar>
        </w:tblPrEx>
        <w:trPr>
          <w:trHeight w:val="290"/>
        </w:trPr>
        <w:tc>
          <w:tcPr>
            <w:tcW w:w="4880" w:type="dxa"/>
            <w:gridSpan w:val="8"/>
            <w:tcBorders>
              <w:top w:val="nil"/>
              <w:left w:val="nil"/>
              <w:bottom w:val="nil"/>
              <w:right w:val="nil"/>
            </w:tcBorders>
            <w:shd w:val="clear" w:color="auto" w:fill="auto"/>
            <w:noWrap/>
            <w:vAlign w:val="bottom"/>
            <w:hideMark/>
          </w:tcPr>
          <w:p w14:paraId="20CA2063" w14:textId="77777777" w:rsidR="002F53B7" w:rsidRPr="00526B15" w:rsidRDefault="002F53B7" w:rsidP="002F53B7">
            <w:pPr>
              <w:spacing w:after="0" w:line="240" w:lineRule="auto"/>
              <w:rPr>
                <w:rFonts w:ascii="Calibri" w:eastAsia="Times New Roman" w:hAnsi="Calibri" w:cs="Calibri"/>
                <w:color w:val="000000"/>
                <w:sz w:val="22"/>
              </w:rPr>
            </w:pPr>
            <w:r w:rsidRPr="00526B15">
              <w:rPr>
                <w:rFonts w:ascii="Calibri" w:eastAsia="Times New Roman" w:hAnsi="Calibri" w:cs="Calibri"/>
                <w:color w:val="000000"/>
                <w:sz w:val="22"/>
              </w:rPr>
              <w:t>Sources:   US Department of Commerce, 1966</w:t>
            </w:r>
          </w:p>
        </w:tc>
        <w:tc>
          <w:tcPr>
            <w:tcW w:w="976" w:type="dxa"/>
            <w:gridSpan w:val="2"/>
            <w:tcBorders>
              <w:top w:val="nil"/>
              <w:left w:val="nil"/>
              <w:bottom w:val="nil"/>
              <w:right w:val="nil"/>
            </w:tcBorders>
            <w:shd w:val="clear" w:color="auto" w:fill="auto"/>
            <w:noWrap/>
            <w:vAlign w:val="bottom"/>
            <w:hideMark/>
          </w:tcPr>
          <w:p w14:paraId="05494159" w14:textId="77777777" w:rsidR="002F53B7" w:rsidRPr="00526B15" w:rsidRDefault="002F53B7" w:rsidP="002F53B7">
            <w:pPr>
              <w:spacing w:after="0" w:line="240" w:lineRule="auto"/>
              <w:rPr>
                <w:rFonts w:ascii="Calibri" w:eastAsia="Times New Roman" w:hAnsi="Calibri" w:cs="Calibri"/>
                <w:color w:val="000000"/>
                <w:sz w:val="22"/>
              </w:rPr>
            </w:pPr>
          </w:p>
        </w:tc>
        <w:tc>
          <w:tcPr>
            <w:tcW w:w="976" w:type="dxa"/>
            <w:gridSpan w:val="2"/>
            <w:tcBorders>
              <w:top w:val="nil"/>
              <w:left w:val="nil"/>
              <w:bottom w:val="nil"/>
              <w:right w:val="nil"/>
            </w:tcBorders>
            <w:shd w:val="clear" w:color="auto" w:fill="auto"/>
            <w:noWrap/>
            <w:vAlign w:val="bottom"/>
            <w:hideMark/>
          </w:tcPr>
          <w:p w14:paraId="665C9C77" w14:textId="77777777" w:rsidR="002F53B7" w:rsidRPr="00526B15" w:rsidRDefault="002F53B7" w:rsidP="002F53B7">
            <w:pPr>
              <w:spacing w:after="0" w:line="240" w:lineRule="auto"/>
              <w:rPr>
                <w:rFonts w:eastAsia="Times New Roman" w:cs="Times New Roman"/>
                <w:sz w:val="20"/>
                <w:szCs w:val="20"/>
              </w:rPr>
            </w:pPr>
          </w:p>
        </w:tc>
        <w:tc>
          <w:tcPr>
            <w:tcW w:w="976" w:type="dxa"/>
            <w:gridSpan w:val="3"/>
            <w:tcBorders>
              <w:top w:val="nil"/>
              <w:left w:val="nil"/>
              <w:bottom w:val="nil"/>
              <w:right w:val="nil"/>
            </w:tcBorders>
            <w:shd w:val="clear" w:color="auto" w:fill="auto"/>
            <w:noWrap/>
            <w:vAlign w:val="bottom"/>
            <w:hideMark/>
          </w:tcPr>
          <w:p w14:paraId="09EB76B9"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2936437E" w14:textId="77777777" w:rsidR="002F53B7" w:rsidRPr="00526B15" w:rsidRDefault="002F53B7" w:rsidP="002F53B7">
            <w:pPr>
              <w:spacing w:after="0" w:line="240" w:lineRule="auto"/>
              <w:rPr>
                <w:rFonts w:eastAsia="Times New Roman" w:cs="Times New Roman"/>
                <w:sz w:val="20"/>
                <w:szCs w:val="20"/>
              </w:rPr>
            </w:pPr>
          </w:p>
        </w:tc>
        <w:tc>
          <w:tcPr>
            <w:tcW w:w="1015" w:type="dxa"/>
            <w:tcBorders>
              <w:top w:val="nil"/>
              <w:left w:val="nil"/>
              <w:bottom w:val="nil"/>
              <w:right w:val="nil"/>
            </w:tcBorders>
            <w:shd w:val="clear" w:color="auto" w:fill="auto"/>
            <w:noWrap/>
            <w:vAlign w:val="bottom"/>
            <w:hideMark/>
          </w:tcPr>
          <w:p w14:paraId="21C7F9AA"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0FC1ADC7"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1434558E"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36C2ED25" w14:textId="77777777" w:rsidR="002F53B7" w:rsidRPr="00526B15" w:rsidRDefault="002F53B7" w:rsidP="002F53B7">
            <w:pPr>
              <w:spacing w:after="0" w:line="240" w:lineRule="auto"/>
              <w:rPr>
                <w:rFonts w:eastAsia="Times New Roman" w:cs="Times New Roman"/>
                <w:sz w:val="20"/>
                <w:szCs w:val="20"/>
              </w:rPr>
            </w:pPr>
          </w:p>
        </w:tc>
      </w:tr>
      <w:tr w:rsidR="002F53B7" w:rsidRPr="00526B15" w14:paraId="630B23CC" w14:textId="77777777" w:rsidTr="00730CB1">
        <w:tblPrEx>
          <w:tblCellMar>
            <w:left w:w="108" w:type="dxa"/>
            <w:right w:w="108" w:type="dxa"/>
          </w:tblCellMar>
        </w:tblPrEx>
        <w:trPr>
          <w:trHeight w:val="290"/>
        </w:trPr>
        <w:tc>
          <w:tcPr>
            <w:tcW w:w="976" w:type="dxa"/>
            <w:tcBorders>
              <w:top w:val="nil"/>
              <w:left w:val="nil"/>
              <w:bottom w:val="nil"/>
              <w:right w:val="nil"/>
            </w:tcBorders>
            <w:shd w:val="clear" w:color="auto" w:fill="auto"/>
            <w:noWrap/>
            <w:vAlign w:val="bottom"/>
            <w:hideMark/>
          </w:tcPr>
          <w:p w14:paraId="67F17481" w14:textId="77777777" w:rsidR="002F53B7" w:rsidRPr="00526B15" w:rsidRDefault="002F53B7" w:rsidP="002F53B7">
            <w:pPr>
              <w:spacing w:after="0" w:line="240" w:lineRule="auto"/>
              <w:rPr>
                <w:rFonts w:eastAsia="Times New Roman" w:cs="Times New Roman"/>
                <w:sz w:val="20"/>
                <w:szCs w:val="20"/>
              </w:rPr>
            </w:pPr>
          </w:p>
        </w:tc>
        <w:tc>
          <w:tcPr>
            <w:tcW w:w="4880" w:type="dxa"/>
            <w:gridSpan w:val="9"/>
            <w:tcBorders>
              <w:top w:val="nil"/>
              <w:left w:val="nil"/>
              <w:bottom w:val="nil"/>
              <w:right w:val="nil"/>
            </w:tcBorders>
            <w:shd w:val="clear" w:color="auto" w:fill="auto"/>
            <w:noWrap/>
            <w:vAlign w:val="bottom"/>
            <w:hideMark/>
          </w:tcPr>
          <w:p w14:paraId="350F7638" w14:textId="77777777" w:rsidR="002F53B7" w:rsidRPr="00526B15" w:rsidRDefault="002F53B7" w:rsidP="002F53B7">
            <w:pPr>
              <w:spacing w:after="0" w:line="240" w:lineRule="auto"/>
              <w:rPr>
                <w:rFonts w:ascii="Calibri" w:eastAsia="Times New Roman" w:hAnsi="Calibri" w:cs="Calibri"/>
                <w:color w:val="000000"/>
                <w:sz w:val="22"/>
              </w:rPr>
            </w:pPr>
            <w:r w:rsidRPr="00526B15">
              <w:rPr>
                <w:rFonts w:ascii="Calibri" w:eastAsia="Times New Roman" w:hAnsi="Calibri" w:cs="Calibri"/>
                <w:color w:val="000000"/>
                <w:sz w:val="22"/>
              </w:rPr>
              <w:t>BEA NIPA Table 6.5A; F</w:t>
            </w:r>
            <w:r>
              <w:rPr>
                <w:rFonts w:ascii="Calibri" w:eastAsia="Times New Roman" w:hAnsi="Calibri" w:cs="Calibri"/>
                <w:color w:val="000000"/>
                <w:sz w:val="22"/>
              </w:rPr>
              <w:t>ixed Asset Tables</w:t>
            </w:r>
            <w:r w:rsidRPr="00526B15">
              <w:rPr>
                <w:rFonts w:ascii="Calibri" w:eastAsia="Times New Roman" w:hAnsi="Calibri" w:cs="Calibri"/>
                <w:color w:val="000000"/>
                <w:sz w:val="22"/>
              </w:rPr>
              <w:t xml:space="preserve"> 2.1 and 2.</w:t>
            </w:r>
            <w:r>
              <w:rPr>
                <w:rFonts w:ascii="Calibri" w:eastAsia="Times New Roman" w:hAnsi="Calibri" w:cs="Calibri"/>
                <w:color w:val="000000"/>
                <w:sz w:val="22"/>
              </w:rPr>
              <w:t>2</w:t>
            </w:r>
          </w:p>
        </w:tc>
        <w:tc>
          <w:tcPr>
            <w:tcW w:w="976" w:type="dxa"/>
            <w:gridSpan w:val="2"/>
            <w:tcBorders>
              <w:top w:val="nil"/>
              <w:left w:val="nil"/>
              <w:bottom w:val="nil"/>
              <w:right w:val="nil"/>
            </w:tcBorders>
            <w:shd w:val="clear" w:color="auto" w:fill="auto"/>
            <w:noWrap/>
            <w:vAlign w:val="bottom"/>
            <w:hideMark/>
          </w:tcPr>
          <w:p w14:paraId="2D3717C3" w14:textId="77777777" w:rsidR="002F53B7" w:rsidRPr="00526B15" w:rsidRDefault="002F53B7" w:rsidP="002F53B7">
            <w:pPr>
              <w:spacing w:after="0" w:line="240" w:lineRule="auto"/>
              <w:rPr>
                <w:rFonts w:ascii="Calibri" w:eastAsia="Times New Roman" w:hAnsi="Calibri" w:cs="Calibri"/>
                <w:color w:val="000000"/>
                <w:sz w:val="22"/>
              </w:rPr>
            </w:pPr>
          </w:p>
        </w:tc>
        <w:tc>
          <w:tcPr>
            <w:tcW w:w="976" w:type="dxa"/>
            <w:gridSpan w:val="3"/>
            <w:tcBorders>
              <w:top w:val="nil"/>
              <w:left w:val="nil"/>
              <w:bottom w:val="nil"/>
              <w:right w:val="nil"/>
            </w:tcBorders>
            <w:shd w:val="clear" w:color="auto" w:fill="auto"/>
            <w:noWrap/>
            <w:vAlign w:val="bottom"/>
            <w:hideMark/>
          </w:tcPr>
          <w:p w14:paraId="35977061"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0DBEF93B" w14:textId="77777777" w:rsidR="002F53B7" w:rsidRPr="00526B15" w:rsidRDefault="002F53B7" w:rsidP="002F53B7">
            <w:pPr>
              <w:spacing w:after="0" w:line="240" w:lineRule="auto"/>
              <w:rPr>
                <w:rFonts w:eastAsia="Times New Roman" w:cs="Times New Roman"/>
                <w:sz w:val="20"/>
                <w:szCs w:val="20"/>
              </w:rPr>
            </w:pPr>
          </w:p>
        </w:tc>
        <w:tc>
          <w:tcPr>
            <w:tcW w:w="1015" w:type="dxa"/>
            <w:tcBorders>
              <w:top w:val="nil"/>
              <w:left w:val="nil"/>
              <w:bottom w:val="nil"/>
              <w:right w:val="nil"/>
            </w:tcBorders>
            <w:shd w:val="clear" w:color="auto" w:fill="auto"/>
            <w:noWrap/>
            <w:vAlign w:val="bottom"/>
            <w:hideMark/>
          </w:tcPr>
          <w:p w14:paraId="726C048D"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34F7974D"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1974250A"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17BDAFBA" w14:textId="77777777" w:rsidR="002F53B7" w:rsidRPr="00526B15" w:rsidRDefault="002F53B7" w:rsidP="002F53B7">
            <w:pPr>
              <w:spacing w:after="0" w:line="240" w:lineRule="auto"/>
              <w:rPr>
                <w:rFonts w:eastAsia="Times New Roman" w:cs="Times New Roman"/>
                <w:sz w:val="20"/>
                <w:szCs w:val="20"/>
              </w:rPr>
            </w:pPr>
          </w:p>
        </w:tc>
      </w:tr>
      <w:tr w:rsidR="002F53B7" w:rsidRPr="00526B15" w14:paraId="198CBA8A" w14:textId="77777777" w:rsidTr="00730CB1">
        <w:tblPrEx>
          <w:tblCellMar>
            <w:left w:w="108" w:type="dxa"/>
            <w:right w:w="108" w:type="dxa"/>
          </w:tblCellMar>
        </w:tblPrEx>
        <w:trPr>
          <w:trHeight w:val="290"/>
        </w:trPr>
        <w:tc>
          <w:tcPr>
            <w:tcW w:w="976" w:type="dxa"/>
            <w:tcBorders>
              <w:top w:val="nil"/>
              <w:left w:val="nil"/>
              <w:bottom w:val="nil"/>
              <w:right w:val="nil"/>
            </w:tcBorders>
            <w:shd w:val="clear" w:color="auto" w:fill="auto"/>
            <w:noWrap/>
            <w:vAlign w:val="bottom"/>
            <w:hideMark/>
          </w:tcPr>
          <w:p w14:paraId="3D692FE9" w14:textId="77777777" w:rsidR="002F53B7" w:rsidRPr="00526B15" w:rsidRDefault="002F53B7" w:rsidP="002F53B7">
            <w:pPr>
              <w:spacing w:after="0" w:line="240" w:lineRule="auto"/>
              <w:rPr>
                <w:rFonts w:eastAsia="Times New Roman" w:cs="Times New Roman"/>
                <w:sz w:val="20"/>
                <w:szCs w:val="20"/>
              </w:rPr>
            </w:pPr>
          </w:p>
        </w:tc>
        <w:tc>
          <w:tcPr>
            <w:tcW w:w="1952" w:type="dxa"/>
            <w:gridSpan w:val="3"/>
            <w:tcBorders>
              <w:top w:val="nil"/>
              <w:left w:val="nil"/>
              <w:bottom w:val="nil"/>
              <w:right w:val="nil"/>
            </w:tcBorders>
            <w:shd w:val="clear" w:color="auto" w:fill="auto"/>
            <w:noWrap/>
            <w:vAlign w:val="bottom"/>
            <w:hideMark/>
          </w:tcPr>
          <w:p w14:paraId="075FDF94" w14:textId="77777777" w:rsidR="002F53B7" w:rsidRPr="00526B15" w:rsidRDefault="002F53B7" w:rsidP="002F53B7">
            <w:pPr>
              <w:spacing w:after="0" w:line="240" w:lineRule="auto"/>
              <w:rPr>
                <w:rFonts w:ascii="Calibri" w:eastAsia="Times New Roman" w:hAnsi="Calibri" w:cs="Calibri"/>
                <w:color w:val="000000"/>
                <w:sz w:val="22"/>
              </w:rPr>
            </w:pPr>
            <w:r>
              <w:rPr>
                <w:rFonts w:ascii="Calibri" w:eastAsia="Times New Roman" w:hAnsi="Calibri" w:cs="Calibri"/>
                <w:color w:val="000000"/>
                <w:sz w:val="22"/>
              </w:rPr>
              <w:t xml:space="preserve">HSUS </w:t>
            </w:r>
            <w:r w:rsidRPr="00526B15">
              <w:rPr>
                <w:rFonts w:ascii="Calibri" w:eastAsia="Times New Roman" w:hAnsi="Calibri" w:cs="Calibri"/>
                <w:color w:val="000000"/>
                <w:sz w:val="22"/>
              </w:rPr>
              <w:t>series BA</w:t>
            </w:r>
            <w:r>
              <w:rPr>
                <w:rFonts w:ascii="Calibri" w:eastAsia="Times New Roman" w:hAnsi="Calibri" w:cs="Calibri"/>
                <w:color w:val="000000"/>
                <w:sz w:val="22"/>
              </w:rPr>
              <w:t xml:space="preserve"> </w:t>
            </w:r>
            <w:r w:rsidRPr="00526B15">
              <w:rPr>
                <w:rFonts w:ascii="Calibri" w:eastAsia="Times New Roman" w:hAnsi="Calibri" w:cs="Calibri"/>
                <w:color w:val="000000"/>
                <w:sz w:val="22"/>
              </w:rPr>
              <w:t>4580</w:t>
            </w:r>
          </w:p>
        </w:tc>
        <w:tc>
          <w:tcPr>
            <w:tcW w:w="976" w:type="dxa"/>
            <w:gridSpan w:val="2"/>
            <w:tcBorders>
              <w:top w:val="nil"/>
              <w:left w:val="nil"/>
              <w:bottom w:val="nil"/>
              <w:right w:val="nil"/>
            </w:tcBorders>
            <w:shd w:val="clear" w:color="auto" w:fill="auto"/>
            <w:noWrap/>
            <w:vAlign w:val="bottom"/>
            <w:hideMark/>
          </w:tcPr>
          <w:p w14:paraId="0410F3C1" w14:textId="77777777" w:rsidR="002F53B7" w:rsidRPr="00526B15" w:rsidRDefault="002F53B7" w:rsidP="002F53B7">
            <w:pPr>
              <w:spacing w:after="0" w:line="240" w:lineRule="auto"/>
              <w:rPr>
                <w:rFonts w:ascii="Calibri" w:eastAsia="Times New Roman" w:hAnsi="Calibri" w:cs="Calibri"/>
                <w:color w:val="000000"/>
                <w:sz w:val="22"/>
              </w:rPr>
            </w:pPr>
          </w:p>
        </w:tc>
        <w:tc>
          <w:tcPr>
            <w:tcW w:w="976" w:type="dxa"/>
            <w:gridSpan w:val="2"/>
            <w:tcBorders>
              <w:top w:val="nil"/>
              <w:left w:val="nil"/>
              <w:bottom w:val="nil"/>
              <w:right w:val="nil"/>
            </w:tcBorders>
            <w:shd w:val="clear" w:color="auto" w:fill="auto"/>
            <w:noWrap/>
            <w:vAlign w:val="bottom"/>
            <w:hideMark/>
          </w:tcPr>
          <w:p w14:paraId="1963F56D"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2ACB26EC"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4EA0FAC8" w14:textId="77777777" w:rsidR="002F53B7" w:rsidRPr="00526B15" w:rsidRDefault="002F53B7" w:rsidP="002F53B7">
            <w:pPr>
              <w:spacing w:after="0" w:line="240" w:lineRule="auto"/>
              <w:rPr>
                <w:rFonts w:eastAsia="Times New Roman" w:cs="Times New Roman"/>
                <w:sz w:val="20"/>
                <w:szCs w:val="20"/>
              </w:rPr>
            </w:pPr>
          </w:p>
        </w:tc>
        <w:tc>
          <w:tcPr>
            <w:tcW w:w="976" w:type="dxa"/>
            <w:gridSpan w:val="3"/>
            <w:tcBorders>
              <w:top w:val="nil"/>
              <w:left w:val="nil"/>
              <w:bottom w:val="nil"/>
              <w:right w:val="nil"/>
            </w:tcBorders>
            <w:shd w:val="clear" w:color="auto" w:fill="auto"/>
            <w:noWrap/>
            <w:vAlign w:val="bottom"/>
            <w:hideMark/>
          </w:tcPr>
          <w:p w14:paraId="10C1BCB3"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7370E409" w14:textId="77777777" w:rsidR="002F53B7" w:rsidRPr="00526B15" w:rsidRDefault="002F53B7" w:rsidP="002F53B7">
            <w:pPr>
              <w:spacing w:after="0" w:line="240" w:lineRule="auto"/>
              <w:rPr>
                <w:rFonts w:eastAsia="Times New Roman" w:cs="Times New Roman"/>
                <w:sz w:val="20"/>
                <w:szCs w:val="20"/>
              </w:rPr>
            </w:pPr>
          </w:p>
        </w:tc>
        <w:tc>
          <w:tcPr>
            <w:tcW w:w="1015" w:type="dxa"/>
            <w:tcBorders>
              <w:top w:val="nil"/>
              <w:left w:val="nil"/>
              <w:bottom w:val="nil"/>
              <w:right w:val="nil"/>
            </w:tcBorders>
            <w:shd w:val="clear" w:color="auto" w:fill="auto"/>
            <w:noWrap/>
            <w:vAlign w:val="bottom"/>
            <w:hideMark/>
          </w:tcPr>
          <w:p w14:paraId="4CE91246"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246EDB93"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4BEA6F91"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7BC6ED5B" w14:textId="77777777" w:rsidR="002F53B7" w:rsidRPr="00526B15" w:rsidRDefault="002F53B7" w:rsidP="002F53B7">
            <w:pPr>
              <w:spacing w:after="0" w:line="240" w:lineRule="auto"/>
              <w:rPr>
                <w:rFonts w:eastAsia="Times New Roman" w:cs="Times New Roman"/>
                <w:sz w:val="20"/>
                <w:szCs w:val="20"/>
              </w:rPr>
            </w:pPr>
          </w:p>
        </w:tc>
      </w:tr>
      <w:tr w:rsidR="002F53B7" w:rsidRPr="00526B15" w14:paraId="5DDCAD2C" w14:textId="77777777" w:rsidTr="00730CB1">
        <w:tblPrEx>
          <w:tblCellMar>
            <w:left w:w="108" w:type="dxa"/>
            <w:right w:w="108" w:type="dxa"/>
          </w:tblCellMar>
        </w:tblPrEx>
        <w:trPr>
          <w:trHeight w:val="290"/>
        </w:trPr>
        <w:tc>
          <w:tcPr>
            <w:tcW w:w="976" w:type="dxa"/>
            <w:tcBorders>
              <w:top w:val="nil"/>
              <w:left w:val="nil"/>
              <w:bottom w:val="nil"/>
              <w:right w:val="nil"/>
            </w:tcBorders>
            <w:shd w:val="clear" w:color="auto" w:fill="auto"/>
            <w:noWrap/>
            <w:vAlign w:val="bottom"/>
            <w:hideMark/>
          </w:tcPr>
          <w:p w14:paraId="46DD0AFC" w14:textId="77777777" w:rsidR="002F53B7" w:rsidRPr="00526B15" w:rsidRDefault="002F53B7" w:rsidP="002F53B7">
            <w:pPr>
              <w:spacing w:after="0" w:line="240" w:lineRule="auto"/>
              <w:rPr>
                <w:rFonts w:eastAsia="Times New Roman" w:cs="Times New Roman"/>
                <w:sz w:val="20"/>
                <w:szCs w:val="20"/>
              </w:rPr>
            </w:pPr>
          </w:p>
        </w:tc>
        <w:tc>
          <w:tcPr>
            <w:tcW w:w="2928" w:type="dxa"/>
            <w:gridSpan w:val="5"/>
            <w:tcBorders>
              <w:top w:val="nil"/>
              <w:left w:val="nil"/>
              <w:bottom w:val="nil"/>
              <w:right w:val="nil"/>
            </w:tcBorders>
            <w:shd w:val="clear" w:color="auto" w:fill="auto"/>
            <w:noWrap/>
            <w:vAlign w:val="bottom"/>
            <w:hideMark/>
          </w:tcPr>
          <w:p w14:paraId="28FB50FF" w14:textId="77777777" w:rsidR="002F53B7" w:rsidRDefault="002F53B7" w:rsidP="002F53B7">
            <w:pPr>
              <w:spacing w:after="0" w:line="240" w:lineRule="auto"/>
              <w:rPr>
                <w:rFonts w:ascii="Calibri" w:eastAsia="Times New Roman" w:hAnsi="Calibri" w:cs="Calibri"/>
                <w:color w:val="000000"/>
                <w:sz w:val="22"/>
              </w:rPr>
            </w:pPr>
            <w:r w:rsidRPr="00526B15">
              <w:rPr>
                <w:rFonts w:ascii="Calibri" w:eastAsia="Times New Roman" w:hAnsi="Calibri" w:cs="Calibri"/>
                <w:color w:val="000000"/>
                <w:sz w:val="22"/>
              </w:rPr>
              <w:t>See text for full discussion.</w:t>
            </w:r>
          </w:p>
          <w:p w14:paraId="4C5F0C3F" w14:textId="77777777" w:rsidR="002F53B7" w:rsidRDefault="002F53B7" w:rsidP="002F53B7">
            <w:pPr>
              <w:spacing w:after="0" w:line="240" w:lineRule="auto"/>
              <w:rPr>
                <w:rFonts w:ascii="Calibri" w:eastAsia="Times New Roman" w:hAnsi="Calibri" w:cs="Calibri"/>
                <w:color w:val="000000"/>
                <w:sz w:val="22"/>
              </w:rPr>
            </w:pPr>
          </w:p>
          <w:p w14:paraId="75659CE8" w14:textId="77777777" w:rsidR="002F53B7" w:rsidRDefault="002F53B7" w:rsidP="002F53B7">
            <w:pPr>
              <w:spacing w:after="0" w:line="240" w:lineRule="auto"/>
              <w:rPr>
                <w:rFonts w:ascii="Calibri" w:eastAsia="Times New Roman" w:hAnsi="Calibri" w:cs="Calibri"/>
                <w:color w:val="000000"/>
                <w:sz w:val="22"/>
              </w:rPr>
            </w:pPr>
          </w:p>
          <w:p w14:paraId="5641702F" w14:textId="77777777" w:rsidR="002F53B7" w:rsidRDefault="002F53B7" w:rsidP="002F53B7">
            <w:pPr>
              <w:spacing w:after="0" w:line="240" w:lineRule="auto"/>
              <w:rPr>
                <w:rFonts w:ascii="Calibri" w:eastAsia="Times New Roman" w:hAnsi="Calibri" w:cs="Calibri"/>
                <w:color w:val="000000"/>
                <w:sz w:val="22"/>
              </w:rPr>
            </w:pPr>
          </w:p>
          <w:p w14:paraId="27799750" w14:textId="77777777" w:rsidR="002F53B7" w:rsidRDefault="002F53B7" w:rsidP="002F53B7">
            <w:pPr>
              <w:spacing w:after="0" w:line="240" w:lineRule="auto"/>
              <w:rPr>
                <w:rFonts w:ascii="Calibri" w:eastAsia="Times New Roman" w:hAnsi="Calibri" w:cs="Calibri"/>
                <w:color w:val="000000"/>
                <w:sz w:val="22"/>
              </w:rPr>
            </w:pPr>
          </w:p>
          <w:p w14:paraId="7EAEA28A" w14:textId="77777777" w:rsidR="002F53B7" w:rsidRDefault="002F53B7" w:rsidP="002F53B7">
            <w:pPr>
              <w:spacing w:after="0" w:line="240" w:lineRule="auto"/>
              <w:rPr>
                <w:rFonts w:ascii="Calibri" w:eastAsia="Times New Roman" w:hAnsi="Calibri" w:cs="Calibri"/>
                <w:color w:val="000000"/>
                <w:sz w:val="22"/>
              </w:rPr>
            </w:pPr>
          </w:p>
          <w:p w14:paraId="0C9E771B" w14:textId="77777777" w:rsidR="002F53B7" w:rsidRPr="00526B15" w:rsidRDefault="002F53B7" w:rsidP="002F53B7">
            <w:pPr>
              <w:spacing w:after="0" w:line="240" w:lineRule="auto"/>
              <w:rPr>
                <w:rFonts w:ascii="Calibri" w:eastAsia="Times New Roman" w:hAnsi="Calibri" w:cs="Calibri"/>
                <w:color w:val="000000"/>
                <w:sz w:val="22"/>
              </w:rPr>
            </w:pPr>
          </w:p>
        </w:tc>
        <w:tc>
          <w:tcPr>
            <w:tcW w:w="976" w:type="dxa"/>
            <w:gridSpan w:val="2"/>
            <w:tcBorders>
              <w:top w:val="nil"/>
              <w:left w:val="nil"/>
              <w:bottom w:val="nil"/>
              <w:right w:val="nil"/>
            </w:tcBorders>
            <w:shd w:val="clear" w:color="auto" w:fill="auto"/>
            <w:noWrap/>
            <w:vAlign w:val="bottom"/>
            <w:hideMark/>
          </w:tcPr>
          <w:p w14:paraId="364BFABC" w14:textId="77777777" w:rsidR="002F53B7" w:rsidRPr="00526B15" w:rsidRDefault="002F53B7" w:rsidP="002F53B7">
            <w:pPr>
              <w:spacing w:after="0" w:line="240" w:lineRule="auto"/>
              <w:rPr>
                <w:rFonts w:ascii="Calibri" w:eastAsia="Times New Roman" w:hAnsi="Calibri" w:cs="Calibri"/>
                <w:color w:val="000000"/>
                <w:sz w:val="22"/>
              </w:rPr>
            </w:pPr>
          </w:p>
        </w:tc>
        <w:tc>
          <w:tcPr>
            <w:tcW w:w="976" w:type="dxa"/>
            <w:gridSpan w:val="2"/>
            <w:tcBorders>
              <w:top w:val="nil"/>
              <w:left w:val="nil"/>
              <w:bottom w:val="nil"/>
              <w:right w:val="nil"/>
            </w:tcBorders>
            <w:shd w:val="clear" w:color="auto" w:fill="auto"/>
            <w:noWrap/>
            <w:vAlign w:val="bottom"/>
            <w:hideMark/>
          </w:tcPr>
          <w:p w14:paraId="1BDED36B"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4E617089" w14:textId="77777777" w:rsidR="002F53B7" w:rsidRPr="00526B15" w:rsidRDefault="002F53B7" w:rsidP="002F53B7">
            <w:pPr>
              <w:spacing w:after="0" w:line="240" w:lineRule="auto"/>
              <w:rPr>
                <w:rFonts w:eastAsia="Times New Roman" w:cs="Times New Roman"/>
                <w:sz w:val="20"/>
                <w:szCs w:val="20"/>
              </w:rPr>
            </w:pPr>
          </w:p>
        </w:tc>
        <w:tc>
          <w:tcPr>
            <w:tcW w:w="976" w:type="dxa"/>
            <w:gridSpan w:val="3"/>
            <w:tcBorders>
              <w:top w:val="nil"/>
              <w:left w:val="nil"/>
              <w:bottom w:val="nil"/>
              <w:right w:val="nil"/>
            </w:tcBorders>
            <w:shd w:val="clear" w:color="auto" w:fill="auto"/>
            <w:noWrap/>
            <w:vAlign w:val="bottom"/>
            <w:hideMark/>
          </w:tcPr>
          <w:p w14:paraId="0B27083F"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73740F82" w14:textId="77777777" w:rsidR="002F53B7" w:rsidRPr="00526B15" w:rsidRDefault="002F53B7" w:rsidP="002F53B7">
            <w:pPr>
              <w:spacing w:after="0" w:line="240" w:lineRule="auto"/>
              <w:rPr>
                <w:rFonts w:eastAsia="Times New Roman" w:cs="Times New Roman"/>
                <w:sz w:val="20"/>
                <w:szCs w:val="20"/>
              </w:rPr>
            </w:pPr>
          </w:p>
        </w:tc>
        <w:tc>
          <w:tcPr>
            <w:tcW w:w="1015" w:type="dxa"/>
            <w:tcBorders>
              <w:top w:val="nil"/>
              <w:left w:val="nil"/>
              <w:bottom w:val="nil"/>
              <w:right w:val="nil"/>
            </w:tcBorders>
            <w:shd w:val="clear" w:color="auto" w:fill="auto"/>
            <w:noWrap/>
            <w:vAlign w:val="bottom"/>
            <w:hideMark/>
          </w:tcPr>
          <w:p w14:paraId="4683D806"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4B034A4D"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584649EE" w14:textId="77777777" w:rsidR="002F53B7" w:rsidRPr="00526B15" w:rsidRDefault="002F53B7" w:rsidP="002F53B7">
            <w:pPr>
              <w:spacing w:after="0" w:line="240" w:lineRule="auto"/>
              <w:rPr>
                <w:rFonts w:eastAsia="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1B8F2720" w14:textId="77777777" w:rsidR="002F53B7" w:rsidRPr="00526B15" w:rsidRDefault="002F53B7" w:rsidP="002F53B7">
            <w:pPr>
              <w:spacing w:after="0" w:line="240" w:lineRule="auto"/>
              <w:rPr>
                <w:rFonts w:eastAsia="Times New Roman" w:cs="Times New Roman"/>
                <w:sz w:val="20"/>
                <w:szCs w:val="20"/>
              </w:rPr>
            </w:pPr>
          </w:p>
        </w:tc>
      </w:tr>
    </w:tbl>
    <w:p w14:paraId="75EC53D0" w14:textId="77777777" w:rsidR="002F53B7" w:rsidRDefault="002F53B7" w:rsidP="002F53B7"/>
    <w:p w14:paraId="065842CF" w14:textId="77777777" w:rsidR="002F53B7" w:rsidRDefault="002F53B7" w:rsidP="002F53B7"/>
    <w:p w14:paraId="0307B693" w14:textId="77777777" w:rsidR="002F53B7" w:rsidRDefault="002F53B7" w:rsidP="002F53B7"/>
    <w:p w14:paraId="59F3E1CB" w14:textId="77777777" w:rsidR="002F53B7" w:rsidRDefault="002F53B7" w:rsidP="002F53B7"/>
    <w:tbl>
      <w:tblPr>
        <w:tblW w:w="8784" w:type="dxa"/>
        <w:tblLook w:val="04A0" w:firstRow="1" w:lastRow="0" w:firstColumn="1" w:lastColumn="0" w:noHBand="0" w:noVBand="1"/>
      </w:tblPr>
      <w:tblGrid>
        <w:gridCol w:w="976"/>
        <w:gridCol w:w="976"/>
        <w:gridCol w:w="976"/>
        <w:gridCol w:w="976"/>
        <w:gridCol w:w="976"/>
        <w:gridCol w:w="976"/>
        <w:gridCol w:w="976"/>
        <w:gridCol w:w="976"/>
        <w:gridCol w:w="976"/>
      </w:tblGrid>
      <w:tr w:rsidR="002F53B7" w:rsidRPr="00DE57E1" w14:paraId="53ED75C5" w14:textId="77777777" w:rsidTr="002F53B7">
        <w:trPr>
          <w:trHeight w:val="290"/>
        </w:trPr>
        <w:tc>
          <w:tcPr>
            <w:tcW w:w="976" w:type="dxa"/>
            <w:tcBorders>
              <w:top w:val="nil"/>
              <w:left w:val="nil"/>
              <w:bottom w:val="nil"/>
              <w:right w:val="nil"/>
            </w:tcBorders>
            <w:shd w:val="clear" w:color="auto" w:fill="auto"/>
            <w:noWrap/>
            <w:vAlign w:val="bottom"/>
            <w:hideMark/>
          </w:tcPr>
          <w:p w14:paraId="7C2A1205" w14:textId="77777777" w:rsidR="002F53B7" w:rsidRPr="00DE57E1" w:rsidRDefault="002F53B7" w:rsidP="002F53B7">
            <w:pPr>
              <w:spacing w:after="0" w:line="240" w:lineRule="auto"/>
              <w:rPr>
                <w:rFonts w:eastAsia="Times New Roman" w:cs="Times New Roman"/>
                <w:sz w:val="20"/>
                <w:szCs w:val="24"/>
              </w:rPr>
            </w:pPr>
          </w:p>
        </w:tc>
        <w:tc>
          <w:tcPr>
            <w:tcW w:w="976" w:type="dxa"/>
            <w:tcBorders>
              <w:top w:val="nil"/>
              <w:left w:val="nil"/>
              <w:bottom w:val="nil"/>
              <w:right w:val="nil"/>
            </w:tcBorders>
            <w:shd w:val="clear" w:color="auto" w:fill="auto"/>
            <w:noWrap/>
            <w:vAlign w:val="bottom"/>
            <w:hideMark/>
          </w:tcPr>
          <w:p w14:paraId="75024286"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2BF007E"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482DEAE"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BA58B42" w14:textId="77777777" w:rsidR="002F53B7" w:rsidRPr="00DE57E1" w:rsidRDefault="002F53B7" w:rsidP="002F53B7">
            <w:pPr>
              <w:spacing w:after="0" w:line="240" w:lineRule="auto"/>
              <w:rPr>
                <w:rFonts w:ascii="Calibri" w:eastAsia="Times New Roman" w:hAnsi="Calibri" w:cs="Calibri"/>
                <w:color w:val="000000"/>
                <w:sz w:val="22"/>
              </w:rPr>
            </w:pPr>
            <w:r w:rsidRPr="00DE57E1">
              <w:rPr>
                <w:rFonts w:ascii="Calibri" w:eastAsia="Times New Roman" w:hAnsi="Calibri" w:cs="Calibri"/>
                <w:color w:val="000000"/>
                <w:sz w:val="22"/>
              </w:rPr>
              <w:t xml:space="preserve">Table </w:t>
            </w:r>
            <w:r>
              <w:rPr>
                <w:rFonts w:ascii="Calibri" w:eastAsia="Times New Roman" w:hAnsi="Calibri" w:cs="Calibri"/>
                <w:color w:val="000000"/>
                <w:sz w:val="22"/>
              </w:rPr>
              <w:t>3</w:t>
            </w:r>
          </w:p>
        </w:tc>
        <w:tc>
          <w:tcPr>
            <w:tcW w:w="976" w:type="dxa"/>
            <w:tcBorders>
              <w:top w:val="nil"/>
              <w:left w:val="nil"/>
              <w:bottom w:val="nil"/>
              <w:right w:val="nil"/>
            </w:tcBorders>
            <w:shd w:val="clear" w:color="auto" w:fill="auto"/>
            <w:noWrap/>
            <w:vAlign w:val="bottom"/>
            <w:hideMark/>
          </w:tcPr>
          <w:p w14:paraId="28DC38D9" w14:textId="77777777" w:rsidR="002F53B7" w:rsidRPr="00DE57E1" w:rsidRDefault="002F53B7" w:rsidP="002F53B7">
            <w:pPr>
              <w:spacing w:after="0" w:line="240" w:lineRule="auto"/>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237D9674"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401ADC5"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F7418EF" w14:textId="77777777" w:rsidR="002F53B7" w:rsidRPr="00DE57E1" w:rsidRDefault="002F53B7" w:rsidP="002F53B7">
            <w:pPr>
              <w:spacing w:after="0" w:line="240" w:lineRule="auto"/>
              <w:rPr>
                <w:rFonts w:eastAsia="Times New Roman" w:cs="Times New Roman"/>
                <w:sz w:val="20"/>
                <w:szCs w:val="20"/>
              </w:rPr>
            </w:pPr>
          </w:p>
        </w:tc>
      </w:tr>
      <w:tr w:rsidR="002F53B7" w:rsidRPr="00DE57E1" w14:paraId="47A27B0D" w14:textId="77777777" w:rsidTr="002F53B7">
        <w:trPr>
          <w:trHeight w:val="290"/>
        </w:trPr>
        <w:tc>
          <w:tcPr>
            <w:tcW w:w="976" w:type="dxa"/>
            <w:tcBorders>
              <w:top w:val="nil"/>
              <w:left w:val="nil"/>
              <w:bottom w:val="nil"/>
              <w:right w:val="nil"/>
            </w:tcBorders>
            <w:shd w:val="clear" w:color="auto" w:fill="auto"/>
            <w:noWrap/>
            <w:vAlign w:val="bottom"/>
            <w:hideMark/>
          </w:tcPr>
          <w:p w14:paraId="57CBE49A"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40DC036"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E93B068" w14:textId="77777777" w:rsidR="002F53B7" w:rsidRPr="00DE57E1" w:rsidRDefault="002F53B7" w:rsidP="002F53B7">
            <w:pPr>
              <w:spacing w:after="0" w:line="240" w:lineRule="auto"/>
              <w:jc w:val="center"/>
              <w:rPr>
                <w:rFonts w:eastAsia="Times New Roman" w:cs="Times New Roman"/>
                <w:sz w:val="20"/>
                <w:szCs w:val="20"/>
              </w:rPr>
            </w:pPr>
          </w:p>
        </w:tc>
        <w:tc>
          <w:tcPr>
            <w:tcW w:w="3904" w:type="dxa"/>
            <w:gridSpan w:val="4"/>
            <w:tcBorders>
              <w:top w:val="nil"/>
              <w:left w:val="nil"/>
              <w:bottom w:val="nil"/>
              <w:right w:val="nil"/>
            </w:tcBorders>
            <w:shd w:val="clear" w:color="auto" w:fill="auto"/>
            <w:noWrap/>
            <w:vAlign w:val="bottom"/>
            <w:hideMark/>
          </w:tcPr>
          <w:p w14:paraId="62E368FC" w14:textId="77777777" w:rsidR="002F53B7" w:rsidRPr="00DE57E1" w:rsidRDefault="002F53B7" w:rsidP="002F53B7">
            <w:pPr>
              <w:spacing w:after="0" w:line="240" w:lineRule="auto"/>
              <w:rPr>
                <w:rFonts w:ascii="Calibri" w:eastAsia="Times New Roman" w:hAnsi="Calibri" w:cs="Calibri"/>
                <w:color w:val="000000"/>
                <w:sz w:val="22"/>
              </w:rPr>
            </w:pPr>
            <w:r w:rsidRPr="00DE57E1">
              <w:rPr>
                <w:rFonts w:ascii="Calibri" w:eastAsia="Times New Roman" w:hAnsi="Calibri" w:cs="Calibri"/>
                <w:color w:val="000000"/>
                <w:sz w:val="22"/>
              </w:rPr>
              <w:t>Productivity Growth in US Railroads</w:t>
            </w:r>
          </w:p>
        </w:tc>
        <w:tc>
          <w:tcPr>
            <w:tcW w:w="976" w:type="dxa"/>
            <w:tcBorders>
              <w:top w:val="nil"/>
              <w:left w:val="nil"/>
              <w:bottom w:val="nil"/>
              <w:right w:val="nil"/>
            </w:tcBorders>
            <w:shd w:val="clear" w:color="auto" w:fill="auto"/>
            <w:noWrap/>
            <w:vAlign w:val="bottom"/>
            <w:hideMark/>
          </w:tcPr>
          <w:p w14:paraId="493F7845" w14:textId="77777777" w:rsidR="002F53B7" w:rsidRPr="00DE57E1" w:rsidRDefault="002F53B7" w:rsidP="002F53B7">
            <w:pPr>
              <w:spacing w:after="0" w:line="240" w:lineRule="auto"/>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22F5B80C" w14:textId="77777777" w:rsidR="002F53B7" w:rsidRPr="00DE57E1" w:rsidRDefault="002F53B7" w:rsidP="002F53B7">
            <w:pPr>
              <w:spacing w:after="0" w:line="240" w:lineRule="auto"/>
              <w:jc w:val="center"/>
              <w:rPr>
                <w:rFonts w:eastAsia="Times New Roman" w:cs="Times New Roman"/>
                <w:sz w:val="20"/>
                <w:szCs w:val="20"/>
              </w:rPr>
            </w:pPr>
          </w:p>
        </w:tc>
      </w:tr>
      <w:tr w:rsidR="002F53B7" w:rsidRPr="00DE57E1" w14:paraId="70EEDC7E" w14:textId="77777777" w:rsidTr="002F53B7">
        <w:trPr>
          <w:trHeight w:val="290"/>
        </w:trPr>
        <w:tc>
          <w:tcPr>
            <w:tcW w:w="976" w:type="dxa"/>
            <w:tcBorders>
              <w:top w:val="nil"/>
              <w:left w:val="nil"/>
              <w:bottom w:val="nil"/>
              <w:right w:val="nil"/>
            </w:tcBorders>
            <w:shd w:val="clear" w:color="auto" w:fill="auto"/>
            <w:noWrap/>
            <w:vAlign w:val="bottom"/>
            <w:hideMark/>
          </w:tcPr>
          <w:p w14:paraId="3F5781A2"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B14EA83"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0C756215" w14:textId="77777777" w:rsidR="002F53B7" w:rsidRPr="00DE57E1" w:rsidRDefault="002F53B7" w:rsidP="002F53B7">
            <w:pPr>
              <w:spacing w:after="0" w:line="240" w:lineRule="auto"/>
              <w:jc w:val="center"/>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0E4085D7" w14:textId="77777777" w:rsidR="002F53B7" w:rsidRPr="00DE57E1" w:rsidRDefault="002F53B7" w:rsidP="002F53B7">
            <w:pPr>
              <w:spacing w:after="0" w:line="240" w:lineRule="auto"/>
              <w:jc w:val="center"/>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C5B4426" w14:textId="77777777" w:rsidR="002F53B7" w:rsidRPr="00DE57E1" w:rsidRDefault="002F53B7" w:rsidP="002F53B7">
            <w:pPr>
              <w:spacing w:after="0" w:line="240" w:lineRule="auto"/>
              <w:jc w:val="center"/>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45244BD" w14:textId="77777777" w:rsidR="002F53B7" w:rsidRPr="00DE57E1" w:rsidRDefault="002F53B7" w:rsidP="002F53B7">
            <w:pPr>
              <w:spacing w:after="0" w:line="240" w:lineRule="auto"/>
              <w:jc w:val="center"/>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323E5D1" w14:textId="77777777" w:rsidR="002F53B7" w:rsidRPr="00DE57E1" w:rsidRDefault="002F53B7" w:rsidP="002F53B7">
            <w:pPr>
              <w:spacing w:after="0" w:line="240" w:lineRule="auto"/>
              <w:jc w:val="center"/>
              <w:rPr>
                <w:rFonts w:ascii="Calibri" w:eastAsia="Times New Roman" w:hAnsi="Calibri" w:cs="Calibri"/>
                <w:color w:val="000000"/>
                <w:sz w:val="22"/>
              </w:rPr>
            </w:pPr>
            <w:r w:rsidRPr="00DE57E1">
              <w:rPr>
                <w:rFonts w:ascii="Calibri" w:eastAsia="Times New Roman" w:hAnsi="Calibri" w:cs="Calibri"/>
                <w:color w:val="000000"/>
                <w:sz w:val="22"/>
              </w:rPr>
              <w:t>Labor</w:t>
            </w:r>
          </w:p>
        </w:tc>
        <w:tc>
          <w:tcPr>
            <w:tcW w:w="976" w:type="dxa"/>
            <w:tcBorders>
              <w:top w:val="nil"/>
              <w:left w:val="nil"/>
              <w:bottom w:val="nil"/>
              <w:right w:val="nil"/>
            </w:tcBorders>
            <w:shd w:val="clear" w:color="auto" w:fill="auto"/>
            <w:noWrap/>
            <w:vAlign w:val="bottom"/>
            <w:hideMark/>
          </w:tcPr>
          <w:p w14:paraId="233476FE" w14:textId="77777777" w:rsidR="002F53B7" w:rsidRPr="00DE57E1" w:rsidRDefault="002F53B7" w:rsidP="002F53B7">
            <w:pPr>
              <w:spacing w:after="0" w:line="240" w:lineRule="auto"/>
              <w:jc w:val="center"/>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2EC5AF9D" w14:textId="77777777" w:rsidR="002F53B7" w:rsidRPr="00DE57E1" w:rsidRDefault="002F53B7" w:rsidP="002F53B7">
            <w:pPr>
              <w:spacing w:after="0" w:line="240" w:lineRule="auto"/>
              <w:jc w:val="center"/>
              <w:rPr>
                <w:rFonts w:eastAsia="Times New Roman" w:cs="Times New Roman"/>
                <w:sz w:val="20"/>
                <w:szCs w:val="20"/>
              </w:rPr>
            </w:pPr>
          </w:p>
        </w:tc>
      </w:tr>
      <w:tr w:rsidR="002F53B7" w:rsidRPr="00DE57E1" w14:paraId="57484364" w14:textId="77777777" w:rsidTr="002F53B7">
        <w:trPr>
          <w:trHeight w:val="290"/>
        </w:trPr>
        <w:tc>
          <w:tcPr>
            <w:tcW w:w="976" w:type="dxa"/>
            <w:tcBorders>
              <w:top w:val="nil"/>
              <w:left w:val="nil"/>
              <w:bottom w:val="nil"/>
              <w:right w:val="nil"/>
            </w:tcBorders>
            <w:shd w:val="clear" w:color="auto" w:fill="auto"/>
            <w:noWrap/>
            <w:vAlign w:val="bottom"/>
            <w:hideMark/>
          </w:tcPr>
          <w:p w14:paraId="168DD266"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9CD5A03" w14:textId="77777777" w:rsidR="002F53B7" w:rsidRPr="00DE57E1" w:rsidRDefault="002F53B7" w:rsidP="002F53B7">
            <w:pPr>
              <w:spacing w:after="0" w:line="240" w:lineRule="auto"/>
              <w:jc w:val="center"/>
              <w:rPr>
                <w:rFonts w:ascii="Calibri" w:eastAsia="Times New Roman" w:hAnsi="Calibri" w:cs="Calibri"/>
                <w:color w:val="000000"/>
                <w:sz w:val="22"/>
              </w:rPr>
            </w:pPr>
            <w:r w:rsidRPr="00DE57E1">
              <w:rPr>
                <w:rFonts w:ascii="Calibri" w:eastAsia="Times New Roman" w:hAnsi="Calibri" w:cs="Calibri"/>
                <w:color w:val="000000"/>
                <w:sz w:val="22"/>
              </w:rPr>
              <w:t>Output</w:t>
            </w:r>
          </w:p>
        </w:tc>
        <w:tc>
          <w:tcPr>
            <w:tcW w:w="976" w:type="dxa"/>
            <w:tcBorders>
              <w:top w:val="nil"/>
              <w:left w:val="nil"/>
              <w:bottom w:val="nil"/>
              <w:right w:val="nil"/>
            </w:tcBorders>
            <w:shd w:val="clear" w:color="auto" w:fill="auto"/>
            <w:noWrap/>
            <w:vAlign w:val="bottom"/>
            <w:hideMark/>
          </w:tcPr>
          <w:p w14:paraId="3602FF74" w14:textId="77777777" w:rsidR="002F53B7" w:rsidRPr="00DE57E1" w:rsidRDefault="002F53B7" w:rsidP="002F53B7">
            <w:pPr>
              <w:spacing w:after="0" w:line="240" w:lineRule="auto"/>
              <w:jc w:val="center"/>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2C0EE13B" w14:textId="77777777" w:rsidR="002F53B7" w:rsidRPr="00DE57E1" w:rsidRDefault="002F53B7" w:rsidP="002F53B7">
            <w:pPr>
              <w:spacing w:after="0" w:line="240" w:lineRule="auto"/>
              <w:jc w:val="center"/>
              <w:rPr>
                <w:rFonts w:ascii="Calibri" w:eastAsia="Times New Roman" w:hAnsi="Calibri" w:cs="Calibri"/>
                <w:color w:val="000000"/>
                <w:sz w:val="22"/>
              </w:rPr>
            </w:pPr>
            <w:r w:rsidRPr="00DE57E1">
              <w:rPr>
                <w:rFonts w:ascii="Calibri" w:eastAsia="Times New Roman" w:hAnsi="Calibri" w:cs="Calibri"/>
                <w:color w:val="000000"/>
                <w:sz w:val="22"/>
              </w:rPr>
              <w:t>Hours</w:t>
            </w:r>
          </w:p>
        </w:tc>
        <w:tc>
          <w:tcPr>
            <w:tcW w:w="976" w:type="dxa"/>
            <w:tcBorders>
              <w:top w:val="nil"/>
              <w:left w:val="nil"/>
              <w:bottom w:val="nil"/>
              <w:right w:val="nil"/>
            </w:tcBorders>
            <w:shd w:val="clear" w:color="auto" w:fill="auto"/>
            <w:noWrap/>
            <w:vAlign w:val="bottom"/>
            <w:hideMark/>
          </w:tcPr>
          <w:p w14:paraId="51E350FA" w14:textId="77777777" w:rsidR="002F53B7" w:rsidRPr="00DE57E1" w:rsidRDefault="002F53B7" w:rsidP="002F53B7">
            <w:pPr>
              <w:spacing w:after="0" w:line="240" w:lineRule="auto"/>
              <w:jc w:val="center"/>
              <w:rPr>
                <w:rFonts w:ascii="Calibri" w:eastAsia="Times New Roman" w:hAnsi="Calibri" w:cs="Calibri"/>
                <w:color w:val="000000"/>
                <w:sz w:val="22"/>
              </w:rPr>
            </w:pPr>
            <w:r w:rsidRPr="00DE57E1">
              <w:rPr>
                <w:rFonts w:ascii="Calibri" w:eastAsia="Times New Roman" w:hAnsi="Calibri" w:cs="Calibri"/>
                <w:color w:val="000000"/>
                <w:sz w:val="22"/>
              </w:rPr>
              <w:t>Capital</w:t>
            </w:r>
          </w:p>
        </w:tc>
        <w:tc>
          <w:tcPr>
            <w:tcW w:w="976" w:type="dxa"/>
            <w:tcBorders>
              <w:top w:val="nil"/>
              <w:left w:val="nil"/>
              <w:bottom w:val="nil"/>
              <w:right w:val="nil"/>
            </w:tcBorders>
            <w:shd w:val="clear" w:color="auto" w:fill="auto"/>
            <w:noWrap/>
            <w:vAlign w:val="bottom"/>
            <w:hideMark/>
          </w:tcPr>
          <w:p w14:paraId="18A657AC" w14:textId="77777777" w:rsidR="002F53B7" w:rsidRPr="00DE57E1" w:rsidRDefault="002F53B7" w:rsidP="002F53B7">
            <w:pPr>
              <w:spacing w:after="0" w:line="240" w:lineRule="auto"/>
              <w:jc w:val="center"/>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407E1496" w14:textId="77777777" w:rsidR="002F53B7" w:rsidRPr="00DE57E1" w:rsidRDefault="002F53B7" w:rsidP="002F53B7">
            <w:pPr>
              <w:spacing w:after="0" w:line="240" w:lineRule="auto"/>
              <w:jc w:val="center"/>
              <w:rPr>
                <w:rFonts w:ascii="Calibri" w:eastAsia="Times New Roman" w:hAnsi="Calibri" w:cs="Calibri"/>
                <w:color w:val="000000"/>
                <w:sz w:val="22"/>
              </w:rPr>
            </w:pPr>
            <w:r w:rsidRPr="00DE57E1">
              <w:rPr>
                <w:rFonts w:ascii="Calibri" w:eastAsia="Times New Roman" w:hAnsi="Calibri" w:cs="Calibri"/>
                <w:color w:val="000000"/>
                <w:sz w:val="22"/>
              </w:rPr>
              <w:t>Prod</w:t>
            </w:r>
          </w:p>
        </w:tc>
        <w:tc>
          <w:tcPr>
            <w:tcW w:w="976" w:type="dxa"/>
            <w:tcBorders>
              <w:top w:val="nil"/>
              <w:left w:val="nil"/>
              <w:bottom w:val="nil"/>
              <w:right w:val="nil"/>
            </w:tcBorders>
            <w:shd w:val="clear" w:color="auto" w:fill="auto"/>
            <w:noWrap/>
            <w:vAlign w:val="bottom"/>
            <w:hideMark/>
          </w:tcPr>
          <w:p w14:paraId="3FE893B0" w14:textId="77777777" w:rsidR="002F53B7" w:rsidRPr="00DE57E1" w:rsidRDefault="002F53B7" w:rsidP="002F53B7">
            <w:pPr>
              <w:spacing w:after="0" w:line="240" w:lineRule="auto"/>
              <w:jc w:val="center"/>
              <w:rPr>
                <w:rFonts w:ascii="Calibri" w:eastAsia="Times New Roman" w:hAnsi="Calibri" w:cs="Calibri"/>
                <w:color w:val="000000"/>
                <w:sz w:val="22"/>
              </w:rPr>
            </w:pPr>
            <w:r w:rsidRPr="00DE57E1">
              <w:rPr>
                <w:rFonts w:ascii="Calibri" w:eastAsia="Times New Roman" w:hAnsi="Calibri" w:cs="Calibri"/>
                <w:color w:val="000000"/>
                <w:sz w:val="22"/>
              </w:rPr>
              <w:t>TFP</w:t>
            </w:r>
          </w:p>
        </w:tc>
        <w:tc>
          <w:tcPr>
            <w:tcW w:w="976" w:type="dxa"/>
            <w:tcBorders>
              <w:top w:val="nil"/>
              <w:left w:val="nil"/>
              <w:bottom w:val="nil"/>
              <w:right w:val="nil"/>
            </w:tcBorders>
            <w:shd w:val="clear" w:color="auto" w:fill="auto"/>
            <w:noWrap/>
            <w:vAlign w:val="bottom"/>
            <w:hideMark/>
          </w:tcPr>
          <w:p w14:paraId="58768E91" w14:textId="77777777" w:rsidR="002F53B7" w:rsidRPr="00DE57E1" w:rsidRDefault="002F53B7" w:rsidP="002F53B7">
            <w:pPr>
              <w:spacing w:after="0" w:line="240" w:lineRule="auto"/>
              <w:jc w:val="center"/>
              <w:rPr>
                <w:rFonts w:ascii="Calibri" w:eastAsia="Times New Roman" w:hAnsi="Calibri" w:cs="Calibri"/>
                <w:color w:val="000000"/>
                <w:sz w:val="22"/>
              </w:rPr>
            </w:pPr>
          </w:p>
        </w:tc>
      </w:tr>
      <w:tr w:rsidR="002F53B7" w:rsidRPr="00DE57E1" w14:paraId="6CE89F3C" w14:textId="77777777" w:rsidTr="002F53B7">
        <w:trPr>
          <w:trHeight w:val="290"/>
        </w:trPr>
        <w:tc>
          <w:tcPr>
            <w:tcW w:w="976" w:type="dxa"/>
            <w:tcBorders>
              <w:top w:val="nil"/>
              <w:left w:val="nil"/>
              <w:bottom w:val="nil"/>
              <w:right w:val="nil"/>
            </w:tcBorders>
            <w:shd w:val="clear" w:color="auto" w:fill="auto"/>
            <w:noWrap/>
            <w:vAlign w:val="bottom"/>
            <w:hideMark/>
          </w:tcPr>
          <w:p w14:paraId="0A4E30B1"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4AEB636"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D91337F" w14:textId="77777777" w:rsidR="002F53B7" w:rsidRPr="00DE57E1" w:rsidRDefault="002F53B7" w:rsidP="002F53B7">
            <w:pPr>
              <w:spacing w:after="0" w:line="240" w:lineRule="auto"/>
              <w:jc w:val="center"/>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6716EF8" w14:textId="77777777" w:rsidR="002F53B7" w:rsidRPr="00DE57E1" w:rsidRDefault="002F53B7" w:rsidP="002F53B7">
            <w:pPr>
              <w:spacing w:after="0" w:line="240" w:lineRule="auto"/>
              <w:jc w:val="center"/>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8BB0638" w14:textId="77777777" w:rsidR="002F53B7" w:rsidRPr="00DE57E1" w:rsidRDefault="002F53B7" w:rsidP="002F53B7">
            <w:pPr>
              <w:spacing w:after="0" w:line="240" w:lineRule="auto"/>
              <w:jc w:val="center"/>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9EA825D" w14:textId="77777777" w:rsidR="002F53B7" w:rsidRPr="00DE57E1" w:rsidRDefault="002F53B7" w:rsidP="002F53B7">
            <w:pPr>
              <w:spacing w:after="0" w:line="240" w:lineRule="auto"/>
              <w:jc w:val="center"/>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497F28A" w14:textId="77777777" w:rsidR="002F53B7" w:rsidRPr="00DE57E1" w:rsidRDefault="002F53B7" w:rsidP="002F53B7">
            <w:pPr>
              <w:spacing w:after="0" w:line="240" w:lineRule="auto"/>
              <w:jc w:val="center"/>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0440804A" w14:textId="77777777" w:rsidR="002F53B7" w:rsidRPr="00DE57E1" w:rsidRDefault="002F53B7" w:rsidP="002F53B7">
            <w:pPr>
              <w:spacing w:after="0" w:line="240" w:lineRule="auto"/>
              <w:jc w:val="center"/>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9863694" w14:textId="77777777" w:rsidR="002F53B7" w:rsidRPr="00DE57E1" w:rsidRDefault="002F53B7" w:rsidP="002F53B7">
            <w:pPr>
              <w:spacing w:after="0" w:line="240" w:lineRule="auto"/>
              <w:jc w:val="center"/>
              <w:rPr>
                <w:rFonts w:eastAsia="Times New Roman" w:cs="Times New Roman"/>
                <w:sz w:val="20"/>
                <w:szCs w:val="20"/>
              </w:rPr>
            </w:pPr>
          </w:p>
        </w:tc>
      </w:tr>
      <w:tr w:rsidR="002F53B7" w:rsidRPr="00DE57E1" w14:paraId="15E600F8" w14:textId="77777777" w:rsidTr="002F53B7">
        <w:trPr>
          <w:trHeight w:val="290"/>
        </w:trPr>
        <w:tc>
          <w:tcPr>
            <w:tcW w:w="976" w:type="dxa"/>
            <w:tcBorders>
              <w:top w:val="nil"/>
              <w:left w:val="nil"/>
              <w:bottom w:val="nil"/>
              <w:right w:val="nil"/>
            </w:tcBorders>
            <w:shd w:val="clear" w:color="auto" w:fill="auto"/>
            <w:noWrap/>
            <w:vAlign w:val="bottom"/>
            <w:hideMark/>
          </w:tcPr>
          <w:p w14:paraId="3331A7F9" w14:textId="77777777" w:rsidR="002F53B7" w:rsidRPr="00DE57E1" w:rsidRDefault="002F53B7" w:rsidP="002F53B7">
            <w:pPr>
              <w:spacing w:after="0" w:line="240" w:lineRule="auto"/>
              <w:rPr>
                <w:rFonts w:ascii="Calibri" w:eastAsia="Times New Roman" w:hAnsi="Calibri" w:cs="Calibri"/>
                <w:color w:val="000000"/>
                <w:sz w:val="22"/>
              </w:rPr>
            </w:pPr>
            <w:r w:rsidRPr="00DE57E1">
              <w:rPr>
                <w:rFonts w:ascii="Calibri" w:eastAsia="Times New Roman" w:hAnsi="Calibri" w:cs="Calibri"/>
                <w:color w:val="000000"/>
                <w:sz w:val="22"/>
              </w:rPr>
              <w:t>Levels</w:t>
            </w:r>
          </w:p>
        </w:tc>
        <w:tc>
          <w:tcPr>
            <w:tcW w:w="976" w:type="dxa"/>
            <w:tcBorders>
              <w:top w:val="nil"/>
              <w:left w:val="nil"/>
              <w:bottom w:val="nil"/>
              <w:right w:val="nil"/>
            </w:tcBorders>
            <w:shd w:val="clear" w:color="auto" w:fill="auto"/>
            <w:noWrap/>
            <w:vAlign w:val="bottom"/>
            <w:hideMark/>
          </w:tcPr>
          <w:p w14:paraId="1305D9F2" w14:textId="77777777" w:rsidR="002F53B7" w:rsidRPr="00DE57E1" w:rsidRDefault="002F53B7" w:rsidP="002F53B7">
            <w:pPr>
              <w:spacing w:after="0" w:line="240" w:lineRule="auto"/>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6286CE43" w14:textId="77777777" w:rsidR="002F53B7" w:rsidRPr="00DE57E1" w:rsidRDefault="002F53B7" w:rsidP="002F53B7">
            <w:pPr>
              <w:spacing w:after="0" w:line="240" w:lineRule="auto"/>
              <w:jc w:val="center"/>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8A3C6C4" w14:textId="77777777" w:rsidR="002F53B7" w:rsidRPr="00DE57E1" w:rsidRDefault="002F53B7" w:rsidP="002F53B7">
            <w:pPr>
              <w:spacing w:after="0" w:line="240" w:lineRule="auto"/>
              <w:jc w:val="center"/>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E0D32A7" w14:textId="77777777" w:rsidR="002F53B7" w:rsidRPr="00DE57E1" w:rsidRDefault="002F53B7" w:rsidP="002F53B7">
            <w:pPr>
              <w:spacing w:after="0" w:line="240" w:lineRule="auto"/>
              <w:jc w:val="center"/>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0B5D2EA0" w14:textId="77777777" w:rsidR="002F53B7" w:rsidRPr="00DE57E1" w:rsidRDefault="002F53B7" w:rsidP="002F53B7">
            <w:pPr>
              <w:spacing w:after="0" w:line="240" w:lineRule="auto"/>
              <w:jc w:val="center"/>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0D270A4" w14:textId="77777777" w:rsidR="002F53B7" w:rsidRPr="00DE57E1" w:rsidRDefault="002F53B7" w:rsidP="002F53B7">
            <w:pPr>
              <w:spacing w:after="0" w:line="240" w:lineRule="auto"/>
              <w:jc w:val="center"/>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438061D" w14:textId="77777777" w:rsidR="002F53B7" w:rsidRPr="00DE57E1" w:rsidRDefault="002F53B7" w:rsidP="002F53B7">
            <w:pPr>
              <w:spacing w:after="0" w:line="240" w:lineRule="auto"/>
              <w:jc w:val="center"/>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44F6BC4" w14:textId="77777777" w:rsidR="002F53B7" w:rsidRPr="00DE57E1" w:rsidRDefault="002F53B7" w:rsidP="002F53B7">
            <w:pPr>
              <w:spacing w:after="0" w:line="240" w:lineRule="auto"/>
              <w:jc w:val="center"/>
              <w:rPr>
                <w:rFonts w:eastAsia="Times New Roman" w:cs="Times New Roman"/>
                <w:sz w:val="20"/>
                <w:szCs w:val="20"/>
              </w:rPr>
            </w:pPr>
          </w:p>
        </w:tc>
      </w:tr>
      <w:tr w:rsidR="002F53B7" w:rsidRPr="00DE57E1" w14:paraId="3A968275" w14:textId="77777777" w:rsidTr="002F53B7">
        <w:trPr>
          <w:trHeight w:val="290"/>
        </w:trPr>
        <w:tc>
          <w:tcPr>
            <w:tcW w:w="976" w:type="dxa"/>
            <w:tcBorders>
              <w:top w:val="nil"/>
              <w:left w:val="nil"/>
              <w:bottom w:val="nil"/>
              <w:right w:val="nil"/>
            </w:tcBorders>
            <w:shd w:val="clear" w:color="auto" w:fill="auto"/>
            <w:noWrap/>
            <w:vAlign w:val="bottom"/>
            <w:hideMark/>
          </w:tcPr>
          <w:p w14:paraId="33BFD780" w14:textId="77777777" w:rsidR="002F53B7" w:rsidRPr="00DE57E1" w:rsidRDefault="002F53B7" w:rsidP="002F53B7">
            <w:pPr>
              <w:spacing w:after="0" w:line="240" w:lineRule="auto"/>
              <w:jc w:val="right"/>
              <w:rPr>
                <w:rFonts w:ascii="Calibri" w:eastAsia="Times New Roman" w:hAnsi="Calibri" w:cs="Calibri"/>
                <w:color w:val="000000"/>
                <w:sz w:val="22"/>
              </w:rPr>
            </w:pPr>
            <w:r w:rsidRPr="00DE57E1">
              <w:rPr>
                <w:rFonts w:ascii="Calibri" w:eastAsia="Times New Roman" w:hAnsi="Calibri" w:cs="Calibri"/>
                <w:color w:val="000000"/>
                <w:sz w:val="22"/>
              </w:rPr>
              <w:t>1929</w:t>
            </w:r>
          </w:p>
        </w:tc>
        <w:tc>
          <w:tcPr>
            <w:tcW w:w="976" w:type="dxa"/>
            <w:tcBorders>
              <w:top w:val="nil"/>
              <w:left w:val="nil"/>
              <w:bottom w:val="nil"/>
              <w:right w:val="nil"/>
            </w:tcBorders>
            <w:shd w:val="clear" w:color="auto" w:fill="auto"/>
            <w:noWrap/>
            <w:vAlign w:val="bottom"/>
            <w:hideMark/>
          </w:tcPr>
          <w:p w14:paraId="61BB262F" w14:textId="77777777" w:rsidR="002F53B7" w:rsidRPr="00DE57E1" w:rsidRDefault="002F53B7" w:rsidP="002F53B7">
            <w:pPr>
              <w:spacing w:after="0" w:line="240" w:lineRule="auto"/>
              <w:jc w:val="right"/>
              <w:rPr>
                <w:rFonts w:ascii="Calibri" w:eastAsia="Times New Roman" w:hAnsi="Calibri" w:cs="Calibri"/>
                <w:color w:val="000000"/>
                <w:sz w:val="22"/>
              </w:rPr>
            </w:pPr>
            <w:r w:rsidRPr="00DE57E1">
              <w:rPr>
                <w:rFonts w:ascii="Calibri" w:eastAsia="Times New Roman" w:hAnsi="Calibri" w:cs="Calibri"/>
                <w:color w:val="000000"/>
                <w:sz w:val="22"/>
              </w:rPr>
              <w:t>100</w:t>
            </w:r>
          </w:p>
        </w:tc>
        <w:tc>
          <w:tcPr>
            <w:tcW w:w="976" w:type="dxa"/>
            <w:tcBorders>
              <w:top w:val="nil"/>
              <w:left w:val="nil"/>
              <w:bottom w:val="nil"/>
              <w:right w:val="nil"/>
            </w:tcBorders>
            <w:shd w:val="clear" w:color="auto" w:fill="auto"/>
            <w:noWrap/>
            <w:vAlign w:val="bottom"/>
            <w:hideMark/>
          </w:tcPr>
          <w:p w14:paraId="63B4CD5C" w14:textId="77777777" w:rsidR="002F53B7" w:rsidRPr="00DE57E1"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2A373F07" w14:textId="77777777" w:rsidR="002F53B7" w:rsidRPr="00DE57E1" w:rsidRDefault="002F53B7" w:rsidP="002F53B7">
            <w:pPr>
              <w:spacing w:after="0" w:line="240" w:lineRule="auto"/>
              <w:jc w:val="right"/>
              <w:rPr>
                <w:rFonts w:ascii="Calibri" w:eastAsia="Times New Roman" w:hAnsi="Calibri" w:cs="Calibri"/>
                <w:color w:val="000000"/>
                <w:sz w:val="22"/>
              </w:rPr>
            </w:pPr>
            <w:r w:rsidRPr="00DE57E1">
              <w:rPr>
                <w:rFonts w:ascii="Calibri" w:eastAsia="Times New Roman" w:hAnsi="Calibri" w:cs="Calibri"/>
                <w:color w:val="000000"/>
                <w:sz w:val="22"/>
              </w:rPr>
              <w:t>100</w:t>
            </w:r>
          </w:p>
        </w:tc>
        <w:tc>
          <w:tcPr>
            <w:tcW w:w="976" w:type="dxa"/>
            <w:tcBorders>
              <w:top w:val="nil"/>
              <w:left w:val="nil"/>
              <w:bottom w:val="nil"/>
              <w:right w:val="nil"/>
            </w:tcBorders>
            <w:shd w:val="clear" w:color="auto" w:fill="auto"/>
            <w:noWrap/>
            <w:vAlign w:val="bottom"/>
            <w:hideMark/>
          </w:tcPr>
          <w:p w14:paraId="2479CC02" w14:textId="77777777" w:rsidR="002F53B7" w:rsidRPr="00DE57E1" w:rsidRDefault="002F53B7" w:rsidP="002F53B7">
            <w:pPr>
              <w:spacing w:after="0" w:line="240" w:lineRule="auto"/>
              <w:jc w:val="right"/>
              <w:rPr>
                <w:rFonts w:ascii="Calibri" w:eastAsia="Times New Roman" w:hAnsi="Calibri" w:cs="Calibri"/>
                <w:color w:val="000000"/>
                <w:sz w:val="22"/>
              </w:rPr>
            </w:pPr>
            <w:r w:rsidRPr="00DE57E1">
              <w:rPr>
                <w:rFonts w:ascii="Calibri" w:eastAsia="Times New Roman" w:hAnsi="Calibri" w:cs="Calibri"/>
                <w:color w:val="000000"/>
                <w:sz w:val="22"/>
              </w:rPr>
              <w:t>100</w:t>
            </w:r>
          </w:p>
        </w:tc>
        <w:tc>
          <w:tcPr>
            <w:tcW w:w="976" w:type="dxa"/>
            <w:tcBorders>
              <w:top w:val="nil"/>
              <w:left w:val="nil"/>
              <w:bottom w:val="nil"/>
              <w:right w:val="nil"/>
            </w:tcBorders>
            <w:shd w:val="clear" w:color="auto" w:fill="auto"/>
            <w:noWrap/>
            <w:vAlign w:val="bottom"/>
            <w:hideMark/>
          </w:tcPr>
          <w:p w14:paraId="6F9421BF" w14:textId="77777777" w:rsidR="002F53B7" w:rsidRPr="00DE57E1"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20DF7EFF"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917B19D" w14:textId="77777777" w:rsidR="002F53B7" w:rsidRPr="00DE57E1" w:rsidRDefault="002F53B7" w:rsidP="002F53B7">
            <w:pPr>
              <w:spacing w:after="0" w:line="240" w:lineRule="auto"/>
              <w:jc w:val="right"/>
              <w:rPr>
                <w:rFonts w:ascii="Calibri" w:eastAsia="Times New Roman" w:hAnsi="Calibri" w:cs="Calibri"/>
                <w:color w:val="000000"/>
                <w:sz w:val="22"/>
              </w:rPr>
            </w:pPr>
            <w:r w:rsidRPr="00DE57E1">
              <w:rPr>
                <w:rFonts w:ascii="Calibri" w:eastAsia="Times New Roman" w:hAnsi="Calibri" w:cs="Calibri"/>
                <w:color w:val="000000"/>
                <w:sz w:val="22"/>
              </w:rPr>
              <w:t>100</w:t>
            </w:r>
          </w:p>
        </w:tc>
        <w:tc>
          <w:tcPr>
            <w:tcW w:w="976" w:type="dxa"/>
            <w:tcBorders>
              <w:top w:val="nil"/>
              <w:left w:val="nil"/>
              <w:bottom w:val="nil"/>
              <w:right w:val="nil"/>
            </w:tcBorders>
            <w:shd w:val="clear" w:color="auto" w:fill="auto"/>
            <w:noWrap/>
            <w:vAlign w:val="bottom"/>
            <w:hideMark/>
          </w:tcPr>
          <w:p w14:paraId="5D05979E" w14:textId="77777777" w:rsidR="002F53B7" w:rsidRPr="00DE57E1" w:rsidRDefault="002F53B7" w:rsidP="002F53B7">
            <w:pPr>
              <w:spacing w:after="0" w:line="240" w:lineRule="auto"/>
              <w:jc w:val="right"/>
              <w:rPr>
                <w:rFonts w:ascii="Calibri" w:eastAsia="Times New Roman" w:hAnsi="Calibri" w:cs="Calibri"/>
                <w:color w:val="000000"/>
                <w:sz w:val="22"/>
              </w:rPr>
            </w:pPr>
          </w:p>
        </w:tc>
      </w:tr>
      <w:tr w:rsidR="002F53B7" w:rsidRPr="00DE57E1" w14:paraId="4795D147" w14:textId="77777777" w:rsidTr="002F53B7">
        <w:trPr>
          <w:trHeight w:val="290"/>
        </w:trPr>
        <w:tc>
          <w:tcPr>
            <w:tcW w:w="976" w:type="dxa"/>
            <w:tcBorders>
              <w:top w:val="nil"/>
              <w:left w:val="nil"/>
              <w:bottom w:val="nil"/>
              <w:right w:val="nil"/>
            </w:tcBorders>
            <w:shd w:val="clear" w:color="auto" w:fill="auto"/>
            <w:noWrap/>
            <w:vAlign w:val="bottom"/>
            <w:hideMark/>
          </w:tcPr>
          <w:p w14:paraId="3B179839"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33794C2"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65285FB"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6EACE2B"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8F4153F"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6DFF29E"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086B8459"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FC10202"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A76B8A1" w14:textId="77777777" w:rsidR="002F53B7" w:rsidRPr="00DE57E1" w:rsidRDefault="002F53B7" w:rsidP="002F53B7">
            <w:pPr>
              <w:spacing w:after="0" w:line="240" w:lineRule="auto"/>
              <w:rPr>
                <w:rFonts w:eastAsia="Times New Roman" w:cs="Times New Roman"/>
                <w:sz w:val="20"/>
                <w:szCs w:val="20"/>
              </w:rPr>
            </w:pPr>
          </w:p>
        </w:tc>
      </w:tr>
      <w:tr w:rsidR="002F53B7" w:rsidRPr="00DE57E1" w14:paraId="3C1F7D26" w14:textId="77777777" w:rsidTr="002F53B7">
        <w:trPr>
          <w:trHeight w:val="290"/>
        </w:trPr>
        <w:tc>
          <w:tcPr>
            <w:tcW w:w="976" w:type="dxa"/>
            <w:tcBorders>
              <w:top w:val="nil"/>
              <w:left w:val="nil"/>
              <w:bottom w:val="nil"/>
              <w:right w:val="nil"/>
            </w:tcBorders>
            <w:shd w:val="clear" w:color="auto" w:fill="auto"/>
            <w:noWrap/>
            <w:vAlign w:val="bottom"/>
            <w:hideMark/>
          </w:tcPr>
          <w:p w14:paraId="598A73FF" w14:textId="77777777" w:rsidR="002F53B7" w:rsidRPr="00DE57E1" w:rsidRDefault="002F53B7" w:rsidP="002F53B7">
            <w:pPr>
              <w:spacing w:after="0" w:line="240" w:lineRule="auto"/>
              <w:jc w:val="right"/>
              <w:rPr>
                <w:rFonts w:ascii="Calibri" w:eastAsia="Times New Roman" w:hAnsi="Calibri" w:cs="Calibri"/>
                <w:color w:val="000000"/>
                <w:sz w:val="22"/>
              </w:rPr>
            </w:pPr>
            <w:r w:rsidRPr="00DE57E1">
              <w:rPr>
                <w:rFonts w:ascii="Calibri" w:eastAsia="Times New Roman" w:hAnsi="Calibri" w:cs="Calibri"/>
                <w:color w:val="000000"/>
                <w:sz w:val="22"/>
              </w:rPr>
              <w:t>1941</w:t>
            </w:r>
          </w:p>
        </w:tc>
        <w:tc>
          <w:tcPr>
            <w:tcW w:w="976" w:type="dxa"/>
            <w:tcBorders>
              <w:top w:val="nil"/>
              <w:left w:val="nil"/>
              <w:bottom w:val="nil"/>
              <w:right w:val="nil"/>
            </w:tcBorders>
            <w:shd w:val="clear" w:color="auto" w:fill="auto"/>
            <w:noWrap/>
            <w:vAlign w:val="bottom"/>
            <w:hideMark/>
          </w:tcPr>
          <w:p w14:paraId="2F90EA5C" w14:textId="77777777" w:rsidR="002F53B7" w:rsidRPr="00DE57E1" w:rsidRDefault="002F53B7" w:rsidP="002F53B7">
            <w:pPr>
              <w:spacing w:after="0" w:line="240" w:lineRule="auto"/>
              <w:jc w:val="right"/>
              <w:rPr>
                <w:rFonts w:ascii="Calibri" w:eastAsia="Times New Roman" w:hAnsi="Calibri" w:cs="Calibri"/>
                <w:color w:val="000000"/>
                <w:sz w:val="22"/>
              </w:rPr>
            </w:pPr>
            <w:r w:rsidRPr="00DE57E1">
              <w:rPr>
                <w:rFonts w:ascii="Calibri" w:eastAsia="Times New Roman" w:hAnsi="Calibri" w:cs="Calibri"/>
                <w:color w:val="000000"/>
                <w:sz w:val="22"/>
              </w:rPr>
              <w:t>105.5</w:t>
            </w:r>
          </w:p>
        </w:tc>
        <w:tc>
          <w:tcPr>
            <w:tcW w:w="976" w:type="dxa"/>
            <w:tcBorders>
              <w:top w:val="nil"/>
              <w:left w:val="nil"/>
              <w:bottom w:val="nil"/>
              <w:right w:val="nil"/>
            </w:tcBorders>
            <w:shd w:val="clear" w:color="auto" w:fill="auto"/>
            <w:noWrap/>
            <w:vAlign w:val="bottom"/>
            <w:hideMark/>
          </w:tcPr>
          <w:p w14:paraId="657B9466" w14:textId="77777777" w:rsidR="002F53B7" w:rsidRPr="00DE57E1"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50F90A1C" w14:textId="77777777" w:rsidR="002F53B7" w:rsidRPr="00DE57E1" w:rsidRDefault="002F53B7" w:rsidP="002F53B7">
            <w:pPr>
              <w:spacing w:after="0" w:line="240" w:lineRule="auto"/>
              <w:jc w:val="right"/>
              <w:rPr>
                <w:rFonts w:ascii="Calibri" w:eastAsia="Times New Roman" w:hAnsi="Calibri" w:cs="Calibri"/>
                <w:color w:val="000000"/>
                <w:sz w:val="22"/>
              </w:rPr>
            </w:pPr>
            <w:r w:rsidRPr="00DE57E1">
              <w:rPr>
                <w:rFonts w:ascii="Calibri" w:eastAsia="Times New Roman" w:hAnsi="Calibri" w:cs="Calibri"/>
                <w:color w:val="000000"/>
                <w:sz w:val="22"/>
              </w:rPr>
              <w:t>68.6</w:t>
            </w:r>
          </w:p>
        </w:tc>
        <w:tc>
          <w:tcPr>
            <w:tcW w:w="976" w:type="dxa"/>
            <w:tcBorders>
              <w:top w:val="nil"/>
              <w:left w:val="nil"/>
              <w:bottom w:val="nil"/>
              <w:right w:val="nil"/>
            </w:tcBorders>
            <w:shd w:val="clear" w:color="auto" w:fill="auto"/>
            <w:noWrap/>
            <w:vAlign w:val="bottom"/>
            <w:hideMark/>
          </w:tcPr>
          <w:p w14:paraId="7D05B414" w14:textId="77777777" w:rsidR="002F53B7" w:rsidRPr="00DE57E1" w:rsidRDefault="002F53B7" w:rsidP="002F53B7">
            <w:pPr>
              <w:spacing w:after="0" w:line="240" w:lineRule="auto"/>
              <w:jc w:val="right"/>
              <w:rPr>
                <w:rFonts w:ascii="Calibri" w:eastAsia="Times New Roman" w:hAnsi="Calibri" w:cs="Calibri"/>
                <w:color w:val="000000"/>
                <w:sz w:val="22"/>
              </w:rPr>
            </w:pPr>
            <w:r w:rsidRPr="00DE57E1">
              <w:rPr>
                <w:rFonts w:ascii="Calibri" w:eastAsia="Times New Roman" w:hAnsi="Calibri" w:cs="Calibri"/>
                <w:color w:val="000000"/>
                <w:sz w:val="22"/>
              </w:rPr>
              <w:t>94.5</w:t>
            </w:r>
          </w:p>
        </w:tc>
        <w:tc>
          <w:tcPr>
            <w:tcW w:w="976" w:type="dxa"/>
            <w:tcBorders>
              <w:top w:val="nil"/>
              <w:left w:val="nil"/>
              <w:bottom w:val="nil"/>
              <w:right w:val="nil"/>
            </w:tcBorders>
            <w:shd w:val="clear" w:color="auto" w:fill="auto"/>
            <w:noWrap/>
            <w:vAlign w:val="bottom"/>
            <w:hideMark/>
          </w:tcPr>
          <w:p w14:paraId="5EDA5049" w14:textId="77777777" w:rsidR="002F53B7" w:rsidRPr="00DE57E1"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7846E572"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2DD39F4" w14:textId="77777777" w:rsidR="002F53B7" w:rsidRPr="00DE57E1" w:rsidRDefault="002F53B7" w:rsidP="002F53B7">
            <w:pPr>
              <w:spacing w:after="0" w:line="240" w:lineRule="auto"/>
              <w:jc w:val="right"/>
              <w:rPr>
                <w:rFonts w:ascii="Calibri" w:eastAsia="Times New Roman" w:hAnsi="Calibri" w:cs="Calibri"/>
                <w:color w:val="000000"/>
                <w:sz w:val="22"/>
              </w:rPr>
            </w:pPr>
            <w:r w:rsidRPr="00DE57E1">
              <w:rPr>
                <w:rFonts w:ascii="Calibri" w:eastAsia="Times New Roman" w:hAnsi="Calibri" w:cs="Calibri"/>
                <w:color w:val="000000"/>
                <w:sz w:val="22"/>
              </w:rPr>
              <w:t>141.8</w:t>
            </w:r>
          </w:p>
        </w:tc>
        <w:tc>
          <w:tcPr>
            <w:tcW w:w="976" w:type="dxa"/>
            <w:tcBorders>
              <w:top w:val="nil"/>
              <w:left w:val="nil"/>
              <w:bottom w:val="nil"/>
              <w:right w:val="nil"/>
            </w:tcBorders>
            <w:shd w:val="clear" w:color="auto" w:fill="auto"/>
            <w:noWrap/>
            <w:vAlign w:val="bottom"/>
            <w:hideMark/>
          </w:tcPr>
          <w:p w14:paraId="0C052314" w14:textId="77777777" w:rsidR="002F53B7" w:rsidRPr="00DE57E1" w:rsidRDefault="002F53B7" w:rsidP="002F53B7">
            <w:pPr>
              <w:spacing w:after="0" w:line="240" w:lineRule="auto"/>
              <w:jc w:val="right"/>
              <w:rPr>
                <w:rFonts w:ascii="Calibri" w:eastAsia="Times New Roman" w:hAnsi="Calibri" w:cs="Calibri"/>
                <w:color w:val="000000"/>
                <w:sz w:val="22"/>
              </w:rPr>
            </w:pPr>
          </w:p>
        </w:tc>
      </w:tr>
      <w:tr w:rsidR="002F53B7" w:rsidRPr="00DE57E1" w14:paraId="23A827A2" w14:textId="77777777" w:rsidTr="002F53B7">
        <w:trPr>
          <w:trHeight w:val="290"/>
        </w:trPr>
        <w:tc>
          <w:tcPr>
            <w:tcW w:w="976" w:type="dxa"/>
            <w:tcBorders>
              <w:top w:val="nil"/>
              <w:left w:val="nil"/>
              <w:bottom w:val="nil"/>
              <w:right w:val="nil"/>
            </w:tcBorders>
            <w:shd w:val="clear" w:color="auto" w:fill="auto"/>
            <w:noWrap/>
            <w:vAlign w:val="bottom"/>
            <w:hideMark/>
          </w:tcPr>
          <w:p w14:paraId="1F10EE34"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78EFABC"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335E0D3"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4FEF962"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4B212D1"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E88E39E"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49122CE"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EF0FCCC"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E1EEE49" w14:textId="77777777" w:rsidR="002F53B7" w:rsidRPr="00DE57E1" w:rsidRDefault="002F53B7" w:rsidP="002F53B7">
            <w:pPr>
              <w:spacing w:after="0" w:line="240" w:lineRule="auto"/>
              <w:rPr>
                <w:rFonts w:eastAsia="Times New Roman" w:cs="Times New Roman"/>
                <w:sz w:val="20"/>
                <w:szCs w:val="20"/>
              </w:rPr>
            </w:pPr>
          </w:p>
        </w:tc>
      </w:tr>
      <w:tr w:rsidR="002F53B7" w:rsidRPr="00DE57E1" w14:paraId="00B91C7B" w14:textId="77777777" w:rsidTr="002F53B7">
        <w:trPr>
          <w:trHeight w:val="290"/>
        </w:trPr>
        <w:tc>
          <w:tcPr>
            <w:tcW w:w="976" w:type="dxa"/>
            <w:tcBorders>
              <w:top w:val="nil"/>
              <w:left w:val="nil"/>
              <w:bottom w:val="nil"/>
              <w:right w:val="nil"/>
            </w:tcBorders>
            <w:shd w:val="clear" w:color="auto" w:fill="auto"/>
            <w:noWrap/>
            <w:vAlign w:val="bottom"/>
            <w:hideMark/>
          </w:tcPr>
          <w:p w14:paraId="050545C6" w14:textId="77777777" w:rsidR="002F53B7" w:rsidRPr="00DE57E1" w:rsidRDefault="002F53B7" w:rsidP="002F53B7">
            <w:pPr>
              <w:spacing w:after="0" w:line="240" w:lineRule="auto"/>
              <w:jc w:val="right"/>
              <w:rPr>
                <w:rFonts w:ascii="Calibri" w:eastAsia="Times New Roman" w:hAnsi="Calibri" w:cs="Calibri"/>
                <w:color w:val="000000"/>
                <w:sz w:val="22"/>
              </w:rPr>
            </w:pPr>
            <w:r w:rsidRPr="00DE57E1">
              <w:rPr>
                <w:rFonts w:ascii="Calibri" w:eastAsia="Times New Roman" w:hAnsi="Calibri" w:cs="Calibri"/>
                <w:color w:val="000000"/>
                <w:sz w:val="22"/>
              </w:rPr>
              <w:t>1948</w:t>
            </w:r>
          </w:p>
        </w:tc>
        <w:tc>
          <w:tcPr>
            <w:tcW w:w="976" w:type="dxa"/>
            <w:tcBorders>
              <w:top w:val="nil"/>
              <w:left w:val="nil"/>
              <w:bottom w:val="nil"/>
              <w:right w:val="nil"/>
            </w:tcBorders>
            <w:shd w:val="clear" w:color="auto" w:fill="auto"/>
            <w:noWrap/>
            <w:vAlign w:val="bottom"/>
            <w:hideMark/>
          </w:tcPr>
          <w:p w14:paraId="36528131" w14:textId="77777777" w:rsidR="002F53B7" w:rsidRPr="00DE57E1" w:rsidRDefault="002F53B7" w:rsidP="002F53B7">
            <w:pPr>
              <w:spacing w:after="0" w:line="240" w:lineRule="auto"/>
              <w:jc w:val="right"/>
              <w:rPr>
                <w:rFonts w:ascii="Calibri" w:eastAsia="Times New Roman" w:hAnsi="Calibri" w:cs="Calibri"/>
                <w:color w:val="000000"/>
                <w:sz w:val="22"/>
              </w:rPr>
            </w:pPr>
            <w:r w:rsidRPr="00DE57E1">
              <w:rPr>
                <w:rFonts w:ascii="Calibri" w:eastAsia="Times New Roman" w:hAnsi="Calibri" w:cs="Calibri"/>
                <w:color w:val="000000"/>
                <w:sz w:val="22"/>
              </w:rPr>
              <w:t>141.8</w:t>
            </w:r>
          </w:p>
        </w:tc>
        <w:tc>
          <w:tcPr>
            <w:tcW w:w="976" w:type="dxa"/>
            <w:tcBorders>
              <w:top w:val="nil"/>
              <w:left w:val="nil"/>
              <w:bottom w:val="nil"/>
              <w:right w:val="nil"/>
            </w:tcBorders>
            <w:shd w:val="clear" w:color="auto" w:fill="auto"/>
            <w:noWrap/>
            <w:vAlign w:val="bottom"/>
            <w:hideMark/>
          </w:tcPr>
          <w:p w14:paraId="1632FA7D" w14:textId="77777777" w:rsidR="002F53B7" w:rsidRPr="00DE57E1"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3CC03E0A" w14:textId="77777777" w:rsidR="002F53B7" w:rsidRPr="00DE57E1" w:rsidRDefault="002F53B7" w:rsidP="002F53B7">
            <w:pPr>
              <w:spacing w:after="0" w:line="240" w:lineRule="auto"/>
              <w:jc w:val="right"/>
              <w:rPr>
                <w:rFonts w:ascii="Calibri" w:eastAsia="Times New Roman" w:hAnsi="Calibri" w:cs="Calibri"/>
                <w:color w:val="000000"/>
                <w:sz w:val="22"/>
              </w:rPr>
            </w:pPr>
            <w:r w:rsidRPr="00DE57E1">
              <w:rPr>
                <w:rFonts w:ascii="Calibri" w:eastAsia="Times New Roman" w:hAnsi="Calibri" w:cs="Calibri"/>
                <w:color w:val="000000"/>
                <w:sz w:val="22"/>
              </w:rPr>
              <w:t>79.4</w:t>
            </w:r>
          </w:p>
        </w:tc>
        <w:tc>
          <w:tcPr>
            <w:tcW w:w="976" w:type="dxa"/>
            <w:tcBorders>
              <w:top w:val="nil"/>
              <w:left w:val="nil"/>
              <w:bottom w:val="nil"/>
              <w:right w:val="nil"/>
            </w:tcBorders>
            <w:shd w:val="clear" w:color="auto" w:fill="auto"/>
            <w:noWrap/>
            <w:vAlign w:val="bottom"/>
            <w:hideMark/>
          </w:tcPr>
          <w:p w14:paraId="3618DB0D" w14:textId="77777777" w:rsidR="002F53B7" w:rsidRPr="00DE57E1" w:rsidRDefault="002F53B7" w:rsidP="002F53B7">
            <w:pPr>
              <w:spacing w:after="0" w:line="240" w:lineRule="auto"/>
              <w:jc w:val="right"/>
              <w:rPr>
                <w:rFonts w:ascii="Calibri" w:eastAsia="Times New Roman" w:hAnsi="Calibri" w:cs="Calibri"/>
                <w:color w:val="000000"/>
                <w:sz w:val="22"/>
              </w:rPr>
            </w:pPr>
            <w:r w:rsidRPr="00DE57E1">
              <w:rPr>
                <w:rFonts w:ascii="Calibri" w:eastAsia="Times New Roman" w:hAnsi="Calibri" w:cs="Calibri"/>
                <w:color w:val="000000"/>
                <w:sz w:val="22"/>
              </w:rPr>
              <w:t>93.9</w:t>
            </w:r>
          </w:p>
        </w:tc>
        <w:tc>
          <w:tcPr>
            <w:tcW w:w="976" w:type="dxa"/>
            <w:tcBorders>
              <w:top w:val="nil"/>
              <w:left w:val="nil"/>
              <w:bottom w:val="nil"/>
              <w:right w:val="nil"/>
            </w:tcBorders>
            <w:shd w:val="clear" w:color="auto" w:fill="auto"/>
            <w:noWrap/>
            <w:vAlign w:val="bottom"/>
            <w:hideMark/>
          </w:tcPr>
          <w:p w14:paraId="72985E42" w14:textId="77777777" w:rsidR="002F53B7" w:rsidRPr="00DE57E1"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5A64F054"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D64A526" w14:textId="77777777" w:rsidR="002F53B7" w:rsidRPr="00DE57E1" w:rsidRDefault="002F53B7" w:rsidP="002F53B7">
            <w:pPr>
              <w:spacing w:after="0" w:line="240" w:lineRule="auto"/>
              <w:jc w:val="right"/>
              <w:rPr>
                <w:rFonts w:ascii="Calibri" w:eastAsia="Times New Roman" w:hAnsi="Calibri" w:cs="Calibri"/>
                <w:color w:val="000000"/>
                <w:sz w:val="22"/>
              </w:rPr>
            </w:pPr>
            <w:r w:rsidRPr="00DE57E1">
              <w:rPr>
                <w:rFonts w:ascii="Calibri" w:eastAsia="Times New Roman" w:hAnsi="Calibri" w:cs="Calibri"/>
                <w:color w:val="000000"/>
                <w:sz w:val="22"/>
              </w:rPr>
              <w:t>169.6</w:t>
            </w:r>
          </w:p>
        </w:tc>
        <w:tc>
          <w:tcPr>
            <w:tcW w:w="976" w:type="dxa"/>
            <w:tcBorders>
              <w:top w:val="nil"/>
              <w:left w:val="nil"/>
              <w:bottom w:val="nil"/>
              <w:right w:val="nil"/>
            </w:tcBorders>
            <w:shd w:val="clear" w:color="auto" w:fill="auto"/>
            <w:noWrap/>
            <w:vAlign w:val="bottom"/>
            <w:hideMark/>
          </w:tcPr>
          <w:p w14:paraId="49208C74" w14:textId="77777777" w:rsidR="002F53B7" w:rsidRPr="00DE57E1" w:rsidRDefault="002F53B7" w:rsidP="002F53B7">
            <w:pPr>
              <w:spacing w:after="0" w:line="240" w:lineRule="auto"/>
              <w:jc w:val="right"/>
              <w:rPr>
                <w:rFonts w:ascii="Calibri" w:eastAsia="Times New Roman" w:hAnsi="Calibri" w:cs="Calibri"/>
                <w:color w:val="000000"/>
                <w:sz w:val="22"/>
              </w:rPr>
            </w:pPr>
          </w:p>
        </w:tc>
      </w:tr>
      <w:tr w:rsidR="002F53B7" w:rsidRPr="00DE57E1" w14:paraId="7F070147" w14:textId="77777777" w:rsidTr="002F53B7">
        <w:trPr>
          <w:trHeight w:val="290"/>
        </w:trPr>
        <w:tc>
          <w:tcPr>
            <w:tcW w:w="976" w:type="dxa"/>
            <w:tcBorders>
              <w:top w:val="nil"/>
              <w:left w:val="nil"/>
              <w:bottom w:val="nil"/>
              <w:right w:val="nil"/>
            </w:tcBorders>
            <w:shd w:val="clear" w:color="auto" w:fill="auto"/>
            <w:noWrap/>
            <w:vAlign w:val="bottom"/>
            <w:hideMark/>
          </w:tcPr>
          <w:p w14:paraId="58864218"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1A28164"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24AA322"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46125F8"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DFA7408"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C42480C"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5D2D8D7"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4D579E9"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CB2B643" w14:textId="77777777" w:rsidR="002F53B7" w:rsidRPr="00DE57E1" w:rsidRDefault="002F53B7" w:rsidP="002F53B7">
            <w:pPr>
              <w:spacing w:after="0" w:line="240" w:lineRule="auto"/>
              <w:rPr>
                <w:rFonts w:eastAsia="Times New Roman" w:cs="Times New Roman"/>
                <w:sz w:val="20"/>
                <w:szCs w:val="20"/>
              </w:rPr>
            </w:pPr>
          </w:p>
        </w:tc>
      </w:tr>
      <w:tr w:rsidR="002F53B7" w:rsidRPr="00DE57E1" w14:paraId="25395919" w14:textId="77777777" w:rsidTr="002F53B7">
        <w:trPr>
          <w:trHeight w:val="290"/>
        </w:trPr>
        <w:tc>
          <w:tcPr>
            <w:tcW w:w="976" w:type="dxa"/>
            <w:tcBorders>
              <w:top w:val="nil"/>
              <w:left w:val="nil"/>
              <w:bottom w:val="nil"/>
              <w:right w:val="nil"/>
            </w:tcBorders>
            <w:shd w:val="clear" w:color="auto" w:fill="auto"/>
            <w:noWrap/>
            <w:vAlign w:val="bottom"/>
            <w:hideMark/>
          </w:tcPr>
          <w:p w14:paraId="4AC8F1EF" w14:textId="77777777" w:rsidR="002F53B7" w:rsidRPr="00DE57E1" w:rsidRDefault="002F53B7" w:rsidP="002F53B7">
            <w:pPr>
              <w:spacing w:after="0" w:line="240" w:lineRule="auto"/>
              <w:jc w:val="right"/>
              <w:rPr>
                <w:rFonts w:ascii="Calibri" w:eastAsia="Times New Roman" w:hAnsi="Calibri" w:cs="Calibri"/>
                <w:color w:val="000000"/>
                <w:sz w:val="22"/>
              </w:rPr>
            </w:pPr>
            <w:r w:rsidRPr="00DE57E1">
              <w:rPr>
                <w:rFonts w:ascii="Calibri" w:eastAsia="Times New Roman" w:hAnsi="Calibri" w:cs="Calibri"/>
                <w:color w:val="000000"/>
                <w:sz w:val="22"/>
              </w:rPr>
              <w:t>1950</w:t>
            </w:r>
          </w:p>
        </w:tc>
        <w:tc>
          <w:tcPr>
            <w:tcW w:w="976" w:type="dxa"/>
            <w:tcBorders>
              <w:top w:val="nil"/>
              <w:left w:val="nil"/>
              <w:bottom w:val="nil"/>
              <w:right w:val="nil"/>
            </w:tcBorders>
            <w:shd w:val="clear" w:color="auto" w:fill="auto"/>
            <w:noWrap/>
            <w:vAlign w:val="bottom"/>
            <w:hideMark/>
          </w:tcPr>
          <w:p w14:paraId="19F64275" w14:textId="77777777" w:rsidR="002F53B7" w:rsidRPr="00DE57E1" w:rsidRDefault="002F53B7" w:rsidP="002F53B7">
            <w:pPr>
              <w:spacing w:after="0" w:line="240" w:lineRule="auto"/>
              <w:jc w:val="right"/>
              <w:rPr>
                <w:rFonts w:ascii="Calibri" w:eastAsia="Times New Roman" w:hAnsi="Calibri" w:cs="Calibri"/>
                <w:color w:val="000000"/>
                <w:sz w:val="22"/>
              </w:rPr>
            </w:pPr>
            <w:r w:rsidRPr="00DE57E1">
              <w:rPr>
                <w:rFonts w:ascii="Calibri" w:eastAsia="Times New Roman" w:hAnsi="Calibri" w:cs="Calibri"/>
                <w:color w:val="000000"/>
                <w:sz w:val="22"/>
              </w:rPr>
              <w:t>128.6</w:t>
            </w:r>
          </w:p>
        </w:tc>
        <w:tc>
          <w:tcPr>
            <w:tcW w:w="976" w:type="dxa"/>
            <w:tcBorders>
              <w:top w:val="nil"/>
              <w:left w:val="nil"/>
              <w:bottom w:val="nil"/>
              <w:right w:val="nil"/>
            </w:tcBorders>
            <w:shd w:val="clear" w:color="auto" w:fill="auto"/>
            <w:noWrap/>
            <w:vAlign w:val="bottom"/>
            <w:hideMark/>
          </w:tcPr>
          <w:p w14:paraId="176033CF" w14:textId="77777777" w:rsidR="002F53B7" w:rsidRPr="00DE57E1"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60B0539B" w14:textId="77777777" w:rsidR="002F53B7" w:rsidRPr="00DE57E1" w:rsidRDefault="002F53B7" w:rsidP="002F53B7">
            <w:pPr>
              <w:spacing w:after="0" w:line="240" w:lineRule="auto"/>
              <w:jc w:val="right"/>
              <w:rPr>
                <w:rFonts w:ascii="Calibri" w:eastAsia="Times New Roman" w:hAnsi="Calibri" w:cs="Calibri"/>
                <w:color w:val="000000"/>
                <w:sz w:val="22"/>
              </w:rPr>
            </w:pPr>
            <w:r w:rsidRPr="00DE57E1">
              <w:rPr>
                <w:rFonts w:ascii="Calibri" w:eastAsia="Times New Roman" w:hAnsi="Calibri" w:cs="Calibri"/>
                <w:color w:val="000000"/>
                <w:sz w:val="22"/>
              </w:rPr>
              <w:t>63.5</w:t>
            </w:r>
          </w:p>
        </w:tc>
        <w:tc>
          <w:tcPr>
            <w:tcW w:w="976" w:type="dxa"/>
            <w:tcBorders>
              <w:top w:val="nil"/>
              <w:left w:val="nil"/>
              <w:bottom w:val="nil"/>
              <w:right w:val="nil"/>
            </w:tcBorders>
            <w:shd w:val="clear" w:color="auto" w:fill="auto"/>
            <w:noWrap/>
            <w:vAlign w:val="bottom"/>
            <w:hideMark/>
          </w:tcPr>
          <w:p w14:paraId="67843F1E" w14:textId="77777777" w:rsidR="002F53B7" w:rsidRPr="00DE57E1" w:rsidRDefault="002F53B7" w:rsidP="002F53B7">
            <w:pPr>
              <w:spacing w:after="0" w:line="240" w:lineRule="auto"/>
              <w:jc w:val="right"/>
              <w:rPr>
                <w:rFonts w:ascii="Calibri" w:eastAsia="Times New Roman" w:hAnsi="Calibri" w:cs="Calibri"/>
                <w:color w:val="000000"/>
                <w:sz w:val="22"/>
              </w:rPr>
            </w:pPr>
            <w:r w:rsidRPr="00DE57E1">
              <w:rPr>
                <w:rFonts w:ascii="Calibri" w:eastAsia="Times New Roman" w:hAnsi="Calibri" w:cs="Calibri"/>
                <w:color w:val="000000"/>
                <w:sz w:val="22"/>
              </w:rPr>
              <w:t>95.6</w:t>
            </w:r>
          </w:p>
        </w:tc>
        <w:tc>
          <w:tcPr>
            <w:tcW w:w="976" w:type="dxa"/>
            <w:tcBorders>
              <w:top w:val="nil"/>
              <w:left w:val="nil"/>
              <w:bottom w:val="nil"/>
              <w:right w:val="nil"/>
            </w:tcBorders>
            <w:shd w:val="clear" w:color="auto" w:fill="auto"/>
            <w:noWrap/>
            <w:vAlign w:val="bottom"/>
            <w:hideMark/>
          </w:tcPr>
          <w:p w14:paraId="57764B9F" w14:textId="77777777" w:rsidR="002F53B7" w:rsidRPr="00DE57E1"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703FF7EA"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116AE16" w14:textId="77777777" w:rsidR="002F53B7" w:rsidRPr="00DE57E1" w:rsidRDefault="002F53B7" w:rsidP="002F53B7">
            <w:pPr>
              <w:spacing w:after="0" w:line="240" w:lineRule="auto"/>
              <w:jc w:val="right"/>
              <w:rPr>
                <w:rFonts w:ascii="Calibri" w:eastAsia="Times New Roman" w:hAnsi="Calibri" w:cs="Calibri"/>
                <w:color w:val="000000"/>
                <w:sz w:val="22"/>
              </w:rPr>
            </w:pPr>
            <w:r w:rsidRPr="00DE57E1">
              <w:rPr>
                <w:rFonts w:ascii="Calibri" w:eastAsia="Times New Roman" w:hAnsi="Calibri" w:cs="Calibri"/>
                <w:color w:val="000000"/>
                <w:sz w:val="22"/>
              </w:rPr>
              <w:t>184.8</w:t>
            </w:r>
          </w:p>
        </w:tc>
        <w:tc>
          <w:tcPr>
            <w:tcW w:w="976" w:type="dxa"/>
            <w:tcBorders>
              <w:top w:val="nil"/>
              <w:left w:val="nil"/>
              <w:bottom w:val="nil"/>
              <w:right w:val="nil"/>
            </w:tcBorders>
            <w:shd w:val="clear" w:color="auto" w:fill="auto"/>
            <w:noWrap/>
            <w:vAlign w:val="bottom"/>
            <w:hideMark/>
          </w:tcPr>
          <w:p w14:paraId="3E21795A" w14:textId="77777777" w:rsidR="002F53B7" w:rsidRPr="00DE57E1" w:rsidRDefault="002F53B7" w:rsidP="002F53B7">
            <w:pPr>
              <w:spacing w:after="0" w:line="240" w:lineRule="auto"/>
              <w:jc w:val="right"/>
              <w:rPr>
                <w:rFonts w:ascii="Calibri" w:eastAsia="Times New Roman" w:hAnsi="Calibri" w:cs="Calibri"/>
                <w:color w:val="000000"/>
                <w:sz w:val="22"/>
              </w:rPr>
            </w:pPr>
          </w:p>
        </w:tc>
      </w:tr>
      <w:tr w:rsidR="002F53B7" w:rsidRPr="00DE57E1" w14:paraId="037C3F25" w14:textId="77777777" w:rsidTr="002F53B7">
        <w:trPr>
          <w:trHeight w:val="290"/>
        </w:trPr>
        <w:tc>
          <w:tcPr>
            <w:tcW w:w="976" w:type="dxa"/>
            <w:tcBorders>
              <w:top w:val="nil"/>
              <w:left w:val="nil"/>
              <w:bottom w:val="nil"/>
              <w:right w:val="nil"/>
            </w:tcBorders>
            <w:shd w:val="clear" w:color="auto" w:fill="auto"/>
            <w:noWrap/>
            <w:vAlign w:val="bottom"/>
            <w:hideMark/>
          </w:tcPr>
          <w:p w14:paraId="241BE109"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C94DEA6"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62E71FA"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ED75E55"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74ACCE7"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BA39495"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D87E9B9"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21E56FE"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0FC209F" w14:textId="77777777" w:rsidR="002F53B7" w:rsidRPr="00DE57E1" w:rsidRDefault="002F53B7" w:rsidP="002F53B7">
            <w:pPr>
              <w:spacing w:after="0" w:line="240" w:lineRule="auto"/>
              <w:rPr>
                <w:rFonts w:eastAsia="Times New Roman" w:cs="Times New Roman"/>
                <w:sz w:val="20"/>
                <w:szCs w:val="20"/>
              </w:rPr>
            </w:pPr>
          </w:p>
        </w:tc>
      </w:tr>
      <w:tr w:rsidR="002F53B7" w:rsidRPr="00DE57E1" w14:paraId="7D98D151" w14:textId="77777777" w:rsidTr="002F53B7">
        <w:trPr>
          <w:trHeight w:val="290"/>
        </w:trPr>
        <w:tc>
          <w:tcPr>
            <w:tcW w:w="1952" w:type="dxa"/>
            <w:gridSpan w:val="2"/>
            <w:tcBorders>
              <w:top w:val="nil"/>
              <w:left w:val="nil"/>
              <w:bottom w:val="nil"/>
              <w:right w:val="nil"/>
            </w:tcBorders>
            <w:shd w:val="clear" w:color="auto" w:fill="auto"/>
            <w:noWrap/>
            <w:vAlign w:val="bottom"/>
            <w:hideMark/>
          </w:tcPr>
          <w:p w14:paraId="508F1794" w14:textId="77777777" w:rsidR="002F53B7" w:rsidRPr="00DE57E1" w:rsidRDefault="002F53B7" w:rsidP="002F53B7">
            <w:pPr>
              <w:spacing w:after="0" w:line="240" w:lineRule="auto"/>
              <w:rPr>
                <w:rFonts w:ascii="Calibri" w:eastAsia="Times New Roman" w:hAnsi="Calibri" w:cs="Calibri"/>
                <w:color w:val="000000"/>
                <w:sz w:val="22"/>
              </w:rPr>
            </w:pPr>
            <w:r w:rsidRPr="00DE57E1">
              <w:rPr>
                <w:rFonts w:ascii="Calibri" w:eastAsia="Times New Roman" w:hAnsi="Calibri" w:cs="Calibri"/>
                <w:color w:val="000000"/>
                <w:sz w:val="22"/>
              </w:rPr>
              <w:t>Growth rates</w:t>
            </w:r>
          </w:p>
        </w:tc>
        <w:tc>
          <w:tcPr>
            <w:tcW w:w="976" w:type="dxa"/>
            <w:tcBorders>
              <w:top w:val="nil"/>
              <w:left w:val="nil"/>
              <w:bottom w:val="nil"/>
              <w:right w:val="nil"/>
            </w:tcBorders>
            <w:shd w:val="clear" w:color="auto" w:fill="auto"/>
            <w:noWrap/>
            <w:vAlign w:val="bottom"/>
            <w:hideMark/>
          </w:tcPr>
          <w:p w14:paraId="1C8857E4" w14:textId="77777777" w:rsidR="002F53B7" w:rsidRPr="00DE57E1" w:rsidRDefault="002F53B7" w:rsidP="002F53B7">
            <w:pPr>
              <w:spacing w:after="0" w:line="240" w:lineRule="auto"/>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35A0987A"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D064135"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40073A2"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060DE8D"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F4692C0"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178AD30" w14:textId="77777777" w:rsidR="002F53B7" w:rsidRPr="00DE57E1" w:rsidRDefault="002F53B7" w:rsidP="002F53B7">
            <w:pPr>
              <w:spacing w:after="0" w:line="240" w:lineRule="auto"/>
              <w:rPr>
                <w:rFonts w:eastAsia="Times New Roman" w:cs="Times New Roman"/>
                <w:sz w:val="20"/>
                <w:szCs w:val="20"/>
              </w:rPr>
            </w:pPr>
          </w:p>
        </w:tc>
      </w:tr>
      <w:tr w:rsidR="002F53B7" w:rsidRPr="00DE57E1" w14:paraId="6F34831B" w14:textId="77777777" w:rsidTr="002F53B7">
        <w:trPr>
          <w:trHeight w:val="290"/>
        </w:trPr>
        <w:tc>
          <w:tcPr>
            <w:tcW w:w="976" w:type="dxa"/>
            <w:tcBorders>
              <w:top w:val="nil"/>
              <w:left w:val="nil"/>
              <w:bottom w:val="nil"/>
              <w:right w:val="nil"/>
            </w:tcBorders>
            <w:shd w:val="clear" w:color="auto" w:fill="auto"/>
            <w:noWrap/>
            <w:vAlign w:val="bottom"/>
            <w:hideMark/>
          </w:tcPr>
          <w:p w14:paraId="6AA30A2F" w14:textId="77777777" w:rsidR="002F53B7" w:rsidRPr="00DE57E1" w:rsidRDefault="002F53B7" w:rsidP="002F53B7">
            <w:pPr>
              <w:spacing w:after="0" w:line="240" w:lineRule="auto"/>
              <w:rPr>
                <w:rFonts w:ascii="Calibri" w:eastAsia="Times New Roman" w:hAnsi="Calibri" w:cs="Calibri"/>
                <w:color w:val="000000"/>
                <w:sz w:val="22"/>
              </w:rPr>
            </w:pPr>
            <w:r w:rsidRPr="00DE57E1">
              <w:rPr>
                <w:rFonts w:ascii="Calibri" w:eastAsia="Times New Roman" w:hAnsi="Calibri" w:cs="Calibri"/>
                <w:color w:val="000000"/>
                <w:sz w:val="22"/>
              </w:rPr>
              <w:t>1929-41</w:t>
            </w:r>
          </w:p>
        </w:tc>
        <w:tc>
          <w:tcPr>
            <w:tcW w:w="976" w:type="dxa"/>
            <w:tcBorders>
              <w:top w:val="nil"/>
              <w:left w:val="nil"/>
              <w:bottom w:val="nil"/>
              <w:right w:val="nil"/>
            </w:tcBorders>
            <w:shd w:val="clear" w:color="auto" w:fill="auto"/>
            <w:noWrap/>
            <w:vAlign w:val="bottom"/>
            <w:hideMark/>
          </w:tcPr>
          <w:p w14:paraId="0BCA8D5C" w14:textId="77777777" w:rsidR="002F53B7" w:rsidRPr="00DE57E1" w:rsidRDefault="002F53B7" w:rsidP="002F53B7">
            <w:pPr>
              <w:spacing w:after="0" w:line="240" w:lineRule="auto"/>
              <w:jc w:val="right"/>
              <w:rPr>
                <w:rFonts w:ascii="Calibri" w:eastAsia="Times New Roman" w:hAnsi="Calibri" w:cs="Calibri"/>
                <w:color w:val="000000"/>
                <w:sz w:val="22"/>
              </w:rPr>
            </w:pPr>
            <w:r w:rsidRPr="00DE57E1">
              <w:rPr>
                <w:rFonts w:ascii="Calibri" w:eastAsia="Times New Roman" w:hAnsi="Calibri" w:cs="Calibri"/>
                <w:color w:val="000000"/>
                <w:sz w:val="22"/>
              </w:rPr>
              <w:t>0.0045</w:t>
            </w:r>
          </w:p>
        </w:tc>
        <w:tc>
          <w:tcPr>
            <w:tcW w:w="976" w:type="dxa"/>
            <w:tcBorders>
              <w:top w:val="nil"/>
              <w:left w:val="nil"/>
              <w:bottom w:val="nil"/>
              <w:right w:val="nil"/>
            </w:tcBorders>
            <w:shd w:val="clear" w:color="auto" w:fill="auto"/>
            <w:noWrap/>
            <w:vAlign w:val="bottom"/>
            <w:hideMark/>
          </w:tcPr>
          <w:p w14:paraId="749DC58E" w14:textId="77777777" w:rsidR="002F53B7" w:rsidRPr="00DE57E1"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63B0CF32" w14:textId="77777777" w:rsidR="002F53B7" w:rsidRPr="00DE57E1" w:rsidRDefault="002F53B7" w:rsidP="002F53B7">
            <w:pPr>
              <w:spacing w:after="0" w:line="240" w:lineRule="auto"/>
              <w:jc w:val="right"/>
              <w:rPr>
                <w:rFonts w:ascii="Calibri" w:eastAsia="Times New Roman" w:hAnsi="Calibri" w:cs="Calibri"/>
                <w:color w:val="000000"/>
                <w:sz w:val="22"/>
              </w:rPr>
            </w:pPr>
            <w:r w:rsidRPr="00DE57E1">
              <w:rPr>
                <w:rFonts w:ascii="Calibri" w:eastAsia="Times New Roman" w:hAnsi="Calibri" w:cs="Calibri"/>
                <w:color w:val="000000"/>
                <w:sz w:val="22"/>
              </w:rPr>
              <w:t>-0.0314</w:t>
            </w:r>
          </w:p>
        </w:tc>
        <w:tc>
          <w:tcPr>
            <w:tcW w:w="976" w:type="dxa"/>
            <w:tcBorders>
              <w:top w:val="nil"/>
              <w:left w:val="nil"/>
              <w:bottom w:val="nil"/>
              <w:right w:val="nil"/>
            </w:tcBorders>
            <w:shd w:val="clear" w:color="auto" w:fill="auto"/>
            <w:noWrap/>
            <w:vAlign w:val="bottom"/>
            <w:hideMark/>
          </w:tcPr>
          <w:p w14:paraId="11099FB0" w14:textId="77777777" w:rsidR="002F53B7" w:rsidRPr="00DE57E1" w:rsidRDefault="002F53B7" w:rsidP="002F53B7">
            <w:pPr>
              <w:spacing w:after="0" w:line="240" w:lineRule="auto"/>
              <w:jc w:val="right"/>
              <w:rPr>
                <w:rFonts w:ascii="Calibri" w:eastAsia="Times New Roman" w:hAnsi="Calibri" w:cs="Calibri"/>
                <w:color w:val="000000"/>
                <w:sz w:val="22"/>
              </w:rPr>
            </w:pPr>
            <w:r w:rsidRPr="00DE57E1">
              <w:rPr>
                <w:rFonts w:ascii="Calibri" w:eastAsia="Times New Roman" w:hAnsi="Calibri" w:cs="Calibri"/>
                <w:color w:val="000000"/>
                <w:sz w:val="22"/>
              </w:rPr>
              <w:t>-0.0047</w:t>
            </w:r>
          </w:p>
        </w:tc>
        <w:tc>
          <w:tcPr>
            <w:tcW w:w="976" w:type="dxa"/>
            <w:tcBorders>
              <w:top w:val="nil"/>
              <w:left w:val="nil"/>
              <w:bottom w:val="nil"/>
              <w:right w:val="nil"/>
            </w:tcBorders>
            <w:shd w:val="clear" w:color="auto" w:fill="auto"/>
            <w:noWrap/>
            <w:vAlign w:val="bottom"/>
            <w:hideMark/>
          </w:tcPr>
          <w:p w14:paraId="393FD358" w14:textId="77777777" w:rsidR="002F53B7" w:rsidRPr="00DE57E1"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609B977B" w14:textId="77777777" w:rsidR="002F53B7" w:rsidRPr="00DE57E1" w:rsidRDefault="002F53B7" w:rsidP="002F53B7">
            <w:pPr>
              <w:spacing w:after="0" w:line="240" w:lineRule="auto"/>
              <w:jc w:val="right"/>
              <w:rPr>
                <w:rFonts w:ascii="Calibri" w:eastAsia="Times New Roman" w:hAnsi="Calibri" w:cs="Calibri"/>
                <w:color w:val="000000"/>
                <w:sz w:val="22"/>
              </w:rPr>
            </w:pPr>
            <w:r w:rsidRPr="00DE57E1">
              <w:rPr>
                <w:rFonts w:ascii="Calibri" w:eastAsia="Times New Roman" w:hAnsi="Calibri" w:cs="Calibri"/>
                <w:color w:val="000000"/>
                <w:sz w:val="22"/>
              </w:rPr>
              <w:t>0.0359</w:t>
            </w:r>
          </w:p>
        </w:tc>
        <w:tc>
          <w:tcPr>
            <w:tcW w:w="976" w:type="dxa"/>
            <w:tcBorders>
              <w:top w:val="nil"/>
              <w:left w:val="nil"/>
              <w:bottom w:val="nil"/>
              <w:right w:val="nil"/>
            </w:tcBorders>
            <w:shd w:val="clear" w:color="auto" w:fill="auto"/>
            <w:noWrap/>
            <w:vAlign w:val="bottom"/>
            <w:hideMark/>
          </w:tcPr>
          <w:p w14:paraId="4C0F3295" w14:textId="77777777" w:rsidR="002F53B7" w:rsidRPr="00FA6DE8" w:rsidRDefault="002F53B7" w:rsidP="002F53B7">
            <w:pPr>
              <w:spacing w:after="0" w:line="240" w:lineRule="auto"/>
              <w:jc w:val="right"/>
              <w:rPr>
                <w:rFonts w:ascii="Calibri" w:eastAsia="Times New Roman" w:hAnsi="Calibri" w:cs="Calibri"/>
                <w:b/>
                <w:color w:val="000000"/>
                <w:sz w:val="22"/>
              </w:rPr>
            </w:pPr>
            <w:r w:rsidRPr="00FA6DE8">
              <w:rPr>
                <w:rFonts w:ascii="Calibri" w:eastAsia="Times New Roman" w:hAnsi="Calibri" w:cs="Calibri"/>
                <w:b/>
                <w:color w:val="000000"/>
                <w:sz w:val="22"/>
              </w:rPr>
              <w:t>0.0291</w:t>
            </w:r>
          </w:p>
        </w:tc>
        <w:tc>
          <w:tcPr>
            <w:tcW w:w="976" w:type="dxa"/>
            <w:tcBorders>
              <w:top w:val="nil"/>
              <w:left w:val="nil"/>
              <w:bottom w:val="nil"/>
              <w:right w:val="nil"/>
            </w:tcBorders>
            <w:shd w:val="clear" w:color="auto" w:fill="auto"/>
            <w:noWrap/>
            <w:vAlign w:val="bottom"/>
            <w:hideMark/>
          </w:tcPr>
          <w:p w14:paraId="7E14635B" w14:textId="77777777" w:rsidR="002F53B7" w:rsidRPr="00DE57E1" w:rsidRDefault="002F53B7" w:rsidP="002F53B7">
            <w:pPr>
              <w:spacing w:after="0" w:line="240" w:lineRule="auto"/>
              <w:jc w:val="right"/>
              <w:rPr>
                <w:rFonts w:ascii="Calibri" w:eastAsia="Times New Roman" w:hAnsi="Calibri" w:cs="Calibri"/>
                <w:color w:val="000000"/>
                <w:sz w:val="22"/>
              </w:rPr>
            </w:pPr>
          </w:p>
        </w:tc>
      </w:tr>
      <w:tr w:rsidR="002F53B7" w:rsidRPr="00DE57E1" w14:paraId="76D2895E" w14:textId="77777777" w:rsidTr="002F53B7">
        <w:trPr>
          <w:trHeight w:val="290"/>
        </w:trPr>
        <w:tc>
          <w:tcPr>
            <w:tcW w:w="976" w:type="dxa"/>
            <w:tcBorders>
              <w:top w:val="nil"/>
              <w:left w:val="nil"/>
              <w:bottom w:val="nil"/>
              <w:right w:val="nil"/>
            </w:tcBorders>
            <w:shd w:val="clear" w:color="auto" w:fill="auto"/>
            <w:noWrap/>
            <w:vAlign w:val="bottom"/>
            <w:hideMark/>
          </w:tcPr>
          <w:p w14:paraId="4C96961F" w14:textId="77777777" w:rsidR="002F53B7" w:rsidRPr="00DE57E1" w:rsidRDefault="002F53B7" w:rsidP="002F53B7">
            <w:pPr>
              <w:spacing w:after="0" w:line="240" w:lineRule="auto"/>
              <w:rPr>
                <w:rFonts w:ascii="Calibri" w:eastAsia="Times New Roman" w:hAnsi="Calibri" w:cs="Calibri"/>
                <w:color w:val="000000"/>
                <w:sz w:val="22"/>
              </w:rPr>
            </w:pPr>
            <w:r w:rsidRPr="00DE57E1">
              <w:rPr>
                <w:rFonts w:ascii="Calibri" w:eastAsia="Times New Roman" w:hAnsi="Calibri" w:cs="Calibri"/>
                <w:color w:val="000000"/>
                <w:sz w:val="22"/>
              </w:rPr>
              <w:t>1941-48</w:t>
            </w:r>
          </w:p>
        </w:tc>
        <w:tc>
          <w:tcPr>
            <w:tcW w:w="976" w:type="dxa"/>
            <w:tcBorders>
              <w:top w:val="nil"/>
              <w:left w:val="nil"/>
              <w:bottom w:val="nil"/>
              <w:right w:val="nil"/>
            </w:tcBorders>
            <w:shd w:val="clear" w:color="auto" w:fill="auto"/>
            <w:noWrap/>
            <w:vAlign w:val="bottom"/>
            <w:hideMark/>
          </w:tcPr>
          <w:p w14:paraId="480A1215" w14:textId="77777777" w:rsidR="002F53B7" w:rsidRPr="00DE57E1" w:rsidRDefault="002F53B7" w:rsidP="002F53B7">
            <w:pPr>
              <w:spacing w:after="0" w:line="240" w:lineRule="auto"/>
              <w:jc w:val="right"/>
              <w:rPr>
                <w:rFonts w:ascii="Calibri" w:eastAsia="Times New Roman" w:hAnsi="Calibri" w:cs="Calibri"/>
                <w:color w:val="000000"/>
                <w:sz w:val="22"/>
              </w:rPr>
            </w:pPr>
            <w:r w:rsidRPr="00DE57E1">
              <w:rPr>
                <w:rFonts w:ascii="Calibri" w:eastAsia="Times New Roman" w:hAnsi="Calibri" w:cs="Calibri"/>
                <w:color w:val="000000"/>
                <w:sz w:val="22"/>
              </w:rPr>
              <w:t>0.0422</w:t>
            </w:r>
          </w:p>
        </w:tc>
        <w:tc>
          <w:tcPr>
            <w:tcW w:w="976" w:type="dxa"/>
            <w:tcBorders>
              <w:top w:val="nil"/>
              <w:left w:val="nil"/>
              <w:bottom w:val="nil"/>
              <w:right w:val="nil"/>
            </w:tcBorders>
            <w:shd w:val="clear" w:color="auto" w:fill="auto"/>
            <w:noWrap/>
            <w:vAlign w:val="bottom"/>
            <w:hideMark/>
          </w:tcPr>
          <w:p w14:paraId="45647BE8" w14:textId="77777777" w:rsidR="002F53B7" w:rsidRPr="00DE57E1"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3AF249AD" w14:textId="77777777" w:rsidR="002F53B7" w:rsidRPr="00DE57E1" w:rsidRDefault="002F53B7" w:rsidP="002F53B7">
            <w:pPr>
              <w:spacing w:after="0" w:line="240" w:lineRule="auto"/>
              <w:jc w:val="right"/>
              <w:rPr>
                <w:rFonts w:ascii="Calibri" w:eastAsia="Times New Roman" w:hAnsi="Calibri" w:cs="Calibri"/>
                <w:color w:val="000000"/>
                <w:sz w:val="22"/>
              </w:rPr>
            </w:pPr>
            <w:r w:rsidRPr="00DE57E1">
              <w:rPr>
                <w:rFonts w:ascii="Calibri" w:eastAsia="Times New Roman" w:hAnsi="Calibri" w:cs="Calibri"/>
                <w:color w:val="000000"/>
                <w:sz w:val="22"/>
              </w:rPr>
              <w:t>0.0209</w:t>
            </w:r>
          </w:p>
        </w:tc>
        <w:tc>
          <w:tcPr>
            <w:tcW w:w="976" w:type="dxa"/>
            <w:tcBorders>
              <w:top w:val="nil"/>
              <w:left w:val="nil"/>
              <w:bottom w:val="nil"/>
              <w:right w:val="nil"/>
            </w:tcBorders>
            <w:shd w:val="clear" w:color="auto" w:fill="auto"/>
            <w:noWrap/>
            <w:vAlign w:val="bottom"/>
            <w:hideMark/>
          </w:tcPr>
          <w:p w14:paraId="7C0135E1" w14:textId="77777777" w:rsidR="002F53B7" w:rsidRPr="00DE57E1" w:rsidRDefault="002F53B7" w:rsidP="002F53B7">
            <w:pPr>
              <w:spacing w:after="0" w:line="240" w:lineRule="auto"/>
              <w:jc w:val="right"/>
              <w:rPr>
                <w:rFonts w:ascii="Calibri" w:eastAsia="Times New Roman" w:hAnsi="Calibri" w:cs="Calibri"/>
                <w:color w:val="000000"/>
                <w:sz w:val="22"/>
              </w:rPr>
            </w:pPr>
            <w:r w:rsidRPr="00DE57E1">
              <w:rPr>
                <w:rFonts w:ascii="Calibri" w:eastAsia="Times New Roman" w:hAnsi="Calibri" w:cs="Calibri"/>
                <w:color w:val="000000"/>
                <w:sz w:val="22"/>
              </w:rPr>
              <w:t>-0.0009</w:t>
            </w:r>
          </w:p>
        </w:tc>
        <w:tc>
          <w:tcPr>
            <w:tcW w:w="976" w:type="dxa"/>
            <w:tcBorders>
              <w:top w:val="nil"/>
              <w:left w:val="nil"/>
              <w:bottom w:val="nil"/>
              <w:right w:val="nil"/>
            </w:tcBorders>
            <w:shd w:val="clear" w:color="auto" w:fill="auto"/>
            <w:noWrap/>
            <w:vAlign w:val="bottom"/>
            <w:hideMark/>
          </w:tcPr>
          <w:p w14:paraId="557CF63E" w14:textId="77777777" w:rsidR="002F53B7" w:rsidRPr="00DE57E1"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35FF8BF4" w14:textId="77777777" w:rsidR="002F53B7" w:rsidRPr="00DE57E1" w:rsidRDefault="002F53B7" w:rsidP="002F53B7">
            <w:pPr>
              <w:spacing w:after="0" w:line="240" w:lineRule="auto"/>
              <w:jc w:val="right"/>
              <w:rPr>
                <w:rFonts w:ascii="Calibri" w:eastAsia="Times New Roman" w:hAnsi="Calibri" w:cs="Calibri"/>
                <w:color w:val="000000"/>
                <w:sz w:val="22"/>
              </w:rPr>
            </w:pPr>
            <w:r w:rsidRPr="00DE57E1">
              <w:rPr>
                <w:rFonts w:ascii="Calibri" w:eastAsia="Times New Roman" w:hAnsi="Calibri" w:cs="Calibri"/>
                <w:color w:val="000000"/>
                <w:sz w:val="22"/>
              </w:rPr>
              <w:t>0.0214</w:t>
            </w:r>
          </w:p>
        </w:tc>
        <w:tc>
          <w:tcPr>
            <w:tcW w:w="976" w:type="dxa"/>
            <w:tcBorders>
              <w:top w:val="nil"/>
              <w:left w:val="nil"/>
              <w:bottom w:val="nil"/>
              <w:right w:val="nil"/>
            </w:tcBorders>
            <w:shd w:val="clear" w:color="auto" w:fill="auto"/>
            <w:noWrap/>
            <w:vAlign w:val="bottom"/>
            <w:hideMark/>
          </w:tcPr>
          <w:p w14:paraId="27A8EAE8" w14:textId="77777777" w:rsidR="002F53B7" w:rsidRPr="00FA6DE8" w:rsidRDefault="002F53B7" w:rsidP="002F53B7">
            <w:pPr>
              <w:spacing w:after="0" w:line="240" w:lineRule="auto"/>
              <w:jc w:val="right"/>
              <w:rPr>
                <w:rFonts w:ascii="Calibri" w:eastAsia="Times New Roman" w:hAnsi="Calibri" w:cs="Calibri"/>
                <w:b/>
                <w:color w:val="000000"/>
                <w:sz w:val="22"/>
              </w:rPr>
            </w:pPr>
            <w:r w:rsidRPr="00FA6DE8">
              <w:rPr>
                <w:rFonts w:ascii="Calibri" w:eastAsia="Times New Roman" w:hAnsi="Calibri" w:cs="Calibri"/>
                <w:b/>
                <w:color w:val="000000"/>
                <w:sz w:val="22"/>
              </w:rPr>
              <w:t>0.0256</w:t>
            </w:r>
          </w:p>
        </w:tc>
        <w:tc>
          <w:tcPr>
            <w:tcW w:w="976" w:type="dxa"/>
            <w:tcBorders>
              <w:top w:val="nil"/>
              <w:left w:val="nil"/>
              <w:bottom w:val="nil"/>
              <w:right w:val="nil"/>
            </w:tcBorders>
            <w:shd w:val="clear" w:color="auto" w:fill="auto"/>
            <w:noWrap/>
            <w:vAlign w:val="bottom"/>
            <w:hideMark/>
          </w:tcPr>
          <w:p w14:paraId="164882E7" w14:textId="77777777" w:rsidR="002F53B7" w:rsidRPr="00DE57E1" w:rsidRDefault="002F53B7" w:rsidP="002F53B7">
            <w:pPr>
              <w:spacing w:after="0" w:line="240" w:lineRule="auto"/>
              <w:jc w:val="right"/>
              <w:rPr>
                <w:rFonts w:ascii="Calibri" w:eastAsia="Times New Roman" w:hAnsi="Calibri" w:cs="Calibri"/>
                <w:color w:val="000000"/>
                <w:sz w:val="22"/>
              </w:rPr>
            </w:pPr>
          </w:p>
        </w:tc>
      </w:tr>
      <w:tr w:rsidR="002F53B7" w:rsidRPr="00DE57E1" w14:paraId="28A01BE1" w14:textId="77777777" w:rsidTr="002F53B7">
        <w:trPr>
          <w:trHeight w:val="290"/>
        </w:trPr>
        <w:tc>
          <w:tcPr>
            <w:tcW w:w="976" w:type="dxa"/>
            <w:tcBorders>
              <w:top w:val="nil"/>
              <w:left w:val="nil"/>
              <w:bottom w:val="nil"/>
              <w:right w:val="nil"/>
            </w:tcBorders>
            <w:shd w:val="clear" w:color="auto" w:fill="auto"/>
            <w:noWrap/>
            <w:vAlign w:val="bottom"/>
            <w:hideMark/>
          </w:tcPr>
          <w:p w14:paraId="05ECD6DC" w14:textId="77777777" w:rsidR="002F53B7" w:rsidRPr="00DE57E1" w:rsidRDefault="002F53B7" w:rsidP="002F53B7">
            <w:pPr>
              <w:spacing w:after="0" w:line="240" w:lineRule="auto"/>
              <w:rPr>
                <w:rFonts w:ascii="Calibri" w:eastAsia="Times New Roman" w:hAnsi="Calibri" w:cs="Calibri"/>
                <w:color w:val="000000"/>
                <w:sz w:val="22"/>
              </w:rPr>
            </w:pPr>
            <w:r w:rsidRPr="00DE57E1">
              <w:rPr>
                <w:rFonts w:ascii="Calibri" w:eastAsia="Times New Roman" w:hAnsi="Calibri" w:cs="Calibri"/>
                <w:color w:val="000000"/>
                <w:sz w:val="22"/>
              </w:rPr>
              <w:t>1941-50</w:t>
            </w:r>
          </w:p>
        </w:tc>
        <w:tc>
          <w:tcPr>
            <w:tcW w:w="976" w:type="dxa"/>
            <w:tcBorders>
              <w:top w:val="nil"/>
              <w:left w:val="nil"/>
              <w:bottom w:val="nil"/>
              <w:right w:val="nil"/>
            </w:tcBorders>
            <w:shd w:val="clear" w:color="auto" w:fill="auto"/>
            <w:noWrap/>
            <w:vAlign w:val="bottom"/>
            <w:hideMark/>
          </w:tcPr>
          <w:p w14:paraId="69FB6533" w14:textId="77777777" w:rsidR="002F53B7" w:rsidRPr="00DE57E1" w:rsidRDefault="002F53B7" w:rsidP="002F53B7">
            <w:pPr>
              <w:spacing w:after="0" w:line="240" w:lineRule="auto"/>
              <w:jc w:val="right"/>
              <w:rPr>
                <w:rFonts w:ascii="Calibri" w:eastAsia="Times New Roman" w:hAnsi="Calibri" w:cs="Calibri"/>
                <w:color w:val="000000"/>
                <w:sz w:val="22"/>
              </w:rPr>
            </w:pPr>
            <w:r w:rsidRPr="00DE57E1">
              <w:rPr>
                <w:rFonts w:ascii="Calibri" w:eastAsia="Times New Roman" w:hAnsi="Calibri" w:cs="Calibri"/>
                <w:color w:val="000000"/>
                <w:sz w:val="22"/>
              </w:rPr>
              <w:t>0.0220</w:t>
            </w:r>
          </w:p>
        </w:tc>
        <w:tc>
          <w:tcPr>
            <w:tcW w:w="976" w:type="dxa"/>
            <w:tcBorders>
              <w:top w:val="nil"/>
              <w:left w:val="nil"/>
              <w:bottom w:val="nil"/>
              <w:right w:val="nil"/>
            </w:tcBorders>
            <w:shd w:val="clear" w:color="auto" w:fill="auto"/>
            <w:noWrap/>
            <w:vAlign w:val="bottom"/>
            <w:hideMark/>
          </w:tcPr>
          <w:p w14:paraId="6C6646F7" w14:textId="77777777" w:rsidR="002F53B7" w:rsidRPr="00DE57E1"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2ABD7216" w14:textId="77777777" w:rsidR="002F53B7" w:rsidRPr="00DE57E1" w:rsidRDefault="002F53B7" w:rsidP="002F53B7">
            <w:pPr>
              <w:spacing w:after="0" w:line="240" w:lineRule="auto"/>
              <w:jc w:val="right"/>
              <w:rPr>
                <w:rFonts w:ascii="Calibri" w:eastAsia="Times New Roman" w:hAnsi="Calibri" w:cs="Calibri"/>
                <w:color w:val="000000"/>
                <w:sz w:val="22"/>
              </w:rPr>
            </w:pPr>
            <w:r w:rsidRPr="00DE57E1">
              <w:rPr>
                <w:rFonts w:ascii="Calibri" w:eastAsia="Times New Roman" w:hAnsi="Calibri" w:cs="Calibri"/>
                <w:color w:val="000000"/>
                <w:sz w:val="22"/>
              </w:rPr>
              <w:t>-0.0086</w:t>
            </w:r>
          </w:p>
        </w:tc>
        <w:tc>
          <w:tcPr>
            <w:tcW w:w="976" w:type="dxa"/>
            <w:tcBorders>
              <w:top w:val="nil"/>
              <w:left w:val="nil"/>
              <w:bottom w:val="nil"/>
              <w:right w:val="nil"/>
            </w:tcBorders>
            <w:shd w:val="clear" w:color="auto" w:fill="auto"/>
            <w:noWrap/>
            <w:vAlign w:val="bottom"/>
            <w:hideMark/>
          </w:tcPr>
          <w:p w14:paraId="40CE6F50" w14:textId="77777777" w:rsidR="002F53B7" w:rsidRPr="00DE57E1" w:rsidRDefault="002F53B7" w:rsidP="002F53B7">
            <w:pPr>
              <w:spacing w:after="0" w:line="240" w:lineRule="auto"/>
              <w:jc w:val="right"/>
              <w:rPr>
                <w:rFonts w:ascii="Calibri" w:eastAsia="Times New Roman" w:hAnsi="Calibri" w:cs="Calibri"/>
                <w:color w:val="000000"/>
                <w:sz w:val="22"/>
              </w:rPr>
            </w:pPr>
            <w:r w:rsidRPr="00DE57E1">
              <w:rPr>
                <w:rFonts w:ascii="Calibri" w:eastAsia="Times New Roman" w:hAnsi="Calibri" w:cs="Calibri"/>
                <w:color w:val="000000"/>
                <w:sz w:val="22"/>
              </w:rPr>
              <w:t>0.0013</w:t>
            </w:r>
          </w:p>
        </w:tc>
        <w:tc>
          <w:tcPr>
            <w:tcW w:w="976" w:type="dxa"/>
            <w:tcBorders>
              <w:top w:val="nil"/>
              <w:left w:val="nil"/>
              <w:bottom w:val="nil"/>
              <w:right w:val="nil"/>
            </w:tcBorders>
            <w:shd w:val="clear" w:color="auto" w:fill="auto"/>
            <w:noWrap/>
            <w:vAlign w:val="bottom"/>
            <w:hideMark/>
          </w:tcPr>
          <w:p w14:paraId="4A91282E" w14:textId="77777777" w:rsidR="002F53B7" w:rsidRPr="00DE57E1"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3DBF3791" w14:textId="77777777" w:rsidR="002F53B7" w:rsidRPr="00DE57E1" w:rsidRDefault="002F53B7" w:rsidP="002F53B7">
            <w:pPr>
              <w:spacing w:after="0" w:line="240" w:lineRule="auto"/>
              <w:jc w:val="right"/>
              <w:rPr>
                <w:rFonts w:ascii="Calibri" w:eastAsia="Times New Roman" w:hAnsi="Calibri" w:cs="Calibri"/>
                <w:color w:val="000000"/>
                <w:sz w:val="22"/>
              </w:rPr>
            </w:pPr>
            <w:r w:rsidRPr="00DE57E1">
              <w:rPr>
                <w:rFonts w:ascii="Calibri" w:eastAsia="Times New Roman" w:hAnsi="Calibri" w:cs="Calibri"/>
                <w:color w:val="000000"/>
                <w:sz w:val="22"/>
              </w:rPr>
              <w:t>0.0306</w:t>
            </w:r>
          </w:p>
        </w:tc>
        <w:tc>
          <w:tcPr>
            <w:tcW w:w="976" w:type="dxa"/>
            <w:tcBorders>
              <w:top w:val="nil"/>
              <w:left w:val="nil"/>
              <w:bottom w:val="nil"/>
              <w:right w:val="nil"/>
            </w:tcBorders>
            <w:shd w:val="clear" w:color="auto" w:fill="auto"/>
            <w:noWrap/>
            <w:vAlign w:val="bottom"/>
            <w:hideMark/>
          </w:tcPr>
          <w:p w14:paraId="6BC37AC2" w14:textId="77777777" w:rsidR="002F53B7" w:rsidRPr="00FA6DE8" w:rsidRDefault="002F53B7" w:rsidP="002F53B7">
            <w:pPr>
              <w:spacing w:after="0" w:line="240" w:lineRule="auto"/>
              <w:jc w:val="right"/>
              <w:rPr>
                <w:rFonts w:ascii="Calibri" w:eastAsia="Times New Roman" w:hAnsi="Calibri" w:cs="Calibri"/>
                <w:b/>
                <w:color w:val="000000"/>
                <w:sz w:val="22"/>
              </w:rPr>
            </w:pPr>
            <w:r w:rsidRPr="00FA6DE8">
              <w:rPr>
                <w:rFonts w:ascii="Calibri" w:eastAsia="Times New Roman" w:hAnsi="Calibri" w:cs="Calibri"/>
                <w:b/>
                <w:color w:val="000000"/>
                <w:sz w:val="22"/>
              </w:rPr>
              <w:t>0.0294</w:t>
            </w:r>
          </w:p>
        </w:tc>
        <w:tc>
          <w:tcPr>
            <w:tcW w:w="976" w:type="dxa"/>
            <w:tcBorders>
              <w:top w:val="nil"/>
              <w:left w:val="nil"/>
              <w:bottom w:val="nil"/>
              <w:right w:val="nil"/>
            </w:tcBorders>
            <w:shd w:val="clear" w:color="auto" w:fill="auto"/>
            <w:noWrap/>
            <w:vAlign w:val="bottom"/>
            <w:hideMark/>
          </w:tcPr>
          <w:p w14:paraId="45495073" w14:textId="77777777" w:rsidR="002F53B7" w:rsidRPr="00DE57E1" w:rsidRDefault="002F53B7" w:rsidP="002F53B7">
            <w:pPr>
              <w:spacing w:after="0" w:line="240" w:lineRule="auto"/>
              <w:jc w:val="right"/>
              <w:rPr>
                <w:rFonts w:ascii="Calibri" w:eastAsia="Times New Roman" w:hAnsi="Calibri" w:cs="Calibri"/>
                <w:color w:val="000000"/>
                <w:sz w:val="22"/>
              </w:rPr>
            </w:pPr>
          </w:p>
        </w:tc>
      </w:tr>
      <w:tr w:rsidR="002F53B7" w:rsidRPr="00DE57E1" w14:paraId="51634114" w14:textId="77777777" w:rsidTr="002F53B7">
        <w:trPr>
          <w:trHeight w:val="290"/>
        </w:trPr>
        <w:tc>
          <w:tcPr>
            <w:tcW w:w="976" w:type="dxa"/>
            <w:tcBorders>
              <w:top w:val="nil"/>
              <w:left w:val="nil"/>
              <w:bottom w:val="nil"/>
              <w:right w:val="nil"/>
            </w:tcBorders>
            <w:shd w:val="clear" w:color="auto" w:fill="auto"/>
            <w:noWrap/>
            <w:vAlign w:val="bottom"/>
            <w:hideMark/>
          </w:tcPr>
          <w:p w14:paraId="215A40E3"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E77F625"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B2AAD53"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F4838B9"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00B4D685"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4966078"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07FF9F42"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48D66C6"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FACC089" w14:textId="77777777" w:rsidR="002F53B7" w:rsidRPr="00DE57E1" w:rsidRDefault="002F53B7" w:rsidP="002F53B7">
            <w:pPr>
              <w:spacing w:after="0" w:line="240" w:lineRule="auto"/>
              <w:rPr>
                <w:rFonts w:eastAsia="Times New Roman" w:cs="Times New Roman"/>
                <w:sz w:val="20"/>
                <w:szCs w:val="20"/>
              </w:rPr>
            </w:pPr>
          </w:p>
        </w:tc>
      </w:tr>
      <w:tr w:rsidR="002F53B7" w:rsidRPr="00DE57E1" w14:paraId="0C89D744" w14:textId="77777777" w:rsidTr="002F53B7">
        <w:trPr>
          <w:trHeight w:val="290"/>
        </w:trPr>
        <w:tc>
          <w:tcPr>
            <w:tcW w:w="3904" w:type="dxa"/>
            <w:gridSpan w:val="4"/>
            <w:tcBorders>
              <w:top w:val="nil"/>
              <w:left w:val="nil"/>
              <w:bottom w:val="nil"/>
              <w:right w:val="nil"/>
            </w:tcBorders>
            <w:shd w:val="clear" w:color="auto" w:fill="auto"/>
            <w:noWrap/>
            <w:vAlign w:val="bottom"/>
            <w:hideMark/>
          </w:tcPr>
          <w:p w14:paraId="67C4791A" w14:textId="77777777" w:rsidR="002F53B7" w:rsidRPr="00DE57E1" w:rsidRDefault="002F53B7" w:rsidP="002F53B7">
            <w:pPr>
              <w:spacing w:after="0" w:line="240" w:lineRule="auto"/>
              <w:rPr>
                <w:rFonts w:ascii="Calibri" w:eastAsia="Times New Roman" w:hAnsi="Calibri" w:cs="Calibri"/>
                <w:color w:val="000000"/>
                <w:sz w:val="22"/>
              </w:rPr>
            </w:pPr>
            <w:r w:rsidRPr="00DE57E1">
              <w:rPr>
                <w:rFonts w:ascii="Calibri" w:eastAsia="Times New Roman" w:hAnsi="Calibri" w:cs="Calibri"/>
                <w:color w:val="000000"/>
                <w:sz w:val="22"/>
              </w:rPr>
              <w:t>Source:  Kendrick, 1961, table G-3, p. 545.</w:t>
            </w:r>
          </w:p>
        </w:tc>
        <w:tc>
          <w:tcPr>
            <w:tcW w:w="976" w:type="dxa"/>
            <w:tcBorders>
              <w:top w:val="nil"/>
              <w:left w:val="nil"/>
              <w:bottom w:val="nil"/>
              <w:right w:val="nil"/>
            </w:tcBorders>
            <w:shd w:val="clear" w:color="auto" w:fill="auto"/>
            <w:noWrap/>
            <w:vAlign w:val="bottom"/>
            <w:hideMark/>
          </w:tcPr>
          <w:p w14:paraId="7766B64E" w14:textId="77777777" w:rsidR="002F53B7" w:rsidRPr="00DE57E1" w:rsidRDefault="002F53B7" w:rsidP="002F53B7">
            <w:pPr>
              <w:spacing w:after="0" w:line="240" w:lineRule="auto"/>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3A6CC2B3"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9762A4F"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5421E5F" w14:textId="77777777" w:rsidR="002F53B7" w:rsidRPr="00DE57E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493FE27" w14:textId="77777777" w:rsidR="002F53B7" w:rsidRPr="00DE57E1" w:rsidRDefault="002F53B7" w:rsidP="002F53B7">
            <w:pPr>
              <w:spacing w:after="0" w:line="240" w:lineRule="auto"/>
              <w:rPr>
                <w:rFonts w:eastAsia="Times New Roman" w:cs="Times New Roman"/>
                <w:sz w:val="20"/>
                <w:szCs w:val="20"/>
              </w:rPr>
            </w:pPr>
          </w:p>
        </w:tc>
      </w:tr>
    </w:tbl>
    <w:p w14:paraId="1F140EEB" w14:textId="77777777" w:rsidR="002F53B7" w:rsidRDefault="002F53B7" w:rsidP="002F53B7"/>
    <w:p w14:paraId="5F8CFE39" w14:textId="77777777" w:rsidR="002F53B7" w:rsidRDefault="002F53B7" w:rsidP="002F53B7"/>
    <w:p w14:paraId="3F01BB08" w14:textId="77777777" w:rsidR="002F53B7" w:rsidRDefault="002F53B7" w:rsidP="002F53B7"/>
    <w:p w14:paraId="4070F214" w14:textId="77777777" w:rsidR="002F53B7" w:rsidRDefault="002F53B7" w:rsidP="002F53B7"/>
    <w:p w14:paraId="4803D0BE" w14:textId="77777777" w:rsidR="002F53B7" w:rsidRDefault="002F53B7" w:rsidP="002F53B7">
      <w:r>
        <w:br w:type="page"/>
      </w:r>
    </w:p>
    <w:tbl>
      <w:tblPr>
        <w:tblW w:w="8784" w:type="dxa"/>
        <w:tblLook w:val="04A0" w:firstRow="1" w:lastRow="0" w:firstColumn="1" w:lastColumn="0" w:noHBand="0" w:noVBand="1"/>
      </w:tblPr>
      <w:tblGrid>
        <w:gridCol w:w="976"/>
        <w:gridCol w:w="976"/>
        <w:gridCol w:w="976"/>
        <w:gridCol w:w="976"/>
        <w:gridCol w:w="976"/>
        <w:gridCol w:w="976"/>
        <w:gridCol w:w="976"/>
        <w:gridCol w:w="976"/>
        <w:gridCol w:w="976"/>
      </w:tblGrid>
      <w:tr w:rsidR="002F53B7" w:rsidRPr="006B5CA8" w14:paraId="7BEA3906" w14:textId="77777777" w:rsidTr="002F53B7">
        <w:trPr>
          <w:trHeight w:val="290"/>
        </w:trPr>
        <w:tc>
          <w:tcPr>
            <w:tcW w:w="976" w:type="dxa"/>
            <w:tcBorders>
              <w:top w:val="nil"/>
              <w:left w:val="nil"/>
              <w:bottom w:val="nil"/>
              <w:right w:val="nil"/>
            </w:tcBorders>
            <w:shd w:val="clear" w:color="auto" w:fill="auto"/>
            <w:noWrap/>
            <w:vAlign w:val="bottom"/>
            <w:hideMark/>
          </w:tcPr>
          <w:p w14:paraId="556BDCF1" w14:textId="77777777" w:rsidR="002F53B7" w:rsidRPr="006B5CA8" w:rsidRDefault="002F53B7" w:rsidP="002F53B7">
            <w:pPr>
              <w:spacing w:after="0" w:line="240" w:lineRule="auto"/>
              <w:rPr>
                <w:rFonts w:eastAsia="Times New Roman" w:cs="Times New Roman"/>
                <w:sz w:val="20"/>
                <w:szCs w:val="24"/>
              </w:rPr>
            </w:pPr>
          </w:p>
        </w:tc>
        <w:tc>
          <w:tcPr>
            <w:tcW w:w="976" w:type="dxa"/>
            <w:tcBorders>
              <w:top w:val="nil"/>
              <w:left w:val="nil"/>
              <w:bottom w:val="nil"/>
              <w:right w:val="nil"/>
            </w:tcBorders>
            <w:shd w:val="clear" w:color="auto" w:fill="auto"/>
            <w:noWrap/>
            <w:vAlign w:val="bottom"/>
            <w:hideMark/>
          </w:tcPr>
          <w:p w14:paraId="2607F42D"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A2F2809"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E1F91E7"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C2CF9F9"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47EA1FF" w14:textId="77777777" w:rsidR="002F53B7" w:rsidRPr="006B5CA8" w:rsidRDefault="002F53B7" w:rsidP="002F53B7">
            <w:pPr>
              <w:spacing w:after="0" w:line="240" w:lineRule="auto"/>
              <w:rPr>
                <w:rFonts w:ascii="Calibri" w:eastAsia="Times New Roman" w:hAnsi="Calibri" w:cs="Calibri"/>
                <w:color w:val="000000"/>
                <w:sz w:val="22"/>
              </w:rPr>
            </w:pPr>
            <w:r w:rsidRPr="006B5CA8">
              <w:rPr>
                <w:rFonts w:ascii="Calibri" w:eastAsia="Times New Roman" w:hAnsi="Calibri" w:cs="Calibri"/>
                <w:color w:val="000000"/>
                <w:sz w:val="22"/>
              </w:rPr>
              <w:t xml:space="preserve">Table </w:t>
            </w:r>
            <w:r>
              <w:rPr>
                <w:rFonts w:ascii="Calibri" w:eastAsia="Times New Roman" w:hAnsi="Calibri" w:cs="Calibri"/>
                <w:color w:val="000000"/>
                <w:sz w:val="22"/>
              </w:rPr>
              <w:t>4</w:t>
            </w:r>
          </w:p>
        </w:tc>
        <w:tc>
          <w:tcPr>
            <w:tcW w:w="976" w:type="dxa"/>
            <w:tcBorders>
              <w:top w:val="nil"/>
              <w:left w:val="nil"/>
              <w:bottom w:val="nil"/>
              <w:right w:val="nil"/>
            </w:tcBorders>
            <w:shd w:val="clear" w:color="auto" w:fill="auto"/>
            <w:noWrap/>
            <w:vAlign w:val="bottom"/>
            <w:hideMark/>
          </w:tcPr>
          <w:p w14:paraId="291973A1" w14:textId="77777777" w:rsidR="002F53B7" w:rsidRPr="006B5CA8" w:rsidRDefault="002F53B7" w:rsidP="002F53B7">
            <w:pPr>
              <w:spacing w:after="0" w:line="240" w:lineRule="auto"/>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50759F9C"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B78FF62" w14:textId="77777777" w:rsidR="002F53B7" w:rsidRPr="006B5CA8" w:rsidRDefault="002F53B7" w:rsidP="002F53B7">
            <w:pPr>
              <w:spacing w:after="0" w:line="240" w:lineRule="auto"/>
              <w:rPr>
                <w:rFonts w:eastAsia="Times New Roman" w:cs="Times New Roman"/>
                <w:sz w:val="20"/>
                <w:szCs w:val="20"/>
              </w:rPr>
            </w:pPr>
          </w:p>
        </w:tc>
      </w:tr>
      <w:tr w:rsidR="002F53B7" w:rsidRPr="006B5CA8" w14:paraId="7F61F7F7" w14:textId="77777777" w:rsidTr="002F53B7">
        <w:trPr>
          <w:trHeight w:val="290"/>
        </w:trPr>
        <w:tc>
          <w:tcPr>
            <w:tcW w:w="976" w:type="dxa"/>
            <w:tcBorders>
              <w:top w:val="nil"/>
              <w:left w:val="nil"/>
              <w:bottom w:val="nil"/>
              <w:right w:val="nil"/>
            </w:tcBorders>
            <w:shd w:val="clear" w:color="auto" w:fill="auto"/>
            <w:noWrap/>
            <w:vAlign w:val="bottom"/>
            <w:hideMark/>
          </w:tcPr>
          <w:p w14:paraId="639AA6FE"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F055C61"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BB5C39D" w14:textId="77777777" w:rsidR="002F53B7" w:rsidRPr="006B5CA8" w:rsidRDefault="002F53B7" w:rsidP="002F53B7">
            <w:pPr>
              <w:spacing w:after="0" w:line="240" w:lineRule="auto"/>
              <w:rPr>
                <w:rFonts w:eastAsia="Times New Roman" w:cs="Times New Roman"/>
                <w:sz w:val="20"/>
                <w:szCs w:val="20"/>
              </w:rPr>
            </w:pPr>
          </w:p>
        </w:tc>
        <w:tc>
          <w:tcPr>
            <w:tcW w:w="4880" w:type="dxa"/>
            <w:gridSpan w:val="5"/>
            <w:tcBorders>
              <w:top w:val="nil"/>
              <w:left w:val="nil"/>
              <w:bottom w:val="nil"/>
              <w:right w:val="nil"/>
            </w:tcBorders>
            <w:shd w:val="clear" w:color="auto" w:fill="auto"/>
            <w:noWrap/>
            <w:vAlign w:val="bottom"/>
            <w:hideMark/>
          </w:tcPr>
          <w:p w14:paraId="171E37BA" w14:textId="77777777" w:rsidR="002F53B7" w:rsidRPr="006B5CA8" w:rsidRDefault="002F53B7" w:rsidP="002F53B7">
            <w:pPr>
              <w:spacing w:after="0" w:line="240" w:lineRule="auto"/>
              <w:rPr>
                <w:rFonts w:ascii="Calibri" w:eastAsia="Times New Roman" w:hAnsi="Calibri" w:cs="Calibri"/>
                <w:color w:val="000000"/>
                <w:sz w:val="22"/>
              </w:rPr>
            </w:pPr>
            <w:r w:rsidRPr="006B5CA8">
              <w:rPr>
                <w:rFonts w:ascii="Calibri" w:eastAsia="Times New Roman" w:hAnsi="Calibri" w:cs="Calibri"/>
                <w:color w:val="000000"/>
                <w:sz w:val="22"/>
              </w:rPr>
              <w:t>Productivity Growth in Trucking and Warehousing</w:t>
            </w:r>
          </w:p>
        </w:tc>
        <w:tc>
          <w:tcPr>
            <w:tcW w:w="976" w:type="dxa"/>
            <w:tcBorders>
              <w:top w:val="nil"/>
              <w:left w:val="nil"/>
              <w:bottom w:val="nil"/>
              <w:right w:val="nil"/>
            </w:tcBorders>
            <w:shd w:val="clear" w:color="auto" w:fill="auto"/>
            <w:noWrap/>
            <w:vAlign w:val="bottom"/>
            <w:hideMark/>
          </w:tcPr>
          <w:p w14:paraId="7D4C9E4D" w14:textId="77777777" w:rsidR="002F53B7" w:rsidRPr="006B5CA8" w:rsidRDefault="002F53B7" w:rsidP="002F53B7">
            <w:pPr>
              <w:spacing w:after="0" w:line="240" w:lineRule="auto"/>
              <w:rPr>
                <w:rFonts w:ascii="Calibri" w:eastAsia="Times New Roman" w:hAnsi="Calibri" w:cs="Calibri"/>
                <w:color w:val="000000"/>
                <w:sz w:val="22"/>
              </w:rPr>
            </w:pPr>
          </w:p>
        </w:tc>
      </w:tr>
      <w:tr w:rsidR="002F53B7" w:rsidRPr="006B5CA8" w14:paraId="5346E380" w14:textId="77777777" w:rsidTr="002F53B7">
        <w:trPr>
          <w:trHeight w:val="290"/>
        </w:trPr>
        <w:tc>
          <w:tcPr>
            <w:tcW w:w="976" w:type="dxa"/>
            <w:tcBorders>
              <w:top w:val="nil"/>
              <w:left w:val="nil"/>
              <w:bottom w:val="nil"/>
              <w:right w:val="nil"/>
            </w:tcBorders>
            <w:shd w:val="clear" w:color="auto" w:fill="auto"/>
            <w:noWrap/>
            <w:vAlign w:val="bottom"/>
            <w:hideMark/>
          </w:tcPr>
          <w:p w14:paraId="6C72B2A4"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073C3DC9"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D1AF368"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DF896C6"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4BD1A66"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5AA8742"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A13BE67"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027C3D94" w14:textId="77777777" w:rsidR="002F53B7" w:rsidRPr="006B5CA8" w:rsidRDefault="002F53B7" w:rsidP="002F53B7">
            <w:pPr>
              <w:spacing w:after="0" w:line="240" w:lineRule="auto"/>
              <w:rPr>
                <w:rFonts w:ascii="Calibri" w:eastAsia="Times New Roman" w:hAnsi="Calibri" w:cs="Calibri"/>
                <w:color w:val="000000"/>
                <w:sz w:val="22"/>
              </w:rPr>
            </w:pPr>
            <w:r w:rsidRPr="006B5CA8">
              <w:rPr>
                <w:rFonts w:ascii="Calibri" w:eastAsia="Times New Roman" w:hAnsi="Calibri" w:cs="Calibri"/>
                <w:color w:val="000000"/>
                <w:sz w:val="22"/>
              </w:rPr>
              <w:t>Labor</w:t>
            </w:r>
          </w:p>
        </w:tc>
        <w:tc>
          <w:tcPr>
            <w:tcW w:w="976" w:type="dxa"/>
            <w:tcBorders>
              <w:top w:val="nil"/>
              <w:left w:val="nil"/>
              <w:bottom w:val="nil"/>
              <w:right w:val="nil"/>
            </w:tcBorders>
            <w:shd w:val="clear" w:color="auto" w:fill="auto"/>
            <w:noWrap/>
            <w:vAlign w:val="bottom"/>
            <w:hideMark/>
          </w:tcPr>
          <w:p w14:paraId="7353072B" w14:textId="77777777" w:rsidR="002F53B7" w:rsidRPr="006B5CA8" w:rsidRDefault="002F53B7" w:rsidP="002F53B7">
            <w:pPr>
              <w:spacing w:after="0" w:line="240" w:lineRule="auto"/>
              <w:rPr>
                <w:rFonts w:ascii="Calibri" w:eastAsia="Times New Roman" w:hAnsi="Calibri" w:cs="Calibri"/>
                <w:color w:val="000000"/>
                <w:sz w:val="22"/>
              </w:rPr>
            </w:pPr>
          </w:p>
        </w:tc>
      </w:tr>
      <w:tr w:rsidR="002F53B7" w:rsidRPr="006B5CA8" w14:paraId="5369AAF2" w14:textId="77777777" w:rsidTr="002F53B7">
        <w:trPr>
          <w:trHeight w:val="290"/>
        </w:trPr>
        <w:tc>
          <w:tcPr>
            <w:tcW w:w="976" w:type="dxa"/>
            <w:tcBorders>
              <w:top w:val="nil"/>
              <w:left w:val="nil"/>
              <w:bottom w:val="nil"/>
              <w:right w:val="nil"/>
            </w:tcBorders>
            <w:shd w:val="clear" w:color="auto" w:fill="auto"/>
            <w:noWrap/>
            <w:vAlign w:val="bottom"/>
            <w:hideMark/>
          </w:tcPr>
          <w:p w14:paraId="61927F0A"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C207ECB"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5AD1B9F" w14:textId="77777777" w:rsidR="002F53B7" w:rsidRPr="006B5CA8" w:rsidRDefault="002F53B7" w:rsidP="002F53B7">
            <w:pPr>
              <w:spacing w:after="0" w:line="240" w:lineRule="auto"/>
              <w:rPr>
                <w:rFonts w:ascii="Calibri" w:eastAsia="Times New Roman" w:hAnsi="Calibri" w:cs="Calibri"/>
                <w:color w:val="000000"/>
                <w:sz w:val="22"/>
              </w:rPr>
            </w:pPr>
            <w:r w:rsidRPr="006B5CA8">
              <w:rPr>
                <w:rFonts w:ascii="Calibri" w:eastAsia="Times New Roman" w:hAnsi="Calibri" w:cs="Calibri"/>
                <w:color w:val="000000"/>
                <w:sz w:val="22"/>
              </w:rPr>
              <w:t>Output</w:t>
            </w:r>
          </w:p>
        </w:tc>
        <w:tc>
          <w:tcPr>
            <w:tcW w:w="976" w:type="dxa"/>
            <w:tcBorders>
              <w:top w:val="nil"/>
              <w:left w:val="nil"/>
              <w:bottom w:val="nil"/>
              <w:right w:val="nil"/>
            </w:tcBorders>
            <w:shd w:val="clear" w:color="auto" w:fill="auto"/>
            <w:noWrap/>
            <w:vAlign w:val="bottom"/>
            <w:hideMark/>
          </w:tcPr>
          <w:p w14:paraId="2D096F7D" w14:textId="77777777" w:rsidR="002F53B7" w:rsidRPr="006B5CA8" w:rsidRDefault="002F53B7" w:rsidP="002F53B7">
            <w:pPr>
              <w:spacing w:after="0" w:line="240" w:lineRule="auto"/>
              <w:rPr>
                <w:rFonts w:ascii="Calibri" w:eastAsia="Times New Roman" w:hAnsi="Calibri" w:cs="Calibri"/>
                <w:color w:val="000000"/>
                <w:sz w:val="22"/>
              </w:rPr>
            </w:pPr>
          </w:p>
        </w:tc>
        <w:tc>
          <w:tcPr>
            <w:tcW w:w="1952" w:type="dxa"/>
            <w:gridSpan w:val="2"/>
            <w:tcBorders>
              <w:top w:val="nil"/>
              <w:left w:val="nil"/>
              <w:bottom w:val="nil"/>
              <w:right w:val="nil"/>
            </w:tcBorders>
            <w:shd w:val="clear" w:color="auto" w:fill="auto"/>
            <w:noWrap/>
            <w:vAlign w:val="bottom"/>
            <w:hideMark/>
          </w:tcPr>
          <w:p w14:paraId="5E06E83F" w14:textId="77777777" w:rsidR="002F53B7" w:rsidRPr="006B5CA8" w:rsidRDefault="002F53B7" w:rsidP="002F53B7">
            <w:pPr>
              <w:spacing w:after="0" w:line="240" w:lineRule="auto"/>
              <w:rPr>
                <w:rFonts w:ascii="Calibri" w:eastAsia="Times New Roman" w:hAnsi="Calibri" w:cs="Calibri"/>
                <w:color w:val="000000"/>
                <w:sz w:val="22"/>
              </w:rPr>
            </w:pPr>
            <w:r w:rsidRPr="006B5CA8">
              <w:rPr>
                <w:rFonts w:ascii="Calibri" w:eastAsia="Times New Roman" w:hAnsi="Calibri" w:cs="Calibri"/>
                <w:color w:val="000000"/>
                <w:sz w:val="22"/>
              </w:rPr>
              <w:t>Employment</w:t>
            </w:r>
          </w:p>
        </w:tc>
        <w:tc>
          <w:tcPr>
            <w:tcW w:w="976" w:type="dxa"/>
            <w:tcBorders>
              <w:top w:val="nil"/>
              <w:left w:val="nil"/>
              <w:bottom w:val="nil"/>
              <w:right w:val="nil"/>
            </w:tcBorders>
            <w:shd w:val="clear" w:color="auto" w:fill="auto"/>
            <w:noWrap/>
            <w:vAlign w:val="bottom"/>
            <w:hideMark/>
          </w:tcPr>
          <w:p w14:paraId="4A08B0EC" w14:textId="77777777" w:rsidR="002F53B7" w:rsidRPr="006B5CA8" w:rsidRDefault="002F53B7" w:rsidP="002F53B7">
            <w:pPr>
              <w:spacing w:after="0" w:line="240" w:lineRule="auto"/>
              <w:rPr>
                <w:rFonts w:ascii="Calibri" w:eastAsia="Times New Roman" w:hAnsi="Calibri" w:cs="Calibri"/>
                <w:color w:val="000000"/>
                <w:sz w:val="22"/>
              </w:rPr>
            </w:pPr>
            <w:r w:rsidRPr="006B5CA8">
              <w:rPr>
                <w:rFonts w:ascii="Calibri" w:eastAsia="Times New Roman" w:hAnsi="Calibri" w:cs="Calibri"/>
                <w:color w:val="000000"/>
                <w:sz w:val="22"/>
              </w:rPr>
              <w:t>Capital</w:t>
            </w:r>
          </w:p>
        </w:tc>
        <w:tc>
          <w:tcPr>
            <w:tcW w:w="976" w:type="dxa"/>
            <w:tcBorders>
              <w:top w:val="nil"/>
              <w:left w:val="nil"/>
              <w:bottom w:val="nil"/>
              <w:right w:val="nil"/>
            </w:tcBorders>
            <w:shd w:val="clear" w:color="auto" w:fill="auto"/>
            <w:noWrap/>
            <w:vAlign w:val="bottom"/>
            <w:hideMark/>
          </w:tcPr>
          <w:p w14:paraId="4A782720" w14:textId="77777777" w:rsidR="002F53B7" w:rsidRPr="006B5CA8" w:rsidRDefault="002F53B7" w:rsidP="002F53B7">
            <w:pPr>
              <w:spacing w:after="0" w:line="240" w:lineRule="auto"/>
              <w:rPr>
                <w:rFonts w:ascii="Calibri" w:eastAsia="Times New Roman" w:hAnsi="Calibri" w:cs="Calibri"/>
                <w:color w:val="000000"/>
                <w:sz w:val="22"/>
              </w:rPr>
            </w:pPr>
            <w:r w:rsidRPr="006B5CA8">
              <w:rPr>
                <w:rFonts w:ascii="Calibri" w:eastAsia="Times New Roman" w:hAnsi="Calibri" w:cs="Calibri"/>
                <w:color w:val="000000"/>
                <w:sz w:val="22"/>
              </w:rPr>
              <w:t>Prod</w:t>
            </w:r>
          </w:p>
        </w:tc>
        <w:tc>
          <w:tcPr>
            <w:tcW w:w="976" w:type="dxa"/>
            <w:tcBorders>
              <w:top w:val="nil"/>
              <w:left w:val="nil"/>
              <w:bottom w:val="nil"/>
              <w:right w:val="nil"/>
            </w:tcBorders>
            <w:shd w:val="clear" w:color="auto" w:fill="auto"/>
            <w:noWrap/>
            <w:vAlign w:val="bottom"/>
            <w:hideMark/>
          </w:tcPr>
          <w:p w14:paraId="7E81C4D9" w14:textId="77777777" w:rsidR="002F53B7" w:rsidRPr="006B5CA8" w:rsidRDefault="002F53B7" w:rsidP="002F53B7">
            <w:pPr>
              <w:spacing w:after="0" w:line="240" w:lineRule="auto"/>
              <w:rPr>
                <w:rFonts w:ascii="Calibri" w:eastAsia="Times New Roman" w:hAnsi="Calibri" w:cs="Calibri"/>
                <w:color w:val="000000"/>
                <w:sz w:val="22"/>
              </w:rPr>
            </w:pPr>
            <w:r w:rsidRPr="006B5CA8">
              <w:rPr>
                <w:rFonts w:ascii="Calibri" w:eastAsia="Times New Roman" w:hAnsi="Calibri" w:cs="Calibri"/>
                <w:color w:val="000000"/>
                <w:sz w:val="22"/>
              </w:rPr>
              <w:t>TFP</w:t>
            </w:r>
          </w:p>
        </w:tc>
      </w:tr>
      <w:tr w:rsidR="002F53B7" w:rsidRPr="006B5CA8" w14:paraId="0A42E14F" w14:textId="77777777" w:rsidTr="002F53B7">
        <w:trPr>
          <w:trHeight w:val="290"/>
        </w:trPr>
        <w:tc>
          <w:tcPr>
            <w:tcW w:w="976" w:type="dxa"/>
            <w:tcBorders>
              <w:top w:val="nil"/>
              <w:left w:val="nil"/>
              <w:bottom w:val="nil"/>
              <w:right w:val="nil"/>
            </w:tcBorders>
            <w:shd w:val="clear" w:color="auto" w:fill="auto"/>
            <w:noWrap/>
            <w:vAlign w:val="bottom"/>
            <w:hideMark/>
          </w:tcPr>
          <w:p w14:paraId="17CFF855" w14:textId="77777777" w:rsidR="002F53B7" w:rsidRPr="006B5CA8" w:rsidRDefault="002F53B7" w:rsidP="002F53B7">
            <w:pPr>
              <w:spacing w:after="0" w:line="240" w:lineRule="auto"/>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2076965E"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0073648D"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5E524E0"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2C4934C"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A539B74"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47FB0F8"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1B4EF49"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54CB184" w14:textId="77777777" w:rsidR="002F53B7" w:rsidRPr="006B5CA8" w:rsidRDefault="002F53B7" w:rsidP="002F53B7">
            <w:pPr>
              <w:spacing w:after="0" w:line="240" w:lineRule="auto"/>
              <w:rPr>
                <w:rFonts w:eastAsia="Times New Roman" w:cs="Times New Roman"/>
                <w:sz w:val="20"/>
                <w:szCs w:val="20"/>
              </w:rPr>
            </w:pPr>
          </w:p>
        </w:tc>
      </w:tr>
      <w:tr w:rsidR="002F53B7" w:rsidRPr="006B5CA8" w14:paraId="737BA831" w14:textId="77777777" w:rsidTr="002F53B7">
        <w:trPr>
          <w:trHeight w:val="290"/>
        </w:trPr>
        <w:tc>
          <w:tcPr>
            <w:tcW w:w="976" w:type="dxa"/>
            <w:tcBorders>
              <w:top w:val="nil"/>
              <w:left w:val="nil"/>
              <w:bottom w:val="nil"/>
              <w:right w:val="nil"/>
            </w:tcBorders>
            <w:shd w:val="clear" w:color="auto" w:fill="auto"/>
            <w:noWrap/>
            <w:vAlign w:val="bottom"/>
            <w:hideMark/>
          </w:tcPr>
          <w:p w14:paraId="42CA4AB2"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5A074F0" w14:textId="77777777" w:rsidR="002F53B7" w:rsidRPr="006B5CA8" w:rsidRDefault="002F53B7" w:rsidP="002F53B7">
            <w:pPr>
              <w:spacing w:after="0" w:line="240" w:lineRule="auto"/>
              <w:rPr>
                <w:rFonts w:ascii="Calibri" w:eastAsia="Times New Roman" w:hAnsi="Calibri" w:cs="Calibri"/>
                <w:color w:val="000000"/>
                <w:sz w:val="22"/>
              </w:rPr>
            </w:pPr>
            <w:r w:rsidRPr="006B5CA8">
              <w:rPr>
                <w:rFonts w:ascii="Calibri" w:eastAsia="Times New Roman" w:hAnsi="Calibri" w:cs="Calibri"/>
                <w:color w:val="000000"/>
                <w:sz w:val="22"/>
              </w:rPr>
              <w:t>Levels</w:t>
            </w:r>
          </w:p>
        </w:tc>
        <w:tc>
          <w:tcPr>
            <w:tcW w:w="976" w:type="dxa"/>
            <w:tcBorders>
              <w:top w:val="nil"/>
              <w:left w:val="nil"/>
              <w:bottom w:val="nil"/>
              <w:right w:val="nil"/>
            </w:tcBorders>
            <w:shd w:val="clear" w:color="auto" w:fill="auto"/>
            <w:noWrap/>
            <w:vAlign w:val="bottom"/>
            <w:hideMark/>
          </w:tcPr>
          <w:p w14:paraId="57B31911" w14:textId="77777777" w:rsidR="002F53B7" w:rsidRPr="006B5CA8" w:rsidRDefault="002F53B7" w:rsidP="002F53B7">
            <w:pPr>
              <w:spacing w:after="0" w:line="240" w:lineRule="auto"/>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0CD58103"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5C30FC7"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7412E44"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A98D2F9"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3E2865A"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4491A1D" w14:textId="77777777" w:rsidR="002F53B7" w:rsidRPr="006B5CA8" w:rsidRDefault="002F53B7" w:rsidP="002F53B7">
            <w:pPr>
              <w:spacing w:after="0" w:line="240" w:lineRule="auto"/>
              <w:rPr>
                <w:rFonts w:eastAsia="Times New Roman" w:cs="Times New Roman"/>
                <w:sz w:val="20"/>
                <w:szCs w:val="20"/>
              </w:rPr>
            </w:pPr>
          </w:p>
        </w:tc>
      </w:tr>
      <w:tr w:rsidR="002F53B7" w:rsidRPr="006B5CA8" w14:paraId="37F87779" w14:textId="77777777" w:rsidTr="002F53B7">
        <w:trPr>
          <w:trHeight w:val="290"/>
        </w:trPr>
        <w:tc>
          <w:tcPr>
            <w:tcW w:w="976" w:type="dxa"/>
            <w:tcBorders>
              <w:top w:val="nil"/>
              <w:left w:val="nil"/>
              <w:bottom w:val="nil"/>
              <w:right w:val="nil"/>
            </w:tcBorders>
            <w:shd w:val="clear" w:color="auto" w:fill="auto"/>
            <w:noWrap/>
            <w:vAlign w:val="bottom"/>
            <w:hideMark/>
          </w:tcPr>
          <w:p w14:paraId="69F061F3"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5EA94BF" w14:textId="77777777" w:rsidR="002F53B7" w:rsidRPr="006B5CA8" w:rsidRDefault="002F53B7" w:rsidP="002F53B7">
            <w:pPr>
              <w:spacing w:after="0" w:line="240" w:lineRule="auto"/>
              <w:jc w:val="right"/>
              <w:rPr>
                <w:rFonts w:ascii="Calibri" w:eastAsia="Times New Roman" w:hAnsi="Calibri" w:cs="Calibri"/>
                <w:color w:val="000000"/>
                <w:sz w:val="22"/>
              </w:rPr>
            </w:pPr>
            <w:r w:rsidRPr="006B5CA8">
              <w:rPr>
                <w:rFonts w:ascii="Calibri" w:eastAsia="Times New Roman" w:hAnsi="Calibri" w:cs="Calibri"/>
                <w:color w:val="000000"/>
                <w:sz w:val="22"/>
              </w:rPr>
              <w:t>1929</w:t>
            </w:r>
          </w:p>
        </w:tc>
        <w:tc>
          <w:tcPr>
            <w:tcW w:w="976" w:type="dxa"/>
            <w:tcBorders>
              <w:top w:val="nil"/>
              <w:left w:val="nil"/>
              <w:bottom w:val="nil"/>
              <w:right w:val="nil"/>
            </w:tcBorders>
            <w:shd w:val="clear" w:color="auto" w:fill="auto"/>
            <w:noWrap/>
            <w:vAlign w:val="bottom"/>
            <w:hideMark/>
          </w:tcPr>
          <w:p w14:paraId="53594BB0" w14:textId="77777777" w:rsidR="002F53B7" w:rsidRPr="006B5CA8" w:rsidRDefault="002F53B7" w:rsidP="002F53B7">
            <w:pPr>
              <w:spacing w:after="0" w:line="240" w:lineRule="auto"/>
              <w:jc w:val="right"/>
              <w:rPr>
                <w:rFonts w:ascii="Calibri" w:eastAsia="Times New Roman" w:hAnsi="Calibri" w:cs="Calibri"/>
                <w:color w:val="000000"/>
                <w:sz w:val="22"/>
              </w:rPr>
            </w:pPr>
            <w:r w:rsidRPr="006B5CA8">
              <w:rPr>
                <w:rFonts w:ascii="Calibri" w:eastAsia="Times New Roman" w:hAnsi="Calibri" w:cs="Calibri"/>
                <w:color w:val="000000"/>
                <w:sz w:val="22"/>
              </w:rPr>
              <w:t>10.4</w:t>
            </w:r>
          </w:p>
        </w:tc>
        <w:tc>
          <w:tcPr>
            <w:tcW w:w="976" w:type="dxa"/>
            <w:tcBorders>
              <w:top w:val="nil"/>
              <w:left w:val="nil"/>
              <w:bottom w:val="nil"/>
              <w:right w:val="nil"/>
            </w:tcBorders>
            <w:shd w:val="clear" w:color="auto" w:fill="auto"/>
            <w:noWrap/>
            <w:vAlign w:val="bottom"/>
            <w:hideMark/>
          </w:tcPr>
          <w:p w14:paraId="23B972C9" w14:textId="77777777" w:rsidR="002F53B7" w:rsidRPr="006B5CA8"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1C754650" w14:textId="77777777" w:rsidR="002F53B7" w:rsidRPr="006B5CA8" w:rsidRDefault="002F53B7" w:rsidP="002F53B7">
            <w:pPr>
              <w:spacing w:after="0" w:line="240" w:lineRule="auto"/>
              <w:jc w:val="right"/>
              <w:rPr>
                <w:rFonts w:ascii="Calibri" w:eastAsia="Times New Roman" w:hAnsi="Calibri" w:cs="Calibri"/>
                <w:color w:val="000000"/>
                <w:sz w:val="22"/>
              </w:rPr>
            </w:pPr>
            <w:r w:rsidRPr="006B5CA8">
              <w:rPr>
                <w:rFonts w:ascii="Calibri" w:eastAsia="Times New Roman" w:hAnsi="Calibri" w:cs="Calibri"/>
                <w:color w:val="000000"/>
                <w:sz w:val="22"/>
              </w:rPr>
              <w:t>56.9</w:t>
            </w:r>
          </w:p>
        </w:tc>
        <w:tc>
          <w:tcPr>
            <w:tcW w:w="976" w:type="dxa"/>
            <w:tcBorders>
              <w:top w:val="nil"/>
              <w:left w:val="nil"/>
              <w:bottom w:val="nil"/>
              <w:right w:val="nil"/>
            </w:tcBorders>
            <w:shd w:val="clear" w:color="auto" w:fill="auto"/>
            <w:noWrap/>
            <w:vAlign w:val="bottom"/>
            <w:hideMark/>
          </w:tcPr>
          <w:p w14:paraId="5A1734DE" w14:textId="77777777" w:rsidR="002F53B7" w:rsidRPr="006B5CA8"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4753FF44" w14:textId="77777777" w:rsidR="002F53B7" w:rsidRPr="006B5CA8" w:rsidRDefault="002F53B7" w:rsidP="002F53B7">
            <w:pPr>
              <w:spacing w:after="0" w:line="240" w:lineRule="auto"/>
              <w:jc w:val="right"/>
              <w:rPr>
                <w:rFonts w:ascii="Calibri" w:eastAsia="Times New Roman" w:hAnsi="Calibri" w:cs="Calibri"/>
                <w:color w:val="000000"/>
                <w:sz w:val="22"/>
              </w:rPr>
            </w:pPr>
            <w:r w:rsidRPr="006B5CA8">
              <w:rPr>
                <w:rFonts w:ascii="Calibri" w:eastAsia="Times New Roman" w:hAnsi="Calibri" w:cs="Calibri"/>
                <w:color w:val="000000"/>
                <w:sz w:val="22"/>
              </w:rPr>
              <w:t>6.258</w:t>
            </w:r>
          </w:p>
        </w:tc>
        <w:tc>
          <w:tcPr>
            <w:tcW w:w="976" w:type="dxa"/>
            <w:tcBorders>
              <w:top w:val="nil"/>
              <w:left w:val="nil"/>
              <w:bottom w:val="nil"/>
              <w:right w:val="nil"/>
            </w:tcBorders>
            <w:shd w:val="clear" w:color="auto" w:fill="auto"/>
            <w:noWrap/>
            <w:vAlign w:val="bottom"/>
            <w:hideMark/>
          </w:tcPr>
          <w:p w14:paraId="7C74ACA4" w14:textId="77777777" w:rsidR="002F53B7" w:rsidRPr="006B5CA8"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231000B9" w14:textId="77777777" w:rsidR="002F53B7" w:rsidRPr="006B5CA8" w:rsidRDefault="002F53B7" w:rsidP="002F53B7">
            <w:pPr>
              <w:spacing w:after="0" w:line="240" w:lineRule="auto"/>
              <w:rPr>
                <w:rFonts w:eastAsia="Times New Roman" w:cs="Times New Roman"/>
                <w:sz w:val="20"/>
                <w:szCs w:val="20"/>
              </w:rPr>
            </w:pPr>
          </w:p>
        </w:tc>
      </w:tr>
      <w:tr w:rsidR="002F53B7" w:rsidRPr="006B5CA8" w14:paraId="4E7C0CA6" w14:textId="77777777" w:rsidTr="002F53B7">
        <w:trPr>
          <w:trHeight w:val="290"/>
        </w:trPr>
        <w:tc>
          <w:tcPr>
            <w:tcW w:w="976" w:type="dxa"/>
            <w:tcBorders>
              <w:top w:val="nil"/>
              <w:left w:val="nil"/>
              <w:bottom w:val="nil"/>
              <w:right w:val="nil"/>
            </w:tcBorders>
            <w:shd w:val="clear" w:color="auto" w:fill="auto"/>
            <w:noWrap/>
            <w:vAlign w:val="bottom"/>
            <w:hideMark/>
          </w:tcPr>
          <w:p w14:paraId="520C349F"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94BA588" w14:textId="77777777" w:rsidR="002F53B7" w:rsidRPr="006B5CA8" w:rsidRDefault="002F53B7" w:rsidP="002F53B7">
            <w:pPr>
              <w:spacing w:after="0" w:line="240" w:lineRule="auto"/>
              <w:jc w:val="right"/>
              <w:rPr>
                <w:rFonts w:ascii="Calibri" w:eastAsia="Times New Roman" w:hAnsi="Calibri" w:cs="Calibri"/>
                <w:color w:val="000000"/>
                <w:sz w:val="22"/>
              </w:rPr>
            </w:pPr>
            <w:r w:rsidRPr="006B5CA8">
              <w:rPr>
                <w:rFonts w:ascii="Calibri" w:eastAsia="Times New Roman" w:hAnsi="Calibri" w:cs="Calibri"/>
                <w:color w:val="000000"/>
                <w:sz w:val="22"/>
              </w:rPr>
              <w:t>1942</w:t>
            </w:r>
          </w:p>
        </w:tc>
        <w:tc>
          <w:tcPr>
            <w:tcW w:w="976" w:type="dxa"/>
            <w:tcBorders>
              <w:top w:val="nil"/>
              <w:left w:val="nil"/>
              <w:bottom w:val="nil"/>
              <w:right w:val="nil"/>
            </w:tcBorders>
            <w:shd w:val="clear" w:color="auto" w:fill="auto"/>
            <w:noWrap/>
            <w:vAlign w:val="bottom"/>
            <w:hideMark/>
          </w:tcPr>
          <w:p w14:paraId="261A3038" w14:textId="77777777" w:rsidR="002F53B7" w:rsidRPr="006B5CA8" w:rsidRDefault="002F53B7" w:rsidP="002F53B7">
            <w:pPr>
              <w:spacing w:after="0" w:line="240" w:lineRule="auto"/>
              <w:jc w:val="right"/>
              <w:rPr>
                <w:rFonts w:ascii="Calibri" w:eastAsia="Times New Roman" w:hAnsi="Calibri" w:cs="Calibri"/>
                <w:color w:val="000000"/>
                <w:sz w:val="22"/>
              </w:rPr>
            </w:pPr>
            <w:r w:rsidRPr="006B5CA8">
              <w:rPr>
                <w:rFonts w:ascii="Calibri" w:eastAsia="Times New Roman" w:hAnsi="Calibri" w:cs="Calibri"/>
                <w:color w:val="000000"/>
                <w:sz w:val="22"/>
              </w:rPr>
              <w:t>74.5</w:t>
            </w:r>
          </w:p>
        </w:tc>
        <w:tc>
          <w:tcPr>
            <w:tcW w:w="976" w:type="dxa"/>
            <w:tcBorders>
              <w:top w:val="nil"/>
              <w:left w:val="nil"/>
              <w:bottom w:val="nil"/>
              <w:right w:val="nil"/>
            </w:tcBorders>
            <w:shd w:val="clear" w:color="auto" w:fill="auto"/>
            <w:noWrap/>
            <w:vAlign w:val="bottom"/>
            <w:hideMark/>
          </w:tcPr>
          <w:p w14:paraId="55B897B4" w14:textId="77777777" w:rsidR="002F53B7" w:rsidRPr="006B5CA8"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25A0B98C" w14:textId="77777777" w:rsidR="002F53B7" w:rsidRPr="006B5CA8" w:rsidRDefault="002F53B7" w:rsidP="002F53B7">
            <w:pPr>
              <w:spacing w:after="0" w:line="240" w:lineRule="auto"/>
              <w:jc w:val="right"/>
              <w:rPr>
                <w:rFonts w:ascii="Calibri" w:eastAsia="Times New Roman" w:hAnsi="Calibri" w:cs="Calibri"/>
                <w:color w:val="000000"/>
                <w:sz w:val="22"/>
              </w:rPr>
            </w:pPr>
            <w:r w:rsidRPr="006B5CA8">
              <w:rPr>
                <w:rFonts w:ascii="Calibri" w:eastAsia="Times New Roman" w:hAnsi="Calibri" w:cs="Calibri"/>
                <w:color w:val="000000"/>
                <w:sz w:val="22"/>
              </w:rPr>
              <w:t>89.7</w:t>
            </w:r>
          </w:p>
        </w:tc>
        <w:tc>
          <w:tcPr>
            <w:tcW w:w="976" w:type="dxa"/>
            <w:tcBorders>
              <w:top w:val="nil"/>
              <w:left w:val="nil"/>
              <w:bottom w:val="nil"/>
              <w:right w:val="nil"/>
            </w:tcBorders>
            <w:shd w:val="clear" w:color="auto" w:fill="auto"/>
            <w:noWrap/>
            <w:vAlign w:val="bottom"/>
            <w:hideMark/>
          </w:tcPr>
          <w:p w14:paraId="21FAEB94" w14:textId="77777777" w:rsidR="002F53B7" w:rsidRPr="006B5CA8"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322C5DB0" w14:textId="77777777" w:rsidR="002F53B7" w:rsidRPr="006B5CA8" w:rsidRDefault="002F53B7" w:rsidP="002F53B7">
            <w:pPr>
              <w:spacing w:after="0" w:line="240" w:lineRule="auto"/>
              <w:jc w:val="right"/>
              <w:rPr>
                <w:rFonts w:ascii="Calibri" w:eastAsia="Times New Roman" w:hAnsi="Calibri" w:cs="Calibri"/>
                <w:color w:val="000000"/>
                <w:sz w:val="22"/>
              </w:rPr>
            </w:pPr>
            <w:r w:rsidRPr="006B5CA8">
              <w:rPr>
                <w:rFonts w:ascii="Calibri" w:eastAsia="Times New Roman" w:hAnsi="Calibri" w:cs="Calibri"/>
                <w:color w:val="000000"/>
                <w:sz w:val="22"/>
              </w:rPr>
              <w:t>6.484</w:t>
            </w:r>
          </w:p>
        </w:tc>
        <w:tc>
          <w:tcPr>
            <w:tcW w:w="976" w:type="dxa"/>
            <w:tcBorders>
              <w:top w:val="nil"/>
              <w:left w:val="nil"/>
              <w:bottom w:val="nil"/>
              <w:right w:val="nil"/>
            </w:tcBorders>
            <w:shd w:val="clear" w:color="auto" w:fill="auto"/>
            <w:noWrap/>
            <w:vAlign w:val="bottom"/>
            <w:hideMark/>
          </w:tcPr>
          <w:p w14:paraId="6B13095E" w14:textId="77777777" w:rsidR="002F53B7" w:rsidRPr="006B5CA8"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545B5295" w14:textId="77777777" w:rsidR="002F53B7" w:rsidRPr="006B5CA8" w:rsidRDefault="002F53B7" w:rsidP="002F53B7">
            <w:pPr>
              <w:spacing w:after="0" w:line="240" w:lineRule="auto"/>
              <w:rPr>
                <w:rFonts w:eastAsia="Times New Roman" w:cs="Times New Roman"/>
                <w:sz w:val="20"/>
                <w:szCs w:val="20"/>
              </w:rPr>
            </w:pPr>
          </w:p>
        </w:tc>
      </w:tr>
      <w:tr w:rsidR="002F53B7" w:rsidRPr="006B5CA8" w14:paraId="0DBA0BFE" w14:textId="77777777" w:rsidTr="002F53B7">
        <w:trPr>
          <w:trHeight w:val="290"/>
        </w:trPr>
        <w:tc>
          <w:tcPr>
            <w:tcW w:w="976" w:type="dxa"/>
            <w:tcBorders>
              <w:top w:val="nil"/>
              <w:left w:val="nil"/>
              <w:bottom w:val="nil"/>
              <w:right w:val="nil"/>
            </w:tcBorders>
            <w:shd w:val="clear" w:color="auto" w:fill="auto"/>
            <w:noWrap/>
            <w:vAlign w:val="bottom"/>
            <w:hideMark/>
          </w:tcPr>
          <w:p w14:paraId="07FE1313"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92E806B" w14:textId="77777777" w:rsidR="002F53B7" w:rsidRPr="006B5CA8" w:rsidRDefault="002F53B7" w:rsidP="002F53B7">
            <w:pPr>
              <w:spacing w:after="0" w:line="240" w:lineRule="auto"/>
              <w:jc w:val="right"/>
              <w:rPr>
                <w:rFonts w:ascii="Calibri" w:eastAsia="Times New Roman" w:hAnsi="Calibri" w:cs="Calibri"/>
                <w:color w:val="000000"/>
                <w:sz w:val="22"/>
              </w:rPr>
            </w:pPr>
            <w:r w:rsidRPr="006B5CA8">
              <w:rPr>
                <w:rFonts w:ascii="Calibri" w:eastAsia="Times New Roman" w:hAnsi="Calibri" w:cs="Calibri"/>
                <w:color w:val="000000"/>
                <w:sz w:val="22"/>
              </w:rPr>
              <w:t>1948</w:t>
            </w:r>
          </w:p>
        </w:tc>
        <w:tc>
          <w:tcPr>
            <w:tcW w:w="976" w:type="dxa"/>
            <w:tcBorders>
              <w:top w:val="nil"/>
              <w:left w:val="nil"/>
              <w:bottom w:val="nil"/>
              <w:right w:val="nil"/>
            </w:tcBorders>
            <w:shd w:val="clear" w:color="auto" w:fill="auto"/>
            <w:noWrap/>
            <w:vAlign w:val="bottom"/>
            <w:hideMark/>
          </w:tcPr>
          <w:p w14:paraId="48014B68" w14:textId="77777777" w:rsidR="002F53B7" w:rsidRPr="006B5CA8" w:rsidRDefault="002F53B7" w:rsidP="002F53B7">
            <w:pPr>
              <w:spacing w:after="0" w:line="240" w:lineRule="auto"/>
              <w:jc w:val="right"/>
              <w:rPr>
                <w:rFonts w:ascii="Calibri" w:eastAsia="Times New Roman" w:hAnsi="Calibri" w:cs="Calibri"/>
                <w:color w:val="000000"/>
                <w:sz w:val="22"/>
              </w:rPr>
            </w:pPr>
            <w:r w:rsidRPr="006B5CA8">
              <w:rPr>
                <w:rFonts w:ascii="Calibri" w:eastAsia="Times New Roman" w:hAnsi="Calibri" w:cs="Calibri"/>
                <w:color w:val="000000"/>
                <w:sz w:val="22"/>
              </w:rPr>
              <w:t>123.9</w:t>
            </w:r>
          </w:p>
        </w:tc>
        <w:tc>
          <w:tcPr>
            <w:tcW w:w="976" w:type="dxa"/>
            <w:tcBorders>
              <w:top w:val="nil"/>
              <w:left w:val="nil"/>
              <w:bottom w:val="nil"/>
              <w:right w:val="nil"/>
            </w:tcBorders>
            <w:shd w:val="clear" w:color="auto" w:fill="auto"/>
            <w:noWrap/>
            <w:vAlign w:val="bottom"/>
            <w:hideMark/>
          </w:tcPr>
          <w:p w14:paraId="74B6BA02" w14:textId="77777777" w:rsidR="002F53B7" w:rsidRPr="006B5CA8"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210AC7C7" w14:textId="77777777" w:rsidR="002F53B7" w:rsidRPr="006B5CA8" w:rsidRDefault="002F53B7" w:rsidP="002F53B7">
            <w:pPr>
              <w:spacing w:after="0" w:line="240" w:lineRule="auto"/>
              <w:jc w:val="right"/>
              <w:rPr>
                <w:rFonts w:ascii="Calibri" w:eastAsia="Times New Roman" w:hAnsi="Calibri" w:cs="Calibri"/>
                <w:color w:val="000000"/>
                <w:sz w:val="22"/>
              </w:rPr>
            </w:pPr>
            <w:r w:rsidRPr="006B5CA8">
              <w:rPr>
                <w:rFonts w:ascii="Calibri" w:eastAsia="Times New Roman" w:hAnsi="Calibri" w:cs="Calibri"/>
                <w:color w:val="000000"/>
                <w:sz w:val="22"/>
              </w:rPr>
              <w:t>107.2</w:t>
            </w:r>
          </w:p>
        </w:tc>
        <w:tc>
          <w:tcPr>
            <w:tcW w:w="976" w:type="dxa"/>
            <w:tcBorders>
              <w:top w:val="nil"/>
              <w:left w:val="nil"/>
              <w:bottom w:val="nil"/>
              <w:right w:val="nil"/>
            </w:tcBorders>
            <w:shd w:val="clear" w:color="auto" w:fill="auto"/>
            <w:noWrap/>
            <w:vAlign w:val="bottom"/>
            <w:hideMark/>
          </w:tcPr>
          <w:p w14:paraId="359EEA3F" w14:textId="77777777" w:rsidR="002F53B7" w:rsidRPr="006B5CA8"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2C8D3B45" w14:textId="77777777" w:rsidR="002F53B7" w:rsidRPr="006B5CA8" w:rsidRDefault="002F53B7" w:rsidP="002F53B7">
            <w:pPr>
              <w:spacing w:after="0" w:line="240" w:lineRule="auto"/>
              <w:jc w:val="right"/>
              <w:rPr>
                <w:rFonts w:ascii="Calibri" w:eastAsia="Times New Roman" w:hAnsi="Calibri" w:cs="Calibri"/>
                <w:color w:val="000000"/>
                <w:sz w:val="22"/>
              </w:rPr>
            </w:pPr>
            <w:r w:rsidRPr="006B5CA8">
              <w:rPr>
                <w:rFonts w:ascii="Calibri" w:eastAsia="Times New Roman" w:hAnsi="Calibri" w:cs="Calibri"/>
                <w:color w:val="000000"/>
                <w:sz w:val="22"/>
              </w:rPr>
              <w:t>11.918</w:t>
            </w:r>
          </w:p>
        </w:tc>
        <w:tc>
          <w:tcPr>
            <w:tcW w:w="976" w:type="dxa"/>
            <w:tcBorders>
              <w:top w:val="nil"/>
              <w:left w:val="nil"/>
              <w:bottom w:val="nil"/>
              <w:right w:val="nil"/>
            </w:tcBorders>
            <w:shd w:val="clear" w:color="auto" w:fill="auto"/>
            <w:noWrap/>
            <w:vAlign w:val="bottom"/>
            <w:hideMark/>
          </w:tcPr>
          <w:p w14:paraId="41278B60" w14:textId="77777777" w:rsidR="002F53B7" w:rsidRPr="006B5CA8"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251ABC64" w14:textId="77777777" w:rsidR="002F53B7" w:rsidRPr="006B5CA8" w:rsidRDefault="002F53B7" w:rsidP="002F53B7">
            <w:pPr>
              <w:spacing w:after="0" w:line="240" w:lineRule="auto"/>
              <w:rPr>
                <w:rFonts w:eastAsia="Times New Roman" w:cs="Times New Roman"/>
                <w:sz w:val="20"/>
                <w:szCs w:val="20"/>
              </w:rPr>
            </w:pPr>
          </w:p>
        </w:tc>
      </w:tr>
      <w:tr w:rsidR="002F53B7" w:rsidRPr="006B5CA8" w14:paraId="4961B82D" w14:textId="77777777" w:rsidTr="002F53B7">
        <w:trPr>
          <w:trHeight w:val="290"/>
        </w:trPr>
        <w:tc>
          <w:tcPr>
            <w:tcW w:w="976" w:type="dxa"/>
            <w:tcBorders>
              <w:top w:val="nil"/>
              <w:left w:val="nil"/>
              <w:bottom w:val="nil"/>
              <w:right w:val="nil"/>
            </w:tcBorders>
            <w:shd w:val="clear" w:color="auto" w:fill="auto"/>
            <w:noWrap/>
            <w:vAlign w:val="bottom"/>
            <w:hideMark/>
          </w:tcPr>
          <w:p w14:paraId="356AC393"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BDDAFFF" w14:textId="77777777" w:rsidR="002F53B7" w:rsidRPr="006B5CA8" w:rsidRDefault="002F53B7" w:rsidP="002F53B7">
            <w:pPr>
              <w:spacing w:after="0" w:line="240" w:lineRule="auto"/>
              <w:jc w:val="right"/>
              <w:rPr>
                <w:rFonts w:ascii="Calibri" w:eastAsia="Times New Roman" w:hAnsi="Calibri" w:cs="Calibri"/>
                <w:color w:val="000000"/>
                <w:sz w:val="22"/>
              </w:rPr>
            </w:pPr>
            <w:r w:rsidRPr="006B5CA8">
              <w:rPr>
                <w:rFonts w:ascii="Calibri" w:eastAsia="Times New Roman" w:hAnsi="Calibri" w:cs="Calibri"/>
                <w:color w:val="000000"/>
                <w:sz w:val="22"/>
              </w:rPr>
              <w:t>1950</w:t>
            </w:r>
          </w:p>
        </w:tc>
        <w:tc>
          <w:tcPr>
            <w:tcW w:w="976" w:type="dxa"/>
            <w:tcBorders>
              <w:top w:val="nil"/>
              <w:left w:val="nil"/>
              <w:bottom w:val="nil"/>
              <w:right w:val="nil"/>
            </w:tcBorders>
            <w:shd w:val="clear" w:color="auto" w:fill="auto"/>
            <w:noWrap/>
            <w:vAlign w:val="bottom"/>
            <w:hideMark/>
          </w:tcPr>
          <w:p w14:paraId="62B5C26B" w14:textId="77777777" w:rsidR="002F53B7" w:rsidRPr="006B5CA8" w:rsidRDefault="002F53B7" w:rsidP="002F53B7">
            <w:pPr>
              <w:spacing w:after="0" w:line="240" w:lineRule="auto"/>
              <w:jc w:val="right"/>
              <w:rPr>
                <w:rFonts w:ascii="Calibri" w:eastAsia="Times New Roman" w:hAnsi="Calibri" w:cs="Calibri"/>
                <w:color w:val="000000"/>
                <w:sz w:val="22"/>
              </w:rPr>
            </w:pPr>
            <w:r w:rsidRPr="006B5CA8">
              <w:rPr>
                <w:rFonts w:ascii="Calibri" w:eastAsia="Times New Roman" w:hAnsi="Calibri" w:cs="Calibri"/>
                <w:color w:val="000000"/>
                <w:sz w:val="22"/>
              </w:rPr>
              <w:t>174.2</w:t>
            </w:r>
          </w:p>
        </w:tc>
        <w:tc>
          <w:tcPr>
            <w:tcW w:w="976" w:type="dxa"/>
            <w:tcBorders>
              <w:top w:val="nil"/>
              <w:left w:val="nil"/>
              <w:bottom w:val="nil"/>
              <w:right w:val="nil"/>
            </w:tcBorders>
            <w:shd w:val="clear" w:color="auto" w:fill="auto"/>
            <w:noWrap/>
            <w:vAlign w:val="bottom"/>
            <w:hideMark/>
          </w:tcPr>
          <w:p w14:paraId="71F07B94" w14:textId="77777777" w:rsidR="002F53B7" w:rsidRPr="006B5CA8"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31C1CE82" w14:textId="77777777" w:rsidR="002F53B7" w:rsidRPr="006B5CA8" w:rsidRDefault="002F53B7" w:rsidP="002F53B7">
            <w:pPr>
              <w:spacing w:after="0" w:line="240" w:lineRule="auto"/>
              <w:jc w:val="right"/>
              <w:rPr>
                <w:rFonts w:ascii="Calibri" w:eastAsia="Times New Roman" w:hAnsi="Calibri" w:cs="Calibri"/>
                <w:color w:val="000000"/>
                <w:sz w:val="22"/>
              </w:rPr>
            </w:pPr>
            <w:r w:rsidRPr="006B5CA8">
              <w:rPr>
                <w:rFonts w:ascii="Calibri" w:eastAsia="Times New Roman" w:hAnsi="Calibri" w:cs="Calibri"/>
                <w:color w:val="000000"/>
                <w:sz w:val="22"/>
              </w:rPr>
              <w:t>129.7</w:t>
            </w:r>
          </w:p>
        </w:tc>
        <w:tc>
          <w:tcPr>
            <w:tcW w:w="976" w:type="dxa"/>
            <w:tcBorders>
              <w:top w:val="nil"/>
              <w:left w:val="nil"/>
              <w:bottom w:val="nil"/>
              <w:right w:val="nil"/>
            </w:tcBorders>
            <w:shd w:val="clear" w:color="auto" w:fill="auto"/>
            <w:noWrap/>
            <w:vAlign w:val="bottom"/>
            <w:hideMark/>
          </w:tcPr>
          <w:p w14:paraId="731C20DF" w14:textId="77777777" w:rsidR="002F53B7" w:rsidRPr="006B5CA8"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19260E70" w14:textId="77777777" w:rsidR="002F53B7" w:rsidRPr="006B5CA8" w:rsidRDefault="002F53B7" w:rsidP="002F53B7">
            <w:pPr>
              <w:spacing w:after="0" w:line="240" w:lineRule="auto"/>
              <w:jc w:val="right"/>
              <w:rPr>
                <w:rFonts w:ascii="Calibri" w:eastAsia="Times New Roman" w:hAnsi="Calibri" w:cs="Calibri"/>
                <w:color w:val="000000"/>
                <w:sz w:val="22"/>
              </w:rPr>
            </w:pPr>
            <w:r w:rsidRPr="006B5CA8">
              <w:rPr>
                <w:rFonts w:ascii="Calibri" w:eastAsia="Times New Roman" w:hAnsi="Calibri" w:cs="Calibri"/>
                <w:color w:val="000000"/>
                <w:sz w:val="22"/>
              </w:rPr>
              <w:t>14.054</w:t>
            </w:r>
          </w:p>
        </w:tc>
        <w:tc>
          <w:tcPr>
            <w:tcW w:w="976" w:type="dxa"/>
            <w:tcBorders>
              <w:top w:val="nil"/>
              <w:left w:val="nil"/>
              <w:bottom w:val="nil"/>
              <w:right w:val="nil"/>
            </w:tcBorders>
            <w:shd w:val="clear" w:color="auto" w:fill="auto"/>
            <w:noWrap/>
            <w:vAlign w:val="bottom"/>
            <w:hideMark/>
          </w:tcPr>
          <w:p w14:paraId="6404A93D" w14:textId="77777777" w:rsidR="002F53B7" w:rsidRPr="006B5CA8"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21DD7F19" w14:textId="77777777" w:rsidR="002F53B7" w:rsidRPr="006B5CA8" w:rsidRDefault="002F53B7" w:rsidP="002F53B7">
            <w:pPr>
              <w:spacing w:after="0" w:line="240" w:lineRule="auto"/>
              <w:rPr>
                <w:rFonts w:eastAsia="Times New Roman" w:cs="Times New Roman"/>
                <w:sz w:val="20"/>
                <w:szCs w:val="20"/>
              </w:rPr>
            </w:pPr>
          </w:p>
        </w:tc>
      </w:tr>
      <w:tr w:rsidR="002F53B7" w:rsidRPr="006B5CA8" w14:paraId="2399433C" w14:textId="77777777" w:rsidTr="002F53B7">
        <w:trPr>
          <w:trHeight w:val="290"/>
        </w:trPr>
        <w:tc>
          <w:tcPr>
            <w:tcW w:w="976" w:type="dxa"/>
            <w:tcBorders>
              <w:top w:val="nil"/>
              <w:left w:val="nil"/>
              <w:bottom w:val="nil"/>
              <w:right w:val="nil"/>
            </w:tcBorders>
            <w:shd w:val="clear" w:color="auto" w:fill="auto"/>
            <w:noWrap/>
            <w:vAlign w:val="bottom"/>
            <w:hideMark/>
          </w:tcPr>
          <w:p w14:paraId="44E364DF"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2A1A6A3"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E829D12"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3D09DEC"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5472D3F"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69F7A70"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0F290F81"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5448229"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0421E83" w14:textId="77777777" w:rsidR="002F53B7" w:rsidRPr="006B5CA8" w:rsidRDefault="002F53B7" w:rsidP="002F53B7">
            <w:pPr>
              <w:spacing w:after="0" w:line="240" w:lineRule="auto"/>
              <w:rPr>
                <w:rFonts w:eastAsia="Times New Roman" w:cs="Times New Roman"/>
                <w:sz w:val="20"/>
                <w:szCs w:val="20"/>
              </w:rPr>
            </w:pPr>
          </w:p>
        </w:tc>
      </w:tr>
      <w:tr w:rsidR="002F53B7" w:rsidRPr="006B5CA8" w14:paraId="6F1353CB" w14:textId="77777777" w:rsidTr="002F53B7">
        <w:trPr>
          <w:trHeight w:val="290"/>
        </w:trPr>
        <w:tc>
          <w:tcPr>
            <w:tcW w:w="976" w:type="dxa"/>
            <w:tcBorders>
              <w:top w:val="nil"/>
              <w:left w:val="nil"/>
              <w:bottom w:val="nil"/>
              <w:right w:val="nil"/>
            </w:tcBorders>
            <w:shd w:val="clear" w:color="auto" w:fill="auto"/>
            <w:noWrap/>
            <w:vAlign w:val="bottom"/>
            <w:hideMark/>
          </w:tcPr>
          <w:p w14:paraId="49B51EC0" w14:textId="77777777" w:rsidR="002F53B7" w:rsidRPr="006B5CA8" w:rsidRDefault="002F53B7" w:rsidP="002F53B7">
            <w:pPr>
              <w:spacing w:after="0" w:line="240" w:lineRule="auto"/>
              <w:rPr>
                <w:rFonts w:eastAsia="Times New Roman" w:cs="Times New Roman"/>
                <w:sz w:val="20"/>
                <w:szCs w:val="20"/>
              </w:rPr>
            </w:pPr>
          </w:p>
        </w:tc>
        <w:tc>
          <w:tcPr>
            <w:tcW w:w="1952" w:type="dxa"/>
            <w:gridSpan w:val="2"/>
            <w:tcBorders>
              <w:top w:val="nil"/>
              <w:left w:val="nil"/>
              <w:bottom w:val="nil"/>
              <w:right w:val="nil"/>
            </w:tcBorders>
            <w:shd w:val="clear" w:color="auto" w:fill="auto"/>
            <w:noWrap/>
            <w:vAlign w:val="bottom"/>
            <w:hideMark/>
          </w:tcPr>
          <w:p w14:paraId="4469904E" w14:textId="77777777" w:rsidR="002F53B7" w:rsidRPr="006B5CA8" w:rsidRDefault="002F53B7" w:rsidP="002F53B7">
            <w:pPr>
              <w:spacing w:after="0" w:line="240" w:lineRule="auto"/>
              <w:rPr>
                <w:rFonts w:ascii="Calibri" w:eastAsia="Times New Roman" w:hAnsi="Calibri" w:cs="Calibri"/>
                <w:color w:val="000000"/>
                <w:sz w:val="22"/>
              </w:rPr>
            </w:pPr>
            <w:r w:rsidRPr="006B5CA8">
              <w:rPr>
                <w:rFonts w:ascii="Calibri" w:eastAsia="Times New Roman" w:hAnsi="Calibri" w:cs="Calibri"/>
                <w:color w:val="000000"/>
                <w:sz w:val="22"/>
              </w:rPr>
              <w:t>Growth rates</w:t>
            </w:r>
          </w:p>
        </w:tc>
        <w:tc>
          <w:tcPr>
            <w:tcW w:w="976" w:type="dxa"/>
            <w:tcBorders>
              <w:top w:val="nil"/>
              <w:left w:val="nil"/>
              <w:bottom w:val="nil"/>
              <w:right w:val="nil"/>
            </w:tcBorders>
            <w:shd w:val="clear" w:color="auto" w:fill="auto"/>
            <w:noWrap/>
            <w:vAlign w:val="bottom"/>
            <w:hideMark/>
          </w:tcPr>
          <w:p w14:paraId="20D1D109" w14:textId="77777777" w:rsidR="002F53B7" w:rsidRPr="006B5CA8" w:rsidRDefault="002F53B7" w:rsidP="002F53B7">
            <w:pPr>
              <w:spacing w:after="0" w:line="240" w:lineRule="auto"/>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2C4D11CC"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3B09C8C"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9726DBE"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5E8E56B"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2B61A15" w14:textId="77777777" w:rsidR="002F53B7" w:rsidRPr="006B5CA8" w:rsidRDefault="002F53B7" w:rsidP="002F53B7">
            <w:pPr>
              <w:spacing w:after="0" w:line="240" w:lineRule="auto"/>
              <w:rPr>
                <w:rFonts w:eastAsia="Times New Roman" w:cs="Times New Roman"/>
                <w:sz w:val="20"/>
                <w:szCs w:val="20"/>
              </w:rPr>
            </w:pPr>
          </w:p>
        </w:tc>
      </w:tr>
      <w:tr w:rsidR="002F53B7" w:rsidRPr="006B5CA8" w14:paraId="14DDDA39" w14:textId="77777777" w:rsidTr="002F53B7">
        <w:trPr>
          <w:trHeight w:val="290"/>
        </w:trPr>
        <w:tc>
          <w:tcPr>
            <w:tcW w:w="976" w:type="dxa"/>
            <w:tcBorders>
              <w:top w:val="nil"/>
              <w:left w:val="nil"/>
              <w:bottom w:val="nil"/>
              <w:right w:val="nil"/>
            </w:tcBorders>
            <w:shd w:val="clear" w:color="auto" w:fill="auto"/>
            <w:noWrap/>
            <w:vAlign w:val="bottom"/>
            <w:hideMark/>
          </w:tcPr>
          <w:p w14:paraId="53828D7A"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27A6F8A" w14:textId="77777777" w:rsidR="002F53B7" w:rsidRPr="006B5CA8" w:rsidRDefault="002F53B7" w:rsidP="002F53B7">
            <w:pPr>
              <w:spacing w:after="0" w:line="240" w:lineRule="auto"/>
              <w:rPr>
                <w:rFonts w:ascii="Calibri" w:eastAsia="Times New Roman" w:hAnsi="Calibri" w:cs="Calibri"/>
                <w:color w:val="000000"/>
                <w:sz w:val="22"/>
              </w:rPr>
            </w:pPr>
            <w:r w:rsidRPr="006B5CA8">
              <w:rPr>
                <w:rFonts w:ascii="Calibri" w:eastAsia="Times New Roman" w:hAnsi="Calibri" w:cs="Calibri"/>
                <w:color w:val="000000"/>
                <w:sz w:val="22"/>
              </w:rPr>
              <w:t>1929-42</w:t>
            </w:r>
          </w:p>
        </w:tc>
        <w:tc>
          <w:tcPr>
            <w:tcW w:w="976" w:type="dxa"/>
            <w:tcBorders>
              <w:top w:val="nil"/>
              <w:left w:val="nil"/>
              <w:bottom w:val="nil"/>
              <w:right w:val="nil"/>
            </w:tcBorders>
            <w:shd w:val="clear" w:color="auto" w:fill="auto"/>
            <w:noWrap/>
            <w:vAlign w:val="bottom"/>
            <w:hideMark/>
          </w:tcPr>
          <w:p w14:paraId="3E15E264" w14:textId="77777777" w:rsidR="002F53B7" w:rsidRPr="006B5CA8" w:rsidRDefault="002F53B7" w:rsidP="002F53B7">
            <w:pPr>
              <w:spacing w:after="0" w:line="240" w:lineRule="auto"/>
              <w:jc w:val="right"/>
              <w:rPr>
                <w:rFonts w:ascii="Calibri" w:eastAsia="Times New Roman" w:hAnsi="Calibri" w:cs="Calibri"/>
                <w:color w:val="000000"/>
                <w:sz w:val="22"/>
              </w:rPr>
            </w:pPr>
            <w:r w:rsidRPr="006B5CA8">
              <w:rPr>
                <w:rFonts w:ascii="Calibri" w:eastAsia="Times New Roman" w:hAnsi="Calibri" w:cs="Calibri"/>
                <w:color w:val="000000"/>
                <w:sz w:val="22"/>
              </w:rPr>
              <w:t>0.1515</w:t>
            </w:r>
          </w:p>
        </w:tc>
        <w:tc>
          <w:tcPr>
            <w:tcW w:w="976" w:type="dxa"/>
            <w:tcBorders>
              <w:top w:val="nil"/>
              <w:left w:val="nil"/>
              <w:bottom w:val="nil"/>
              <w:right w:val="nil"/>
            </w:tcBorders>
            <w:shd w:val="clear" w:color="auto" w:fill="auto"/>
            <w:noWrap/>
            <w:vAlign w:val="bottom"/>
            <w:hideMark/>
          </w:tcPr>
          <w:p w14:paraId="689AE753" w14:textId="77777777" w:rsidR="002F53B7" w:rsidRPr="006B5CA8"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19A9428E" w14:textId="77777777" w:rsidR="002F53B7" w:rsidRPr="006B5CA8" w:rsidRDefault="002F53B7" w:rsidP="002F53B7">
            <w:pPr>
              <w:spacing w:after="0" w:line="240" w:lineRule="auto"/>
              <w:jc w:val="right"/>
              <w:rPr>
                <w:rFonts w:ascii="Calibri" w:eastAsia="Times New Roman" w:hAnsi="Calibri" w:cs="Calibri"/>
                <w:color w:val="000000"/>
                <w:sz w:val="22"/>
              </w:rPr>
            </w:pPr>
            <w:r w:rsidRPr="006B5CA8">
              <w:rPr>
                <w:rFonts w:ascii="Calibri" w:eastAsia="Times New Roman" w:hAnsi="Calibri" w:cs="Calibri"/>
                <w:color w:val="000000"/>
                <w:sz w:val="22"/>
              </w:rPr>
              <w:t>0.0350</w:t>
            </w:r>
          </w:p>
        </w:tc>
        <w:tc>
          <w:tcPr>
            <w:tcW w:w="976" w:type="dxa"/>
            <w:tcBorders>
              <w:top w:val="nil"/>
              <w:left w:val="nil"/>
              <w:bottom w:val="nil"/>
              <w:right w:val="nil"/>
            </w:tcBorders>
            <w:shd w:val="clear" w:color="auto" w:fill="auto"/>
            <w:noWrap/>
            <w:vAlign w:val="bottom"/>
            <w:hideMark/>
          </w:tcPr>
          <w:p w14:paraId="0D6B0E8A" w14:textId="77777777" w:rsidR="002F53B7" w:rsidRPr="006B5CA8"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5F198C83" w14:textId="77777777" w:rsidR="002F53B7" w:rsidRPr="006B5CA8" w:rsidRDefault="002F53B7" w:rsidP="002F53B7">
            <w:pPr>
              <w:spacing w:after="0" w:line="240" w:lineRule="auto"/>
              <w:jc w:val="right"/>
              <w:rPr>
                <w:rFonts w:ascii="Calibri" w:eastAsia="Times New Roman" w:hAnsi="Calibri" w:cs="Calibri"/>
                <w:color w:val="000000"/>
                <w:sz w:val="22"/>
              </w:rPr>
            </w:pPr>
            <w:r w:rsidRPr="006B5CA8">
              <w:rPr>
                <w:rFonts w:ascii="Calibri" w:eastAsia="Times New Roman" w:hAnsi="Calibri" w:cs="Calibri"/>
                <w:color w:val="000000"/>
                <w:sz w:val="22"/>
              </w:rPr>
              <w:t>0.0027</w:t>
            </w:r>
          </w:p>
        </w:tc>
        <w:tc>
          <w:tcPr>
            <w:tcW w:w="976" w:type="dxa"/>
            <w:tcBorders>
              <w:top w:val="nil"/>
              <w:left w:val="nil"/>
              <w:bottom w:val="nil"/>
              <w:right w:val="nil"/>
            </w:tcBorders>
            <w:shd w:val="clear" w:color="auto" w:fill="auto"/>
            <w:noWrap/>
            <w:vAlign w:val="bottom"/>
            <w:hideMark/>
          </w:tcPr>
          <w:p w14:paraId="72306942" w14:textId="77777777" w:rsidR="002F53B7" w:rsidRPr="006B5CA8" w:rsidRDefault="002F53B7" w:rsidP="002F53B7">
            <w:pPr>
              <w:spacing w:after="0" w:line="240" w:lineRule="auto"/>
              <w:jc w:val="right"/>
              <w:rPr>
                <w:rFonts w:ascii="Calibri" w:eastAsia="Times New Roman" w:hAnsi="Calibri" w:cs="Calibri"/>
                <w:color w:val="000000"/>
                <w:sz w:val="22"/>
              </w:rPr>
            </w:pPr>
            <w:r w:rsidRPr="006B5CA8">
              <w:rPr>
                <w:rFonts w:ascii="Calibri" w:eastAsia="Times New Roman" w:hAnsi="Calibri" w:cs="Calibri"/>
                <w:color w:val="000000"/>
                <w:sz w:val="22"/>
              </w:rPr>
              <w:t>0.1164</w:t>
            </w:r>
          </w:p>
        </w:tc>
        <w:tc>
          <w:tcPr>
            <w:tcW w:w="976" w:type="dxa"/>
            <w:tcBorders>
              <w:top w:val="nil"/>
              <w:left w:val="nil"/>
              <w:bottom w:val="nil"/>
              <w:right w:val="nil"/>
            </w:tcBorders>
            <w:shd w:val="clear" w:color="auto" w:fill="auto"/>
            <w:noWrap/>
            <w:vAlign w:val="bottom"/>
            <w:hideMark/>
          </w:tcPr>
          <w:p w14:paraId="464309DA" w14:textId="77777777" w:rsidR="002F53B7" w:rsidRPr="00FA6DE8" w:rsidRDefault="002F53B7" w:rsidP="002F53B7">
            <w:pPr>
              <w:spacing w:after="0" w:line="240" w:lineRule="auto"/>
              <w:jc w:val="right"/>
              <w:rPr>
                <w:rFonts w:ascii="Calibri" w:eastAsia="Times New Roman" w:hAnsi="Calibri" w:cs="Calibri"/>
                <w:b/>
                <w:color w:val="000000"/>
                <w:sz w:val="22"/>
              </w:rPr>
            </w:pPr>
            <w:r w:rsidRPr="00FA6DE8">
              <w:rPr>
                <w:rFonts w:ascii="Calibri" w:eastAsia="Times New Roman" w:hAnsi="Calibri" w:cs="Calibri"/>
                <w:b/>
                <w:color w:val="000000"/>
                <w:sz w:val="22"/>
              </w:rPr>
              <w:t>0.1261</w:t>
            </w:r>
          </w:p>
        </w:tc>
      </w:tr>
      <w:tr w:rsidR="002F53B7" w:rsidRPr="006B5CA8" w14:paraId="6A0CCCDA" w14:textId="77777777" w:rsidTr="002F53B7">
        <w:trPr>
          <w:trHeight w:val="290"/>
        </w:trPr>
        <w:tc>
          <w:tcPr>
            <w:tcW w:w="976" w:type="dxa"/>
            <w:tcBorders>
              <w:top w:val="nil"/>
              <w:left w:val="nil"/>
              <w:bottom w:val="nil"/>
              <w:right w:val="nil"/>
            </w:tcBorders>
            <w:shd w:val="clear" w:color="auto" w:fill="auto"/>
            <w:noWrap/>
            <w:vAlign w:val="bottom"/>
            <w:hideMark/>
          </w:tcPr>
          <w:p w14:paraId="1E097102" w14:textId="77777777" w:rsidR="002F53B7" w:rsidRPr="006B5CA8"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6B412B52" w14:textId="77777777" w:rsidR="002F53B7" w:rsidRPr="006B5CA8" w:rsidRDefault="002F53B7" w:rsidP="002F53B7">
            <w:pPr>
              <w:spacing w:after="0" w:line="240" w:lineRule="auto"/>
              <w:rPr>
                <w:rFonts w:ascii="Calibri" w:eastAsia="Times New Roman" w:hAnsi="Calibri" w:cs="Calibri"/>
                <w:color w:val="000000"/>
                <w:sz w:val="22"/>
              </w:rPr>
            </w:pPr>
            <w:r w:rsidRPr="006B5CA8">
              <w:rPr>
                <w:rFonts w:ascii="Calibri" w:eastAsia="Times New Roman" w:hAnsi="Calibri" w:cs="Calibri"/>
                <w:color w:val="000000"/>
                <w:sz w:val="22"/>
              </w:rPr>
              <w:t>1942-48</w:t>
            </w:r>
          </w:p>
        </w:tc>
        <w:tc>
          <w:tcPr>
            <w:tcW w:w="976" w:type="dxa"/>
            <w:tcBorders>
              <w:top w:val="nil"/>
              <w:left w:val="nil"/>
              <w:bottom w:val="nil"/>
              <w:right w:val="nil"/>
            </w:tcBorders>
            <w:shd w:val="clear" w:color="auto" w:fill="auto"/>
            <w:noWrap/>
            <w:vAlign w:val="bottom"/>
            <w:hideMark/>
          </w:tcPr>
          <w:p w14:paraId="3E27E193" w14:textId="77777777" w:rsidR="002F53B7" w:rsidRPr="006B5CA8" w:rsidRDefault="002F53B7" w:rsidP="002F53B7">
            <w:pPr>
              <w:spacing w:after="0" w:line="240" w:lineRule="auto"/>
              <w:jc w:val="right"/>
              <w:rPr>
                <w:rFonts w:ascii="Calibri" w:eastAsia="Times New Roman" w:hAnsi="Calibri" w:cs="Calibri"/>
                <w:color w:val="000000"/>
                <w:sz w:val="22"/>
              </w:rPr>
            </w:pPr>
            <w:r w:rsidRPr="006B5CA8">
              <w:rPr>
                <w:rFonts w:ascii="Calibri" w:eastAsia="Times New Roman" w:hAnsi="Calibri" w:cs="Calibri"/>
                <w:color w:val="000000"/>
                <w:sz w:val="22"/>
              </w:rPr>
              <w:t>0.0848</w:t>
            </w:r>
          </w:p>
        </w:tc>
        <w:tc>
          <w:tcPr>
            <w:tcW w:w="976" w:type="dxa"/>
            <w:tcBorders>
              <w:top w:val="nil"/>
              <w:left w:val="nil"/>
              <w:bottom w:val="nil"/>
              <w:right w:val="nil"/>
            </w:tcBorders>
            <w:shd w:val="clear" w:color="auto" w:fill="auto"/>
            <w:noWrap/>
            <w:vAlign w:val="bottom"/>
            <w:hideMark/>
          </w:tcPr>
          <w:p w14:paraId="1B0596C0" w14:textId="77777777" w:rsidR="002F53B7" w:rsidRPr="006B5CA8"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40750F21" w14:textId="77777777" w:rsidR="002F53B7" w:rsidRPr="006B5CA8" w:rsidRDefault="002F53B7" w:rsidP="002F53B7">
            <w:pPr>
              <w:spacing w:after="0" w:line="240" w:lineRule="auto"/>
              <w:jc w:val="right"/>
              <w:rPr>
                <w:rFonts w:ascii="Calibri" w:eastAsia="Times New Roman" w:hAnsi="Calibri" w:cs="Calibri"/>
                <w:color w:val="000000"/>
                <w:sz w:val="22"/>
              </w:rPr>
            </w:pPr>
            <w:r w:rsidRPr="006B5CA8">
              <w:rPr>
                <w:rFonts w:ascii="Calibri" w:eastAsia="Times New Roman" w:hAnsi="Calibri" w:cs="Calibri"/>
                <w:color w:val="000000"/>
                <w:sz w:val="22"/>
              </w:rPr>
              <w:t>0.0297</w:t>
            </w:r>
          </w:p>
        </w:tc>
        <w:tc>
          <w:tcPr>
            <w:tcW w:w="976" w:type="dxa"/>
            <w:tcBorders>
              <w:top w:val="nil"/>
              <w:left w:val="nil"/>
              <w:bottom w:val="nil"/>
              <w:right w:val="nil"/>
            </w:tcBorders>
            <w:shd w:val="clear" w:color="auto" w:fill="auto"/>
            <w:noWrap/>
            <w:vAlign w:val="bottom"/>
            <w:hideMark/>
          </w:tcPr>
          <w:p w14:paraId="65D2347C" w14:textId="77777777" w:rsidR="002F53B7" w:rsidRPr="006B5CA8"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4C346E89" w14:textId="77777777" w:rsidR="002F53B7" w:rsidRPr="006B5CA8" w:rsidRDefault="002F53B7" w:rsidP="002F53B7">
            <w:pPr>
              <w:spacing w:after="0" w:line="240" w:lineRule="auto"/>
              <w:jc w:val="right"/>
              <w:rPr>
                <w:rFonts w:ascii="Calibri" w:eastAsia="Times New Roman" w:hAnsi="Calibri" w:cs="Calibri"/>
                <w:color w:val="000000"/>
                <w:sz w:val="22"/>
              </w:rPr>
            </w:pPr>
            <w:r w:rsidRPr="006B5CA8">
              <w:rPr>
                <w:rFonts w:ascii="Calibri" w:eastAsia="Times New Roman" w:hAnsi="Calibri" w:cs="Calibri"/>
                <w:color w:val="000000"/>
                <w:sz w:val="22"/>
              </w:rPr>
              <w:t>0.1015</w:t>
            </w:r>
          </w:p>
        </w:tc>
        <w:tc>
          <w:tcPr>
            <w:tcW w:w="976" w:type="dxa"/>
            <w:tcBorders>
              <w:top w:val="nil"/>
              <w:left w:val="nil"/>
              <w:bottom w:val="nil"/>
              <w:right w:val="nil"/>
            </w:tcBorders>
            <w:shd w:val="clear" w:color="auto" w:fill="auto"/>
            <w:noWrap/>
            <w:vAlign w:val="bottom"/>
            <w:hideMark/>
          </w:tcPr>
          <w:p w14:paraId="1281506B" w14:textId="77777777" w:rsidR="002F53B7" w:rsidRPr="006B5CA8" w:rsidRDefault="002F53B7" w:rsidP="002F53B7">
            <w:pPr>
              <w:spacing w:after="0" w:line="240" w:lineRule="auto"/>
              <w:jc w:val="right"/>
              <w:rPr>
                <w:rFonts w:ascii="Calibri" w:eastAsia="Times New Roman" w:hAnsi="Calibri" w:cs="Calibri"/>
                <w:color w:val="000000"/>
                <w:sz w:val="22"/>
              </w:rPr>
            </w:pPr>
            <w:r w:rsidRPr="006B5CA8">
              <w:rPr>
                <w:rFonts w:ascii="Calibri" w:eastAsia="Times New Roman" w:hAnsi="Calibri" w:cs="Calibri"/>
                <w:color w:val="000000"/>
                <w:sz w:val="22"/>
              </w:rPr>
              <w:t>0.0551</w:t>
            </w:r>
          </w:p>
        </w:tc>
        <w:tc>
          <w:tcPr>
            <w:tcW w:w="976" w:type="dxa"/>
            <w:tcBorders>
              <w:top w:val="nil"/>
              <w:left w:val="nil"/>
              <w:bottom w:val="nil"/>
              <w:right w:val="nil"/>
            </w:tcBorders>
            <w:shd w:val="clear" w:color="auto" w:fill="auto"/>
            <w:noWrap/>
            <w:vAlign w:val="bottom"/>
            <w:hideMark/>
          </w:tcPr>
          <w:p w14:paraId="05F6D9C3" w14:textId="77777777" w:rsidR="002F53B7" w:rsidRPr="00FA6DE8" w:rsidRDefault="002F53B7" w:rsidP="002F53B7">
            <w:pPr>
              <w:spacing w:after="0" w:line="240" w:lineRule="auto"/>
              <w:jc w:val="right"/>
              <w:rPr>
                <w:rFonts w:ascii="Calibri" w:eastAsia="Times New Roman" w:hAnsi="Calibri" w:cs="Calibri"/>
                <w:b/>
                <w:color w:val="000000"/>
                <w:sz w:val="22"/>
              </w:rPr>
            </w:pPr>
            <w:r w:rsidRPr="00FA6DE8">
              <w:rPr>
                <w:rFonts w:ascii="Calibri" w:eastAsia="Times New Roman" w:hAnsi="Calibri" w:cs="Calibri"/>
                <w:b/>
                <w:color w:val="000000"/>
                <w:sz w:val="22"/>
              </w:rPr>
              <w:t>0.0336</w:t>
            </w:r>
          </w:p>
        </w:tc>
      </w:tr>
      <w:tr w:rsidR="002F53B7" w:rsidRPr="006B5CA8" w14:paraId="03C045EA" w14:textId="77777777" w:rsidTr="002F53B7">
        <w:trPr>
          <w:trHeight w:val="290"/>
        </w:trPr>
        <w:tc>
          <w:tcPr>
            <w:tcW w:w="976" w:type="dxa"/>
            <w:tcBorders>
              <w:top w:val="nil"/>
              <w:left w:val="nil"/>
              <w:bottom w:val="nil"/>
              <w:right w:val="nil"/>
            </w:tcBorders>
            <w:shd w:val="clear" w:color="auto" w:fill="auto"/>
            <w:noWrap/>
            <w:vAlign w:val="bottom"/>
            <w:hideMark/>
          </w:tcPr>
          <w:p w14:paraId="081BBE2F" w14:textId="77777777" w:rsidR="002F53B7" w:rsidRPr="006B5CA8"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2B5BD5A3" w14:textId="77777777" w:rsidR="002F53B7" w:rsidRPr="006B5CA8" w:rsidRDefault="002F53B7" w:rsidP="002F53B7">
            <w:pPr>
              <w:spacing w:after="0" w:line="240" w:lineRule="auto"/>
              <w:rPr>
                <w:rFonts w:ascii="Calibri" w:eastAsia="Times New Roman" w:hAnsi="Calibri" w:cs="Calibri"/>
                <w:color w:val="000000"/>
                <w:sz w:val="22"/>
              </w:rPr>
            </w:pPr>
            <w:r w:rsidRPr="006B5CA8">
              <w:rPr>
                <w:rFonts w:ascii="Calibri" w:eastAsia="Times New Roman" w:hAnsi="Calibri" w:cs="Calibri"/>
                <w:color w:val="000000"/>
                <w:sz w:val="22"/>
              </w:rPr>
              <w:t>1942-50</w:t>
            </w:r>
          </w:p>
        </w:tc>
        <w:tc>
          <w:tcPr>
            <w:tcW w:w="976" w:type="dxa"/>
            <w:tcBorders>
              <w:top w:val="nil"/>
              <w:left w:val="nil"/>
              <w:bottom w:val="nil"/>
              <w:right w:val="nil"/>
            </w:tcBorders>
            <w:shd w:val="clear" w:color="auto" w:fill="auto"/>
            <w:noWrap/>
            <w:vAlign w:val="bottom"/>
            <w:hideMark/>
          </w:tcPr>
          <w:p w14:paraId="7D1F8968" w14:textId="77777777" w:rsidR="002F53B7" w:rsidRPr="006B5CA8" w:rsidRDefault="002F53B7" w:rsidP="002F53B7">
            <w:pPr>
              <w:spacing w:after="0" w:line="240" w:lineRule="auto"/>
              <w:jc w:val="right"/>
              <w:rPr>
                <w:rFonts w:ascii="Calibri" w:eastAsia="Times New Roman" w:hAnsi="Calibri" w:cs="Calibri"/>
                <w:color w:val="000000"/>
                <w:sz w:val="22"/>
              </w:rPr>
            </w:pPr>
            <w:r w:rsidRPr="006B5CA8">
              <w:rPr>
                <w:rFonts w:ascii="Calibri" w:eastAsia="Times New Roman" w:hAnsi="Calibri" w:cs="Calibri"/>
                <w:color w:val="000000"/>
                <w:sz w:val="22"/>
              </w:rPr>
              <w:t>0.1062</w:t>
            </w:r>
          </w:p>
        </w:tc>
        <w:tc>
          <w:tcPr>
            <w:tcW w:w="976" w:type="dxa"/>
            <w:tcBorders>
              <w:top w:val="nil"/>
              <w:left w:val="nil"/>
              <w:bottom w:val="nil"/>
              <w:right w:val="nil"/>
            </w:tcBorders>
            <w:shd w:val="clear" w:color="auto" w:fill="auto"/>
            <w:noWrap/>
            <w:vAlign w:val="bottom"/>
            <w:hideMark/>
          </w:tcPr>
          <w:p w14:paraId="3DE747A7" w14:textId="77777777" w:rsidR="002F53B7" w:rsidRPr="006B5CA8"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6CB4A8A8" w14:textId="77777777" w:rsidR="002F53B7" w:rsidRPr="006B5CA8" w:rsidRDefault="002F53B7" w:rsidP="002F53B7">
            <w:pPr>
              <w:spacing w:after="0" w:line="240" w:lineRule="auto"/>
              <w:jc w:val="right"/>
              <w:rPr>
                <w:rFonts w:ascii="Calibri" w:eastAsia="Times New Roman" w:hAnsi="Calibri" w:cs="Calibri"/>
                <w:color w:val="000000"/>
                <w:sz w:val="22"/>
              </w:rPr>
            </w:pPr>
            <w:r w:rsidRPr="006B5CA8">
              <w:rPr>
                <w:rFonts w:ascii="Calibri" w:eastAsia="Times New Roman" w:hAnsi="Calibri" w:cs="Calibri"/>
                <w:color w:val="000000"/>
                <w:sz w:val="22"/>
              </w:rPr>
              <w:t>0.0461</w:t>
            </w:r>
          </w:p>
        </w:tc>
        <w:tc>
          <w:tcPr>
            <w:tcW w:w="976" w:type="dxa"/>
            <w:tcBorders>
              <w:top w:val="nil"/>
              <w:left w:val="nil"/>
              <w:bottom w:val="nil"/>
              <w:right w:val="nil"/>
            </w:tcBorders>
            <w:shd w:val="clear" w:color="auto" w:fill="auto"/>
            <w:noWrap/>
            <w:vAlign w:val="bottom"/>
            <w:hideMark/>
          </w:tcPr>
          <w:p w14:paraId="69B730D0" w14:textId="77777777" w:rsidR="002F53B7" w:rsidRPr="006B5CA8"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33D8781A" w14:textId="77777777" w:rsidR="002F53B7" w:rsidRPr="006B5CA8" w:rsidRDefault="002F53B7" w:rsidP="002F53B7">
            <w:pPr>
              <w:spacing w:after="0" w:line="240" w:lineRule="auto"/>
              <w:jc w:val="right"/>
              <w:rPr>
                <w:rFonts w:ascii="Calibri" w:eastAsia="Times New Roman" w:hAnsi="Calibri" w:cs="Calibri"/>
                <w:color w:val="000000"/>
                <w:sz w:val="22"/>
              </w:rPr>
            </w:pPr>
            <w:r w:rsidRPr="006B5CA8">
              <w:rPr>
                <w:rFonts w:ascii="Calibri" w:eastAsia="Times New Roman" w:hAnsi="Calibri" w:cs="Calibri"/>
                <w:color w:val="000000"/>
                <w:sz w:val="22"/>
              </w:rPr>
              <w:t>0.0967</w:t>
            </w:r>
          </w:p>
        </w:tc>
        <w:tc>
          <w:tcPr>
            <w:tcW w:w="976" w:type="dxa"/>
            <w:tcBorders>
              <w:top w:val="nil"/>
              <w:left w:val="nil"/>
              <w:bottom w:val="nil"/>
              <w:right w:val="nil"/>
            </w:tcBorders>
            <w:shd w:val="clear" w:color="auto" w:fill="auto"/>
            <w:noWrap/>
            <w:vAlign w:val="bottom"/>
            <w:hideMark/>
          </w:tcPr>
          <w:p w14:paraId="12843D70" w14:textId="77777777" w:rsidR="002F53B7" w:rsidRPr="006B5CA8" w:rsidRDefault="002F53B7" w:rsidP="002F53B7">
            <w:pPr>
              <w:spacing w:after="0" w:line="240" w:lineRule="auto"/>
              <w:jc w:val="right"/>
              <w:rPr>
                <w:rFonts w:ascii="Calibri" w:eastAsia="Times New Roman" w:hAnsi="Calibri" w:cs="Calibri"/>
                <w:color w:val="000000"/>
                <w:sz w:val="22"/>
              </w:rPr>
            </w:pPr>
            <w:r w:rsidRPr="006B5CA8">
              <w:rPr>
                <w:rFonts w:ascii="Calibri" w:eastAsia="Times New Roman" w:hAnsi="Calibri" w:cs="Calibri"/>
                <w:color w:val="000000"/>
                <w:sz w:val="22"/>
              </w:rPr>
              <w:t>0.0601</w:t>
            </w:r>
          </w:p>
        </w:tc>
        <w:tc>
          <w:tcPr>
            <w:tcW w:w="976" w:type="dxa"/>
            <w:tcBorders>
              <w:top w:val="nil"/>
              <w:left w:val="nil"/>
              <w:bottom w:val="nil"/>
              <w:right w:val="nil"/>
            </w:tcBorders>
            <w:shd w:val="clear" w:color="auto" w:fill="auto"/>
            <w:noWrap/>
            <w:vAlign w:val="bottom"/>
            <w:hideMark/>
          </w:tcPr>
          <w:p w14:paraId="7635A9CE" w14:textId="77777777" w:rsidR="002F53B7" w:rsidRPr="00FA6DE8" w:rsidRDefault="002F53B7" w:rsidP="002F53B7">
            <w:pPr>
              <w:spacing w:after="0" w:line="240" w:lineRule="auto"/>
              <w:jc w:val="right"/>
              <w:rPr>
                <w:rFonts w:ascii="Calibri" w:eastAsia="Times New Roman" w:hAnsi="Calibri" w:cs="Calibri"/>
                <w:b/>
                <w:color w:val="000000"/>
                <w:sz w:val="22"/>
              </w:rPr>
            </w:pPr>
            <w:r w:rsidRPr="00FA6DE8">
              <w:rPr>
                <w:rFonts w:ascii="Calibri" w:eastAsia="Times New Roman" w:hAnsi="Calibri" w:cs="Calibri"/>
                <w:b/>
                <w:color w:val="000000"/>
                <w:sz w:val="22"/>
              </w:rPr>
              <w:t>0.0449</w:t>
            </w:r>
          </w:p>
        </w:tc>
      </w:tr>
      <w:tr w:rsidR="002F53B7" w:rsidRPr="006B5CA8" w14:paraId="2951146B" w14:textId="77777777" w:rsidTr="002F53B7">
        <w:trPr>
          <w:trHeight w:val="290"/>
        </w:trPr>
        <w:tc>
          <w:tcPr>
            <w:tcW w:w="976" w:type="dxa"/>
            <w:tcBorders>
              <w:top w:val="nil"/>
              <w:left w:val="nil"/>
              <w:bottom w:val="nil"/>
              <w:right w:val="nil"/>
            </w:tcBorders>
            <w:shd w:val="clear" w:color="auto" w:fill="auto"/>
            <w:noWrap/>
            <w:vAlign w:val="bottom"/>
            <w:hideMark/>
          </w:tcPr>
          <w:p w14:paraId="0246E213" w14:textId="77777777" w:rsidR="002F53B7" w:rsidRPr="006B5CA8"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745BB1FD"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CC834DD"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7A10017"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68D4B4B"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58E6D63"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4075371"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8190625"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30D8917" w14:textId="77777777" w:rsidR="002F53B7" w:rsidRPr="006B5CA8" w:rsidRDefault="002F53B7" w:rsidP="002F53B7">
            <w:pPr>
              <w:spacing w:after="0" w:line="240" w:lineRule="auto"/>
              <w:rPr>
                <w:rFonts w:eastAsia="Times New Roman" w:cs="Times New Roman"/>
                <w:sz w:val="20"/>
                <w:szCs w:val="20"/>
              </w:rPr>
            </w:pPr>
          </w:p>
        </w:tc>
      </w:tr>
      <w:tr w:rsidR="002F53B7" w:rsidRPr="006B5CA8" w14:paraId="469D61B5" w14:textId="77777777" w:rsidTr="002F53B7">
        <w:trPr>
          <w:trHeight w:val="290"/>
        </w:trPr>
        <w:tc>
          <w:tcPr>
            <w:tcW w:w="976" w:type="dxa"/>
            <w:tcBorders>
              <w:top w:val="nil"/>
              <w:left w:val="nil"/>
              <w:bottom w:val="nil"/>
              <w:right w:val="nil"/>
            </w:tcBorders>
            <w:shd w:val="clear" w:color="auto" w:fill="auto"/>
            <w:noWrap/>
            <w:vAlign w:val="bottom"/>
            <w:hideMark/>
          </w:tcPr>
          <w:p w14:paraId="26891747"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44EC06D"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0C391A4D"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05B2A377"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135B524"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47306A8"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BD36066"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726358B"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0FE10584" w14:textId="77777777" w:rsidR="002F53B7" w:rsidRPr="006B5CA8" w:rsidRDefault="002F53B7" w:rsidP="002F53B7">
            <w:pPr>
              <w:spacing w:after="0" w:line="240" w:lineRule="auto"/>
              <w:rPr>
                <w:rFonts w:eastAsia="Times New Roman" w:cs="Times New Roman"/>
                <w:sz w:val="20"/>
                <w:szCs w:val="20"/>
              </w:rPr>
            </w:pPr>
          </w:p>
        </w:tc>
      </w:tr>
      <w:tr w:rsidR="002F53B7" w:rsidRPr="006B5CA8" w14:paraId="6A48A355" w14:textId="77777777" w:rsidTr="002F53B7">
        <w:trPr>
          <w:trHeight w:val="290"/>
        </w:trPr>
        <w:tc>
          <w:tcPr>
            <w:tcW w:w="976" w:type="dxa"/>
            <w:tcBorders>
              <w:top w:val="nil"/>
              <w:left w:val="nil"/>
              <w:bottom w:val="nil"/>
              <w:right w:val="nil"/>
            </w:tcBorders>
            <w:shd w:val="clear" w:color="auto" w:fill="auto"/>
            <w:noWrap/>
            <w:vAlign w:val="bottom"/>
            <w:hideMark/>
          </w:tcPr>
          <w:p w14:paraId="1EBA44E8" w14:textId="77777777" w:rsidR="002F53B7" w:rsidRPr="006B5CA8" w:rsidRDefault="002F53B7" w:rsidP="002F53B7">
            <w:pPr>
              <w:spacing w:after="0" w:line="240" w:lineRule="auto"/>
              <w:rPr>
                <w:rFonts w:eastAsia="Times New Roman" w:cs="Times New Roman"/>
                <w:sz w:val="20"/>
                <w:szCs w:val="20"/>
              </w:rPr>
            </w:pPr>
          </w:p>
        </w:tc>
        <w:tc>
          <w:tcPr>
            <w:tcW w:w="7808" w:type="dxa"/>
            <w:gridSpan w:val="8"/>
            <w:tcBorders>
              <w:top w:val="nil"/>
              <w:left w:val="nil"/>
              <w:bottom w:val="nil"/>
              <w:right w:val="nil"/>
            </w:tcBorders>
            <w:shd w:val="clear" w:color="auto" w:fill="auto"/>
            <w:noWrap/>
            <w:vAlign w:val="bottom"/>
            <w:hideMark/>
          </w:tcPr>
          <w:p w14:paraId="6AF23E30" w14:textId="77777777" w:rsidR="002F53B7" w:rsidRPr="006B5CA8" w:rsidRDefault="002F53B7" w:rsidP="002F53B7">
            <w:pPr>
              <w:spacing w:after="0" w:line="240" w:lineRule="auto"/>
              <w:rPr>
                <w:rFonts w:ascii="Calibri" w:eastAsia="Times New Roman" w:hAnsi="Calibri" w:cs="Calibri"/>
                <w:color w:val="000000"/>
                <w:sz w:val="22"/>
              </w:rPr>
            </w:pPr>
            <w:r w:rsidRPr="006B5CA8">
              <w:rPr>
                <w:rFonts w:ascii="Calibri" w:eastAsia="Times New Roman" w:hAnsi="Calibri" w:cs="Calibri"/>
                <w:color w:val="000000"/>
                <w:sz w:val="22"/>
              </w:rPr>
              <w:t>Sources:  Output and Employment from Kendrick, 1961, table G-VIII, p. 553.</w:t>
            </w:r>
          </w:p>
        </w:tc>
      </w:tr>
      <w:tr w:rsidR="002F53B7" w:rsidRPr="006B5CA8" w14:paraId="47740B01" w14:textId="77777777" w:rsidTr="002F53B7">
        <w:trPr>
          <w:trHeight w:val="290"/>
        </w:trPr>
        <w:tc>
          <w:tcPr>
            <w:tcW w:w="976" w:type="dxa"/>
            <w:tcBorders>
              <w:top w:val="nil"/>
              <w:left w:val="nil"/>
              <w:bottom w:val="nil"/>
              <w:right w:val="nil"/>
            </w:tcBorders>
            <w:shd w:val="clear" w:color="auto" w:fill="auto"/>
            <w:noWrap/>
            <w:vAlign w:val="bottom"/>
            <w:hideMark/>
          </w:tcPr>
          <w:p w14:paraId="7FAEE34B" w14:textId="77777777" w:rsidR="002F53B7" w:rsidRPr="006B5CA8" w:rsidRDefault="002F53B7" w:rsidP="002F53B7">
            <w:pPr>
              <w:spacing w:after="0" w:line="240" w:lineRule="auto"/>
              <w:rPr>
                <w:rFonts w:ascii="Calibri" w:eastAsia="Times New Roman" w:hAnsi="Calibri" w:cs="Calibri"/>
                <w:color w:val="000000"/>
                <w:sz w:val="22"/>
              </w:rPr>
            </w:pPr>
          </w:p>
        </w:tc>
        <w:tc>
          <w:tcPr>
            <w:tcW w:w="7808" w:type="dxa"/>
            <w:gridSpan w:val="8"/>
            <w:tcBorders>
              <w:top w:val="nil"/>
              <w:left w:val="nil"/>
              <w:bottom w:val="nil"/>
              <w:right w:val="nil"/>
            </w:tcBorders>
            <w:shd w:val="clear" w:color="auto" w:fill="auto"/>
            <w:noWrap/>
            <w:vAlign w:val="bottom"/>
            <w:hideMark/>
          </w:tcPr>
          <w:p w14:paraId="7352B844" w14:textId="77777777" w:rsidR="002F53B7" w:rsidRPr="006B5CA8" w:rsidRDefault="002F53B7" w:rsidP="002F53B7">
            <w:pPr>
              <w:spacing w:after="0" w:line="240" w:lineRule="auto"/>
              <w:rPr>
                <w:rFonts w:ascii="Calibri" w:eastAsia="Times New Roman" w:hAnsi="Calibri" w:cs="Calibri"/>
                <w:color w:val="000000"/>
                <w:sz w:val="22"/>
              </w:rPr>
            </w:pPr>
            <w:r w:rsidRPr="006B5CA8">
              <w:rPr>
                <w:rFonts w:ascii="Calibri" w:eastAsia="Times New Roman" w:hAnsi="Calibri" w:cs="Calibri"/>
                <w:color w:val="000000"/>
                <w:sz w:val="22"/>
              </w:rPr>
              <w:t xml:space="preserve">                   Capital from BEA FAT 2.2, line 19, trucks, busses, and light trailers.</w:t>
            </w:r>
          </w:p>
        </w:tc>
      </w:tr>
      <w:tr w:rsidR="002F53B7" w:rsidRPr="006B5CA8" w14:paraId="52002A70" w14:textId="77777777" w:rsidTr="002F53B7">
        <w:trPr>
          <w:trHeight w:val="290"/>
        </w:trPr>
        <w:tc>
          <w:tcPr>
            <w:tcW w:w="976" w:type="dxa"/>
            <w:tcBorders>
              <w:top w:val="nil"/>
              <w:left w:val="nil"/>
              <w:bottom w:val="nil"/>
              <w:right w:val="nil"/>
            </w:tcBorders>
            <w:shd w:val="clear" w:color="auto" w:fill="auto"/>
            <w:noWrap/>
            <w:vAlign w:val="bottom"/>
            <w:hideMark/>
          </w:tcPr>
          <w:p w14:paraId="49D6FA68" w14:textId="77777777" w:rsidR="002F53B7" w:rsidRPr="006B5CA8" w:rsidRDefault="002F53B7" w:rsidP="002F53B7">
            <w:pPr>
              <w:spacing w:after="0" w:line="240" w:lineRule="auto"/>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575147D7" w14:textId="77777777" w:rsidR="002F53B7" w:rsidRPr="006B5CA8" w:rsidRDefault="002F53B7" w:rsidP="002F53B7">
            <w:pPr>
              <w:spacing w:after="0" w:line="240" w:lineRule="auto"/>
              <w:rPr>
                <w:rFonts w:eastAsia="Times New Roman" w:cs="Times New Roman"/>
                <w:sz w:val="20"/>
                <w:szCs w:val="20"/>
              </w:rPr>
            </w:pPr>
          </w:p>
        </w:tc>
        <w:tc>
          <w:tcPr>
            <w:tcW w:w="3904" w:type="dxa"/>
            <w:gridSpan w:val="4"/>
            <w:tcBorders>
              <w:top w:val="nil"/>
              <w:left w:val="nil"/>
              <w:bottom w:val="nil"/>
              <w:right w:val="nil"/>
            </w:tcBorders>
            <w:shd w:val="clear" w:color="auto" w:fill="auto"/>
            <w:noWrap/>
            <w:vAlign w:val="bottom"/>
            <w:hideMark/>
          </w:tcPr>
          <w:p w14:paraId="643DD7B3" w14:textId="77777777" w:rsidR="002F53B7" w:rsidRPr="006B5CA8" w:rsidRDefault="002F53B7" w:rsidP="002F53B7">
            <w:pPr>
              <w:spacing w:after="0" w:line="240" w:lineRule="auto"/>
              <w:rPr>
                <w:rFonts w:ascii="Calibri" w:eastAsia="Times New Roman" w:hAnsi="Calibri" w:cs="Calibri"/>
                <w:color w:val="000000"/>
                <w:sz w:val="22"/>
              </w:rPr>
            </w:pPr>
            <w:r w:rsidRPr="006B5CA8">
              <w:rPr>
                <w:rFonts w:ascii="Calibri" w:eastAsia="Times New Roman" w:hAnsi="Calibri" w:cs="Calibri"/>
                <w:color w:val="000000"/>
                <w:sz w:val="22"/>
              </w:rPr>
              <w:t>See also Field 2011, table 2.6, p. 51.</w:t>
            </w:r>
          </w:p>
        </w:tc>
        <w:tc>
          <w:tcPr>
            <w:tcW w:w="976" w:type="dxa"/>
            <w:tcBorders>
              <w:top w:val="nil"/>
              <w:left w:val="nil"/>
              <w:bottom w:val="nil"/>
              <w:right w:val="nil"/>
            </w:tcBorders>
            <w:shd w:val="clear" w:color="auto" w:fill="auto"/>
            <w:noWrap/>
            <w:vAlign w:val="bottom"/>
            <w:hideMark/>
          </w:tcPr>
          <w:p w14:paraId="3388CAA4" w14:textId="77777777" w:rsidR="002F53B7" w:rsidRPr="006B5CA8" w:rsidRDefault="002F53B7" w:rsidP="002F53B7">
            <w:pPr>
              <w:spacing w:after="0" w:line="240" w:lineRule="auto"/>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21D2BC8A"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C97AE22" w14:textId="77777777" w:rsidR="002F53B7" w:rsidRPr="006B5CA8" w:rsidRDefault="002F53B7" w:rsidP="002F53B7">
            <w:pPr>
              <w:spacing w:after="0" w:line="240" w:lineRule="auto"/>
              <w:rPr>
                <w:rFonts w:eastAsia="Times New Roman" w:cs="Times New Roman"/>
                <w:sz w:val="20"/>
                <w:szCs w:val="20"/>
              </w:rPr>
            </w:pPr>
          </w:p>
        </w:tc>
      </w:tr>
      <w:tr w:rsidR="002F53B7" w:rsidRPr="006B5CA8" w14:paraId="11956774" w14:textId="77777777" w:rsidTr="002F53B7">
        <w:trPr>
          <w:trHeight w:val="290"/>
        </w:trPr>
        <w:tc>
          <w:tcPr>
            <w:tcW w:w="976" w:type="dxa"/>
            <w:tcBorders>
              <w:top w:val="nil"/>
              <w:left w:val="nil"/>
              <w:bottom w:val="nil"/>
              <w:right w:val="nil"/>
            </w:tcBorders>
            <w:shd w:val="clear" w:color="auto" w:fill="auto"/>
            <w:noWrap/>
            <w:vAlign w:val="bottom"/>
            <w:hideMark/>
          </w:tcPr>
          <w:p w14:paraId="6B68ED97" w14:textId="77777777" w:rsidR="002F53B7" w:rsidRPr="006B5CA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36FB111" w14:textId="77777777" w:rsidR="002F53B7" w:rsidRPr="006B5CA8" w:rsidRDefault="002F53B7" w:rsidP="002F53B7">
            <w:pPr>
              <w:spacing w:after="0" w:line="240" w:lineRule="auto"/>
              <w:rPr>
                <w:rFonts w:eastAsia="Times New Roman" w:cs="Times New Roman"/>
                <w:sz w:val="20"/>
                <w:szCs w:val="20"/>
              </w:rPr>
            </w:pPr>
          </w:p>
        </w:tc>
        <w:tc>
          <w:tcPr>
            <w:tcW w:w="5856" w:type="dxa"/>
            <w:gridSpan w:val="6"/>
            <w:tcBorders>
              <w:top w:val="nil"/>
              <w:left w:val="nil"/>
              <w:bottom w:val="nil"/>
              <w:right w:val="nil"/>
            </w:tcBorders>
            <w:shd w:val="clear" w:color="auto" w:fill="auto"/>
            <w:noWrap/>
            <w:vAlign w:val="bottom"/>
            <w:hideMark/>
          </w:tcPr>
          <w:p w14:paraId="5EE8B2B7" w14:textId="77777777" w:rsidR="002F53B7" w:rsidRPr="006B5CA8" w:rsidRDefault="002F53B7" w:rsidP="002F53B7">
            <w:pPr>
              <w:spacing w:after="0" w:line="240" w:lineRule="auto"/>
              <w:rPr>
                <w:rFonts w:ascii="Calibri" w:eastAsia="Times New Roman" w:hAnsi="Calibri" w:cs="Calibri"/>
                <w:color w:val="000000"/>
                <w:sz w:val="22"/>
              </w:rPr>
            </w:pPr>
            <w:r w:rsidRPr="006B5CA8">
              <w:rPr>
                <w:rFonts w:ascii="Calibri" w:eastAsia="Times New Roman" w:hAnsi="Calibri" w:cs="Calibri"/>
                <w:color w:val="000000"/>
                <w:sz w:val="22"/>
              </w:rPr>
              <w:t>Note that labor input is employment, not FTEs or hours.</w:t>
            </w:r>
          </w:p>
        </w:tc>
        <w:tc>
          <w:tcPr>
            <w:tcW w:w="976" w:type="dxa"/>
            <w:tcBorders>
              <w:top w:val="nil"/>
              <w:left w:val="nil"/>
              <w:bottom w:val="nil"/>
              <w:right w:val="nil"/>
            </w:tcBorders>
            <w:shd w:val="clear" w:color="auto" w:fill="auto"/>
            <w:noWrap/>
            <w:vAlign w:val="bottom"/>
            <w:hideMark/>
          </w:tcPr>
          <w:p w14:paraId="201CF2A5" w14:textId="77777777" w:rsidR="002F53B7" w:rsidRPr="006B5CA8" w:rsidRDefault="002F53B7" w:rsidP="002F53B7">
            <w:pPr>
              <w:spacing w:after="0" w:line="240" w:lineRule="auto"/>
              <w:rPr>
                <w:rFonts w:ascii="Calibri" w:eastAsia="Times New Roman" w:hAnsi="Calibri" w:cs="Calibri"/>
                <w:color w:val="000000"/>
                <w:sz w:val="22"/>
              </w:rPr>
            </w:pPr>
          </w:p>
        </w:tc>
      </w:tr>
    </w:tbl>
    <w:p w14:paraId="2BAE99DE" w14:textId="77777777" w:rsidR="002F53B7" w:rsidRDefault="002F53B7" w:rsidP="002F53B7"/>
    <w:p w14:paraId="6451B37C" w14:textId="77777777" w:rsidR="002F53B7" w:rsidRDefault="002F53B7" w:rsidP="002F53B7"/>
    <w:p w14:paraId="2D5F9415" w14:textId="77777777" w:rsidR="002F53B7" w:rsidRDefault="002F53B7" w:rsidP="002F53B7">
      <w:r>
        <w:br w:type="page"/>
      </w:r>
    </w:p>
    <w:tbl>
      <w:tblPr>
        <w:tblW w:w="10736" w:type="dxa"/>
        <w:tblLook w:val="04A0" w:firstRow="1" w:lastRow="0" w:firstColumn="1" w:lastColumn="0" w:noHBand="0" w:noVBand="1"/>
      </w:tblPr>
      <w:tblGrid>
        <w:gridCol w:w="976"/>
        <w:gridCol w:w="976"/>
        <w:gridCol w:w="976"/>
        <w:gridCol w:w="976"/>
        <w:gridCol w:w="976"/>
        <w:gridCol w:w="976"/>
        <w:gridCol w:w="976"/>
        <w:gridCol w:w="976"/>
        <w:gridCol w:w="976"/>
        <w:gridCol w:w="976"/>
        <w:gridCol w:w="976"/>
      </w:tblGrid>
      <w:tr w:rsidR="002F53B7" w:rsidRPr="00AF32A1" w14:paraId="0BBD71FC" w14:textId="77777777" w:rsidTr="002F53B7">
        <w:trPr>
          <w:trHeight w:val="290"/>
        </w:trPr>
        <w:tc>
          <w:tcPr>
            <w:tcW w:w="976" w:type="dxa"/>
            <w:tcBorders>
              <w:top w:val="nil"/>
              <w:left w:val="nil"/>
              <w:bottom w:val="nil"/>
              <w:right w:val="nil"/>
            </w:tcBorders>
            <w:shd w:val="clear" w:color="auto" w:fill="auto"/>
            <w:noWrap/>
            <w:vAlign w:val="bottom"/>
            <w:hideMark/>
          </w:tcPr>
          <w:p w14:paraId="46C0C305" w14:textId="77777777" w:rsidR="002F53B7" w:rsidRPr="00AF32A1" w:rsidRDefault="002F53B7" w:rsidP="002F53B7">
            <w:pPr>
              <w:spacing w:after="0" w:line="240" w:lineRule="auto"/>
              <w:rPr>
                <w:rFonts w:eastAsia="Times New Roman" w:cs="Times New Roman"/>
                <w:sz w:val="20"/>
                <w:szCs w:val="24"/>
              </w:rPr>
            </w:pPr>
          </w:p>
        </w:tc>
        <w:tc>
          <w:tcPr>
            <w:tcW w:w="976" w:type="dxa"/>
            <w:tcBorders>
              <w:top w:val="nil"/>
              <w:left w:val="nil"/>
              <w:bottom w:val="nil"/>
              <w:right w:val="nil"/>
            </w:tcBorders>
            <w:shd w:val="clear" w:color="auto" w:fill="auto"/>
            <w:noWrap/>
            <w:vAlign w:val="bottom"/>
            <w:hideMark/>
          </w:tcPr>
          <w:p w14:paraId="6C06650A"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C5F22C0"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8C4EBCD"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596FF53"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CCDE3B2" w14:textId="77777777" w:rsidR="002F53B7" w:rsidRPr="00AF32A1" w:rsidRDefault="002F53B7" w:rsidP="002F53B7">
            <w:pPr>
              <w:spacing w:after="0" w:line="240" w:lineRule="auto"/>
              <w:rPr>
                <w:rFonts w:ascii="Calibri" w:eastAsia="Times New Roman" w:hAnsi="Calibri" w:cs="Calibri"/>
                <w:color w:val="000000"/>
                <w:sz w:val="22"/>
              </w:rPr>
            </w:pPr>
            <w:r w:rsidRPr="00AF32A1">
              <w:rPr>
                <w:rFonts w:ascii="Calibri" w:eastAsia="Times New Roman" w:hAnsi="Calibri" w:cs="Calibri"/>
                <w:color w:val="000000"/>
                <w:sz w:val="22"/>
              </w:rPr>
              <w:t xml:space="preserve">Table </w:t>
            </w:r>
            <w:r>
              <w:rPr>
                <w:rFonts w:ascii="Calibri" w:eastAsia="Times New Roman" w:hAnsi="Calibri" w:cs="Calibri"/>
                <w:color w:val="000000"/>
                <w:sz w:val="22"/>
              </w:rPr>
              <w:t>5</w:t>
            </w:r>
          </w:p>
        </w:tc>
        <w:tc>
          <w:tcPr>
            <w:tcW w:w="976" w:type="dxa"/>
            <w:tcBorders>
              <w:top w:val="nil"/>
              <w:left w:val="nil"/>
              <w:bottom w:val="nil"/>
              <w:right w:val="nil"/>
            </w:tcBorders>
            <w:shd w:val="clear" w:color="auto" w:fill="auto"/>
            <w:noWrap/>
            <w:vAlign w:val="bottom"/>
            <w:hideMark/>
          </w:tcPr>
          <w:p w14:paraId="01A52DFC" w14:textId="77777777" w:rsidR="002F53B7" w:rsidRPr="00AF32A1" w:rsidRDefault="002F53B7" w:rsidP="002F53B7">
            <w:pPr>
              <w:spacing w:after="0" w:line="240" w:lineRule="auto"/>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38E1DC03"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BC23329"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431898D"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B76E860" w14:textId="77777777" w:rsidR="002F53B7" w:rsidRPr="00AF32A1" w:rsidRDefault="002F53B7" w:rsidP="002F53B7">
            <w:pPr>
              <w:spacing w:after="0" w:line="240" w:lineRule="auto"/>
              <w:rPr>
                <w:rFonts w:eastAsia="Times New Roman" w:cs="Times New Roman"/>
                <w:sz w:val="20"/>
                <w:szCs w:val="20"/>
              </w:rPr>
            </w:pPr>
          </w:p>
        </w:tc>
      </w:tr>
      <w:tr w:rsidR="002F53B7" w:rsidRPr="00AF32A1" w14:paraId="02827CF8" w14:textId="77777777" w:rsidTr="002F53B7">
        <w:trPr>
          <w:trHeight w:val="290"/>
        </w:trPr>
        <w:tc>
          <w:tcPr>
            <w:tcW w:w="976" w:type="dxa"/>
            <w:tcBorders>
              <w:top w:val="nil"/>
              <w:left w:val="nil"/>
              <w:bottom w:val="nil"/>
              <w:right w:val="nil"/>
            </w:tcBorders>
            <w:shd w:val="clear" w:color="auto" w:fill="auto"/>
            <w:noWrap/>
            <w:vAlign w:val="bottom"/>
            <w:hideMark/>
          </w:tcPr>
          <w:p w14:paraId="7DCA927B"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F6272E4"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EDE788E" w14:textId="77777777" w:rsidR="002F53B7" w:rsidRPr="00AF32A1" w:rsidRDefault="002F53B7" w:rsidP="002F53B7">
            <w:pPr>
              <w:spacing w:after="0" w:line="240" w:lineRule="auto"/>
              <w:rPr>
                <w:rFonts w:eastAsia="Times New Roman" w:cs="Times New Roman"/>
                <w:sz w:val="20"/>
                <w:szCs w:val="20"/>
              </w:rPr>
            </w:pPr>
          </w:p>
        </w:tc>
        <w:tc>
          <w:tcPr>
            <w:tcW w:w="4880" w:type="dxa"/>
            <w:gridSpan w:val="5"/>
            <w:tcBorders>
              <w:top w:val="nil"/>
              <w:left w:val="nil"/>
              <w:bottom w:val="nil"/>
              <w:right w:val="nil"/>
            </w:tcBorders>
            <w:shd w:val="clear" w:color="auto" w:fill="auto"/>
            <w:noWrap/>
            <w:vAlign w:val="bottom"/>
            <w:hideMark/>
          </w:tcPr>
          <w:p w14:paraId="17C3D6BA" w14:textId="77777777" w:rsidR="002F53B7" w:rsidRPr="00AF32A1" w:rsidRDefault="002F53B7" w:rsidP="002F53B7">
            <w:pPr>
              <w:spacing w:after="0" w:line="240" w:lineRule="auto"/>
              <w:rPr>
                <w:rFonts w:ascii="Calibri" w:eastAsia="Times New Roman" w:hAnsi="Calibri" w:cs="Calibri"/>
                <w:color w:val="000000"/>
                <w:sz w:val="22"/>
              </w:rPr>
            </w:pPr>
            <w:r w:rsidRPr="00AF32A1">
              <w:rPr>
                <w:rFonts w:ascii="Calibri" w:eastAsia="Times New Roman" w:hAnsi="Calibri" w:cs="Calibri"/>
                <w:color w:val="000000"/>
                <w:sz w:val="22"/>
              </w:rPr>
              <w:t>Productivity Growth in Electric and Gas Utilities</w:t>
            </w:r>
          </w:p>
        </w:tc>
        <w:tc>
          <w:tcPr>
            <w:tcW w:w="976" w:type="dxa"/>
            <w:tcBorders>
              <w:top w:val="nil"/>
              <w:left w:val="nil"/>
              <w:bottom w:val="nil"/>
              <w:right w:val="nil"/>
            </w:tcBorders>
            <w:shd w:val="clear" w:color="auto" w:fill="auto"/>
            <w:noWrap/>
            <w:vAlign w:val="bottom"/>
            <w:hideMark/>
          </w:tcPr>
          <w:p w14:paraId="4F1149B4" w14:textId="77777777" w:rsidR="002F53B7" w:rsidRPr="00AF32A1" w:rsidRDefault="002F53B7" w:rsidP="002F53B7">
            <w:pPr>
              <w:spacing w:after="0" w:line="240" w:lineRule="auto"/>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654557B4"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0428203" w14:textId="77777777" w:rsidR="002F53B7" w:rsidRPr="00AF32A1" w:rsidRDefault="002F53B7" w:rsidP="002F53B7">
            <w:pPr>
              <w:spacing w:after="0" w:line="240" w:lineRule="auto"/>
              <w:rPr>
                <w:rFonts w:eastAsia="Times New Roman" w:cs="Times New Roman"/>
                <w:sz w:val="20"/>
                <w:szCs w:val="20"/>
              </w:rPr>
            </w:pPr>
          </w:p>
        </w:tc>
      </w:tr>
      <w:tr w:rsidR="002F53B7" w:rsidRPr="00AF32A1" w14:paraId="7901A71E" w14:textId="77777777" w:rsidTr="002F53B7">
        <w:trPr>
          <w:trHeight w:val="290"/>
        </w:trPr>
        <w:tc>
          <w:tcPr>
            <w:tcW w:w="976" w:type="dxa"/>
            <w:tcBorders>
              <w:top w:val="nil"/>
              <w:left w:val="nil"/>
              <w:bottom w:val="nil"/>
              <w:right w:val="nil"/>
            </w:tcBorders>
            <w:shd w:val="clear" w:color="auto" w:fill="auto"/>
            <w:noWrap/>
            <w:vAlign w:val="bottom"/>
            <w:hideMark/>
          </w:tcPr>
          <w:p w14:paraId="6300DB55"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2EB3049"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03A83A4A"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7D0CD39"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05DE138"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C95EF32"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F062070"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09174946"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D62BB13"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FAFAE08"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01B4327D" w14:textId="77777777" w:rsidR="002F53B7" w:rsidRPr="00AF32A1" w:rsidRDefault="002F53B7" w:rsidP="002F53B7">
            <w:pPr>
              <w:spacing w:after="0" w:line="240" w:lineRule="auto"/>
              <w:rPr>
                <w:rFonts w:eastAsia="Times New Roman" w:cs="Times New Roman"/>
                <w:sz w:val="20"/>
                <w:szCs w:val="20"/>
              </w:rPr>
            </w:pPr>
          </w:p>
        </w:tc>
      </w:tr>
      <w:tr w:rsidR="002F53B7" w:rsidRPr="00AF32A1" w14:paraId="3470D548" w14:textId="77777777" w:rsidTr="002F53B7">
        <w:trPr>
          <w:trHeight w:val="290"/>
        </w:trPr>
        <w:tc>
          <w:tcPr>
            <w:tcW w:w="976" w:type="dxa"/>
            <w:tcBorders>
              <w:top w:val="nil"/>
              <w:left w:val="nil"/>
              <w:bottom w:val="nil"/>
              <w:right w:val="nil"/>
            </w:tcBorders>
            <w:shd w:val="clear" w:color="auto" w:fill="auto"/>
            <w:noWrap/>
            <w:vAlign w:val="bottom"/>
            <w:hideMark/>
          </w:tcPr>
          <w:p w14:paraId="4F753591"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E94DC68"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0FD86EBB" w14:textId="77777777" w:rsidR="002F53B7" w:rsidRPr="00AF32A1" w:rsidRDefault="002F53B7" w:rsidP="002F53B7">
            <w:pPr>
              <w:spacing w:after="0" w:line="240" w:lineRule="auto"/>
              <w:rPr>
                <w:rFonts w:ascii="Calibri" w:eastAsia="Times New Roman" w:hAnsi="Calibri" w:cs="Calibri"/>
                <w:color w:val="000000"/>
                <w:sz w:val="22"/>
              </w:rPr>
            </w:pPr>
            <w:r w:rsidRPr="00AF32A1">
              <w:rPr>
                <w:rFonts w:ascii="Calibri" w:eastAsia="Times New Roman" w:hAnsi="Calibri" w:cs="Calibri"/>
                <w:color w:val="000000"/>
                <w:sz w:val="22"/>
              </w:rPr>
              <w:t>Electric</w:t>
            </w:r>
          </w:p>
        </w:tc>
        <w:tc>
          <w:tcPr>
            <w:tcW w:w="976" w:type="dxa"/>
            <w:tcBorders>
              <w:top w:val="nil"/>
              <w:left w:val="nil"/>
              <w:bottom w:val="nil"/>
              <w:right w:val="nil"/>
            </w:tcBorders>
            <w:shd w:val="clear" w:color="auto" w:fill="auto"/>
            <w:noWrap/>
            <w:vAlign w:val="bottom"/>
            <w:hideMark/>
          </w:tcPr>
          <w:p w14:paraId="7D1CB374" w14:textId="77777777" w:rsidR="002F53B7" w:rsidRPr="00AF32A1" w:rsidRDefault="002F53B7" w:rsidP="002F53B7">
            <w:pPr>
              <w:spacing w:after="0" w:line="240" w:lineRule="auto"/>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511D59D5"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E0C2169"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26A9B99"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EE0307F"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9B151E6"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29FD59F"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8D31245" w14:textId="77777777" w:rsidR="002F53B7" w:rsidRPr="00AF32A1" w:rsidRDefault="002F53B7" w:rsidP="002F53B7">
            <w:pPr>
              <w:spacing w:after="0" w:line="240" w:lineRule="auto"/>
              <w:rPr>
                <w:rFonts w:eastAsia="Times New Roman" w:cs="Times New Roman"/>
                <w:sz w:val="20"/>
                <w:szCs w:val="20"/>
              </w:rPr>
            </w:pPr>
          </w:p>
        </w:tc>
      </w:tr>
      <w:tr w:rsidR="002F53B7" w:rsidRPr="00AF32A1" w14:paraId="78DADFA6" w14:textId="77777777" w:rsidTr="002F53B7">
        <w:trPr>
          <w:trHeight w:val="290"/>
        </w:trPr>
        <w:tc>
          <w:tcPr>
            <w:tcW w:w="976" w:type="dxa"/>
            <w:tcBorders>
              <w:top w:val="nil"/>
              <w:left w:val="nil"/>
              <w:bottom w:val="nil"/>
              <w:right w:val="nil"/>
            </w:tcBorders>
            <w:shd w:val="clear" w:color="auto" w:fill="auto"/>
            <w:noWrap/>
            <w:vAlign w:val="bottom"/>
            <w:hideMark/>
          </w:tcPr>
          <w:p w14:paraId="67B2FA6E"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83E2E8B"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48C6981"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9B85FFD"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1475CDB"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9C1FF6C"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2709F1C"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594DCF2"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AED1FB4"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5E63CE5"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0CBAE474" w14:textId="77777777" w:rsidR="002F53B7" w:rsidRPr="00AF32A1" w:rsidRDefault="002F53B7" w:rsidP="002F53B7">
            <w:pPr>
              <w:spacing w:after="0" w:line="240" w:lineRule="auto"/>
              <w:rPr>
                <w:rFonts w:eastAsia="Times New Roman" w:cs="Times New Roman"/>
                <w:sz w:val="20"/>
                <w:szCs w:val="20"/>
              </w:rPr>
            </w:pPr>
          </w:p>
        </w:tc>
      </w:tr>
      <w:tr w:rsidR="002F53B7" w:rsidRPr="00AF32A1" w14:paraId="7DBE190F" w14:textId="77777777" w:rsidTr="002F53B7">
        <w:trPr>
          <w:trHeight w:val="290"/>
        </w:trPr>
        <w:tc>
          <w:tcPr>
            <w:tcW w:w="976" w:type="dxa"/>
            <w:tcBorders>
              <w:top w:val="nil"/>
              <w:left w:val="nil"/>
              <w:bottom w:val="nil"/>
              <w:right w:val="nil"/>
            </w:tcBorders>
            <w:shd w:val="clear" w:color="auto" w:fill="auto"/>
            <w:noWrap/>
            <w:vAlign w:val="bottom"/>
            <w:hideMark/>
          </w:tcPr>
          <w:p w14:paraId="7FC2D544"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07C9C8B" w14:textId="77777777" w:rsidR="002F53B7" w:rsidRPr="00AF32A1" w:rsidRDefault="002F53B7" w:rsidP="002F53B7">
            <w:pPr>
              <w:spacing w:after="0" w:line="240" w:lineRule="auto"/>
              <w:jc w:val="center"/>
              <w:rPr>
                <w:rFonts w:ascii="Calibri" w:eastAsia="Times New Roman" w:hAnsi="Calibri" w:cs="Calibri"/>
                <w:color w:val="000000"/>
                <w:sz w:val="22"/>
              </w:rPr>
            </w:pPr>
            <w:r w:rsidRPr="00AF32A1">
              <w:rPr>
                <w:rFonts w:ascii="Calibri" w:eastAsia="Times New Roman" w:hAnsi="Calibri" w:cs="Calibri"/>
                <w:color w:val="000000"/>
                <w:sz w:val="22"/>
              </w:rPr>
              <w:t>Output</w:t>
            </w:r>
          </w:p>
        </w:tc>
        <w:tc>
          <w:tcPr>
            <w:tcW w:w="976" w:type="dxa"/>
            <w:tcBorders>
              <w:top w:val="nil"/>
              <w:left w:val="nil"/>
              <w:bottom w:val="nil"/>
              <w:right w:val="nil"/>
            </w:tcBorders>
            <w:shd w:val="clear" w:color="auto" w:fill="auto"/>
            <w:noWrap/>
            <w:vAlign w:val="bottom"/>
            <w:hideMark/>
          </w:tcPr>
          <w:p w14:paraId="778E70A9" w14:textId="77777777" w:rsidR="002F53B7" w:rsidRPr="00AF32A1" w:rsidRDefault="002F53B7" w:rsidP="002F53B7">
            <w:pPr>
              <w:spacing w:after="0" w:line="240" w:lineRule="auto"/>
              <w:jc w:val="center"/>
              <w:rPr>
                <w:rFonts w:ascii="Calibri" w:eastAsia="Times New Roman" w:hAnsi="Calibri" w:cs="Calibri"/>
                <w:color w:val="000000"/>
                <w:sz w:val="22"/>
              </w:rPr>
            </w:pPr>
            <w:r w:rsidRPr="00AF32A1">
              <w:rPr>
                <w:rFonts w:ascii="Calibri" w:eastAsia="Times New Roman" w:hAnsi="Calibri" w:cs="Calibri"/>
                <w:color w:val="000000"/>
                <w:sz w:val="22"/>
              </w:rPr>
              <w:t>Hours</w:t>
            </w:r>
          </w:p>
        </w:tc>
        <w:tc>
          <w:tcPr>
            <w:tcW w:w="976" w:type="dxa"/>
            <w:tcBorders>
              <w:top w:val="nil"/>
              <w:left w:val="nil"/>
              <w:bottom w:val="nil"/>
              <w:right w:val="nil"/>
            </w:tcBorders>
            <w:shd w:val="clear" w:color="auto" w:fill="auto"/>
            <w:noWrap/>
            <w:vAlign w:val="bottom"/>
            <w:hideMark/>
          </w:tcPr>
          <w:p w14:paraId="2E850074" w14:textId="77777777" w:rsidR="002F53B7" w:rsidRPr="00AF32A1" w:rsidRDefault="002F53B7" w:rsidP="002F53B7">
            <w:pPr>
              <w:spacing w:after="0" w:line="240" w:lineRule="auto"/>
              <w:jc w:val="center"/>
              <w:rPr>
                <w:rFonts w:ascii="Calibri" w:eastAsia="Times New Roman" w:hAnsi="Calibri" w:cs="Calibri"/>
                <w:color w:val="000000"/>
                <w:sz w:val="22"/>
              </w:rPr>
            </w:pPr>
            <w:r w:rsidRPr="00AF32A1">
              <w:rPr>
                <w:rFonts w:ascii="Calibri" w:eastAsia="Times New Roman" w:hAnsi="Calibri" w:cs="Calibri"/>
                <w:color w:val="000000"/>
                <w:sz w:val="22"/>
              </w:rPr>
              <w:t>Capital</w:t>
            </w:r>
          </w:p>
        </w:tc>
        <w:tc>
          <w:tcPr>
            <w:tcW w:w="976" w:type="dxa"/>
            <w:tcBorders>
              <w:top w:val="nil"/>
              <w:left w:val="nil"/>
              <w:bottom w:val="nil"/>
              <w:right w:val="nil"/>
            </w:tcBorders>
            <w:shd w:val="clear" w:color="auto" w:fill="auto"/>
            <w:noWrap/>
            <w:vAlign w:val="bottom"/>
            <w:hideMark/>
          </w:tcPr>
          <w:p w14:paraId="3F6F1BC3" w14:textId="77777777" w:rsidR="002F53B7" w:rsidRPr="00AF32A1" w:rsidRDefault="002F53B7" w:rsidP="002F53B7">
            <w:pPr>
              <w:spacing w:after="0" w:line="240" w:lineRule="auto"/>
              <w:jc w:val="center"/>
              <w:rPr>
                <w:rFonts w:ascii="Calibri" w:eastAsia="Times New Roman" w:hAnsi="Calibri" w:cs="Calibri"/>
                <w:color w:val="000000"/>
                <w:sz w:val="22"/>
              </w:rPr>
            </w:pPr>
            <w:r w:rsidRPr="00AF32A1">
              <w:rPr>
                <w:rFonts w:ascii="Calibri" w:eastAsia="Times New Roman" w:hAnsi="Calibri" w:cs="Calibri"/>
                <w:color w:val="000000"/>
                <w:sz w:val="22"/>
              </w:rPr>
              <w:t>LP</w:t>
            </w:r>
          </w:p>
        </w:tc>
        <w:tc>
          <w:tcPr>
            <w:tcW w:w="976" w:type="dxa"/>
            <w:tcBorders>
              <w:top w:val="nil"/>
              <w:left w:val="nil"/>
              <w:bottom w:val="nil"/>
              <w:right w:val="nil"/>
            </w:tcBorders>
            <w:shd w:val="clear" w:color="auto" w:fill="auto"/>
            <w:noWrap/>
            <w:vAlign w:val="bottom"/>
            <w:hideMark/>
          </w:tcPr>
          <w:p w14:paraId="2488D578" w14:textId="77777777" w:rsidR="002F53B7" w:rsidRPr="00AF32A1" w:rsidRDefault="002F53B7" w:rsidP="002F53B7">
            <w:pPr>
              <w:spacing w:after="0" w:line="240" w:lineRule="auto"/>
              <w:jc w:val="center"/>
              <w:rPr>
                <w:rFonts w:ascii="Calibri" w:eastAsia="Times New Roman" w:hAnsi="Calibri" w:cs="Calibri"/>
                <w:color w:val="000000"/>
                <w:sz w:val="22"/>
              </w:rPr>
            </w:pPr>
            <w:r w:rsidRPr="00AF32A1">
              <w:rPr>
                <w:rFonts w:ascii="Calibri" w:eastAsia="Times New Roman" w:hAnsi="Calibri" w:cs="Calibri"/>
                <w:color w:val="000000"/>
                <w:sz w:val="22"/>
              </w:rPr>
              <w:t>TFP</w:t>
            </w:r>
          </w:p>
        </w:tc>
        <w:tc>
          <w:tcPr>
            <w:tcW w:w="976" w:type="dxa"/>
            <w:tcBorders>
              <w:top w:val="nil"/>
              <w:left w:val="nil"/>
              <w:bottom w:val="nil"/>
              <w:right w:val="nil"/>
            </w:tcBorders>
            <w:shd w:val="clear" w:color="auto" w:fill="auto"/>
            <w:noWrap/>
            <w:vAlign w:val="bottom"/>
            <w:hideMark/>
          </w:tcPr>
          <w:p w14:paraId="307216F7" w14:textId="77777777" w:rsidR="002F53B7" w:rsidRPr="00AF32A1" w:rsidRDefault="002F53B7" w:rsidP="002F53B7">
            <w:pPr>
              <w:spacing w:after="0" w:line="240" w:lineRule="auto"/>
              <w:jc w:val="center"/>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23E7C851"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0DFC82F3"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B386E9C"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EF81158" w14:textId="77777777" w:rsidR="002F53B7" w:rsidRPr="00AF32A1" w:rsidRDefault="002F53B7" w:rsidP="002F53B7">
            <w:pPr>
              <w:spacing w:after="0" w:line="240" w:lineRule="auto"/>
              <w:rPr>
                <w:rFonts w:eastAsia="Times New Roman" w:cs="Times New Roman"/>
                <w:sz w:val="20"/>
                <w:szCs w:val="20"/>
              </w:rPr>
            </w:pPr>
          </w:p>
        </w:tc>
      </w:tr>
      <w:tr w:rsidR="002F53B7" w:rsidRPr="00AF32A1" w14:paraId="25F20E6F" w14:textId="77777777" w:rsidTr="002F53B7">
        <w:trPr>
          <w:trHeight w:val="290"/>
        </w:trPr>
        <w:tc>
          <w:tcPr>
            <w:tcW w:w="976" w:type="dxa"/>
            <w:tcBorders>
              <w:top w:val="nil"/>
              <w:left w:val="nil"/>
              <w:bottom w:val="nil"/>
              <w:right w:val="nil"/>
            </w:tcBorders>
            <w:shd w:val="clear" w:color="auto" w:fill="auto"/>
            <w:noWrap/>
            <w:vAlign w:val="bottom"/>
            <w:hideMark/>
          </w:tcPr>
          <w:p w14:paraId="00D44838" w14:textId="77777777" w:rsidR="002F53B7" w:rsidRPr="00AF32A1" w:rsidRDefault="002F53B7" w:rsidP="002F53B7">
            <w:pPr>
              <w:spacing w:after="0" w:line="240" w:lineRule="auto"/>
              <w:rPr>
                <w:rFonts w:ascii="Calibri" w:eastAsia="Times New Roman" w:hAnsi="Calibri" w:cs="Calibri"/>
                <w:color w:val="000000"/>
                <w:sz w:val="22"/>
              </w:rPr>
            </w:pPr>
            <w:r w:rsidRPr="00AF32A1">
              <w:rPr>
                <w:rFonts w:ascii="Calibri" w:eastAsia="Times New Roman" w:hAnsi="Calibri" w:cs="Calibri"/>
                <w:color w:val="000000"/>
                <w:sz w:val="22"/>
              </w:rPr>
              <w:t>Levels</w:t>
            </w:r>
          </w:p>
        </w:tc>
        <w:tc>
          <w:tcPr>
            <w:tcW w:w="976" w:type="dxa"/>
            <w:tcBorders>
              <w:top w:val="nil"/>
              <w:left w:val="nil"/>
              <w:bottom w:val="nil"/>
              <w:right w:val="nil"/>
            </w:tcBorders>
            <w:shd w:val="clear" w:color="auto" w:fill="auto"/>
            <w:noWrap/>
            <w:vAlign w:val="bottom"/>
            <w:hideMark/>
          </w:tcPr>
          <w:p w14:paraId="6AE331E1" w14:textId="77777777" w:rsidR="002F53B7" w:rsidRPr="00AF32A1" w:rsidRDefault="002F53B7" w:rsidP="002F53B7">
            <w:pPr>
              <w:spacing w:after="0" w:line="240" w:lineRule="auto"/>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28FD8505"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0E4CEA2"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04D7F113"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B481FAB"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8F3E50C"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FA6D600"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E6C9345"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65A8CAB"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AD3445A" w14:textId="77777777" w:rsidR="002F53B7" w:rsidRPr="00AF32A1" w:rsidRDefault="002F53B7" w:rsidP="002F53B7">
            <w:pPr>
              <w:spacing w:after="0" w:line="240" w:lineRule="auto"/>
              <w:rPr>
                <w:rFonts w:eastAsia="Times New Roman" w:cs="Times New Roman"/>
                <w:sz w:val="20"/>
                <w:szCs w:val="20"/>
              </w:rPr>
            </w:pPr>
          </w:p>
        </w:tc>
      </w:tr>
      <w:tr w:rsidR="002F53B7" w:rsidRPr="00AF32A1" w14:paraId="580608A8" w14:textId="77777777" w:rsidTr="002F53B7">
        <w:trPr>
          <w:trHeight w:val="290"/>
        </w:trPr>
        <w:tc>
          <w:tcPr>
            <w:tcW w:w="976" w:type="dxa"/>
            <w:tcBorders>
              <w:top w:val="nil"/>
              <w:left w:val="nil"/>
              <w:bottom w:val="nil"/>
              <w:right w:val="nil"/>
            </w:tcBorders>
            <w:shd w:val="clear" w:color="auto" w:fill="auto"/>
            <w:noWrap/>
            <w:vAlign w:val="bottom"/>
            <w:hideMark/>
          </w:tcPr>
          <w:p w14:paraId="522074B7" w14:textId="77777777" w:rsidR="002F53B7" w:rsidRPr="00AF32A1" w:rsidRDefault="002F53B7" w:rsidP="002F53B7">
            <w:pPr>
              <w:spacing w:after="0" w:line="240" w:lineRule="auto"/>
              <w:jc w:val="right"/>
              <w:rPr>
                <w:rFonts w:ascii="Calibri" w:eastAsia="Times New Roman" w:hAnsi="Calibri" w:cs="Calibri"/>
                <w:color w:val="000000"/>
                <w:sz w:val="22"/>
              </w:rPr>
            </w:pPr>
            <w:r w:rsidRPr="00AF32A1">
              <w:rPr>
                <w:rFonts w:ascii="Calibri" w:eastAsia="Times New Roman" w:hAnsi="Calibri" w:cs="Calibri"/>
                <w:color w:val="000000"/>
                <w:sz w:val="22"/>
              </w:rPr>
              <w:t>1929</w:t>
            </w:r>
          </w:p>
        </w:tc>
        <w:tc>
          <w:tcPr>
            <w:tcW w:w="976" w:type="dxa"/>
            <w:tcBorders>
              <w:top w:val="nil"/>
              <w:left w:val="nil"/>
              <w:bottom w:val="nil"/>
              <w:right w:val="nil"/>
            </w:tcBorders>
            <w:shd w:val="clear" w:color="auto" w:fill="auto"/>
            <w:noWrap/>
            <w:vAlign w:val="bottom"/>
            <w:hideMark/>
          </w:tcPr>
          <w:p w14:paraId="422A79C1" w14:textId="77777777" w:rsidR="002F53B7" w:rsidRPr="00AF32A1" w:rsidRDefault="002F53B7" w:rsidP="002F53B7">
            <w:pPr>
              <w:spacing w:after="0" w:line="240" w:lineRule="auto"/>
              <w:jc w:val="right"/>
              <w:rPr>
                <w:rFonts w:ascii="Calibri" w:eastAsia="Times New Roman" w:hAnsi="Calibri" w:cs="Calibri"/>
                <w:color w:val="000000"/>
                <w:sz w:val="22"/>
              </w:rPr>
            </w:pPr>
            <w:r w:rsidRPr="00AF32A1">
              <w:rPr>
                <w:rFonts w:ascii="Calibri" w:eastAsia="Times New Roman" w:hAnsi="Calibri" w:cs="Calibri"/>
                <w:color w:val="000000"/>
                <w:sz w:val="22"/>
              </w:rPr>
              <w:t>100</w:t>
            </w:r>
          </w:p>
        </w:tc>
        <w:tc>
          <w:tcPr>
            <w:tcW w:w="976" w:type="dxa"/>
            <w:tcBorders>
              <w:top w:val="nil"/>
              <w:left w:val="nil"/>
              <w:bottom w:val="nil"/>
              <w:right w:val="nil"/>
            </w:tcBorders>
            <w:shd w:val="clear" w:color="auto" w:fill="auto"/>
            <w:noWrap/>
            <w:vAlign w:val="bottom"/>
            <w:hideMark/>
          </w:tcPr>
          <w:p w14:paraId="728DC2D1" w14:textId="77777777" w:rsidR="002F53B7" w:rsidRPr="00AF32A1" w:rsidRDefault="002F53B7" w:rsidP="002F53B7">
            <w:pPr>
              <w:spacing w:after="0" w:line="240" w:lineRule="auto"/>
              <w:jc w:val="right"/>
              <w:rPr>
                <w:rFonts w:ascii="Calibri" w:eastAsia="Times New Roman" w:hAnsi="Calibri" w:cs="Calibri"/>
                <w:color w:val="000000"/>
                <w:sz w:val="22"/>
              </w:rPr>
            </w:pPr>
            <w:r w:rsidRPr="00AF32A1">
              <w:rPr>
                <w:rFonts w:ascii="Calibri" w:eastAsia="Times New Roman" w:hAnsi="Calibri" w:cs="Calibri"/>
                <w:color w:val="000000"/>
                <w:sz w:val="22"/>
              </w:rPr>
              <w:t>100</w:t>
            </w:r>
          </w:p>
        </w:tc>
        <w:tc>
          <w:tcPr>
            <w:tcW w:w="976" w:type="dxa"/>
            <w:tcBorders>
              <w:top w:val="nil"/>
              <w:left w:val="nil"/>
              <w:bottom w:val="nil"/>
              <w:right w:val="nil"/>
            </w:tcBorders>
            <w:shd w:val="clear" w:color="auto" w:fill="auto"/>
            <w:noWrap/>
            <w:vAlign w:val="bottom"/>
            <w:hideMark/>
          </w:tcPr>
          <w:p w14:paraId="4377C6BC" w14:textId="77777777" w:rsidR="002F53B7" w:rsidRPr="00AF32A1" w:rsidRDefault="002F53B7" w:rsidP="002F53B7">
            <w:pPr>
              <w:spacing w:after="0" w:line="240" w:lineRule="auto"/>
              <w:jc w:val="right"/>
              <w:rPr>
                <w:rFonts w:ascii="Calibri" w:eastAsia="Times New Roman" w:hAnsi="Calibri" w:cs="Calibri"/>
                <w:color w:val="000000"/>
                <w:sz w:val="22"/>
              </w:rPr>
            </w:pPr>
            <w:r w:rsidRPr="00AF32A1">
              <w:rPr>
                <w:rFonts w:ascii="Calibri" w:eastAsia="Times New Roman" w:hAnsi="Calibri" w:cs="Calibri"/>
                <w:color w:val="000000"/>
                <w:sz w:val="22"/>
              </w:rPr>
              <w:t>100</w:t>
            </w:r>
          </w:p>
        </w:tc>
        <w:tc>
          <w:tcPr>
            <w:tcW w:w="976" w:type="dxa"/>
            <w:tcBorders>
              <w:top w:val="nil"/>
              <w:left w:val="nil"/>
              <w:bottom w:val="nil"/>
              <w:right w:val="nil"/>
            </w:tcBorders>
            <w:shd w:val="clear" w:color="auto" w:fill="auto"/>
            <w:noWrap/>
            <w:vAlign w:val="bottom"/>
            <w:hideMark/>
          </w:tcPr>
          <w:p w14:paraId="650FE90B" w14:textId="77777777" w:rsidR="002F53B7" w:rsidRPr="00AF32A1"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2E6C4787" w14:textId="77777777" w:rsidR="002F53B7" w:rsidRPr="00AF32A1" w:rsidRDefault="002F53B7" w:rsidP="002F53B7">
            <w:pPr>
              <w:spacing w:after="0" w:line="240" w:lineRule="auto"/>
              <w:jc w:val="right"/>
              <w:rPr>
                <w:rFonts w:ascii="Calibri" w:eastAsia="Times New Roman" w:hAnsi="Calibri" w:cs="Calibri"/>
                <w:color w:val="000000"/>
                <w:sz w:val="22"/>
              </w:rPr>
            </w:pPr>
            <w:r w:rsidRPr="00AF32A1">
              <w:rPr>
                <w:rFonts w:ascii="Calibri" w:eastAsia="Times New Roman" w:hAnsi="Calibri" w:cs="Calibri"/>
                <w:color w:val="000000"/>
                <w:sz w:val="22"/>
              </w:rPr>
              <w:t>100</w:t>
            </w:r>
          </w:p>
        </w:tc>
        <w:tc>
          <w:tcPr>
            <w:tcW w:w="976" w:type="dxa"/>
            <w:tcBorders>
              <w:top w:val="nil"/>
              <w:left w:val="nil"/>
              <w:bottom w:val="nil"/>
              <w:right w:val="nil"/>
            </w:tcBorders>
            <w:shd w:val="clear" w:color="auto" w:fill="auto"/>
            <w:noWrap/>
            <w:vAlign w:val="bottom"/>
            <w:hideMark/>
          </w:tcPr>
          <w:p w14:paraId="0B00DB8A" w14:textId="77777777" w:rsidR="002F53B7" w:rsidRPr="00AF32A1"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3AF2FA46"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67831AA"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C15FF42"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2EE38CF" w14:textId="77777777" w:rsidR="002F53B7" w:rsidRPr="00AF32A1" w:rsidRDefault="002F53B7" w:rsidP="002F53B7">
            <w:pPr>
              <w:spacing w:after="0" w:line="240" w:lineRule="auto"/>
              <w:rPr>
                <w:rFonts w:eastAsia="Times New Roman" w:cs="Times New Roman"/>
                <w:sz w:val="20"/>
                <w:szCs w:val="20"/>
              </w:rPr>
            </w:pPr>
          </w:p>
        </w:tc>
      </w:tr>
      <w:tr w:rsidR="002F53B7" w:rsidRPr="00AF32A1" w14:paraId="4E57BCB7" w14:textId="77777777" w:rsidTr="002F53B7">
        <w:trPr>
          <w:trHeight w:val="290"/>
        </w:trPr>
        <w:tc>
          <w:tcPr>
            <w:tcW w:w="976" w:type="dxa"/>
            <w:tcBorders>
              <w:top w:val="nil"/>
              <w:left w:val="nil"/>
              <w:bottom w:val="nil"/>
              <w:right w:val="nil"/>
            </w:tcBorders>
            <w:shd w:val="clear" w:color="auto" w:fill="auto"/>
            <w:noWrap/>
            <w:vAlign w:val="bottom"/>
            <w:hideMark/>
          </w:tcPr>
          <w:p w14:paraId="7A86FC5B" w14:textId="77777777" w:rsidR="002F53B7" w:rsidRPr="00AF32A1" w:rsidRDefault="002F53B7" w:rsidP="002F53B7">
            <w:pPr>
              <w:spacing w:after="0" w:line="240" w:lineRule="auto"/>
              <w:jc w:val="right"/>
              <w:rPr>
                <w:rFonts w:ascii="Calibri" w:eastAsia="Times New Roman" w:hAnsi="Calibri" w:cs="Calibri"/>
                <w:color w:val="000000"/>
                <w:sz w:val="22"/>
              </w:rPr>
            </w:pPr>
            <w:r w:rsidRPr="00AF32A1">
              <w:rPr>
                <w:rFonts w:ascii="Calibri" w:eastAsia="Times New Roman" w:hAnsi="Calibri" w:cs="Calibri"/>
                <w:color w:val="000000"/>
                <w:sz w:val="22"/>
              </w:rPr>
              <w:t>1941</w:t>
            </w:r>
          </w:p>
        </w:tc>
        <w:tc>
          <w:tcPr>
            <w:tcW w:w="976" w:type="dxa"/>
            <w:tcBorders>
              <w:top w:val="nil"/>
              <w:left w:val="nil"/>
              <w:bottom w:val="nil"/>
              <w:right w:val="nil"/>
            </w:tcBorders>
            <w:shd w:val="clear" w:color="auto" w:fill="auto"/>
            <w:noWrap/>
            <w:vAlign w:val="bottom"/>
            <w:hideMark/>
          </w:tcPr>
          <w:p w14:paraId="278C1B68" w14:textId="77777777" w:rsidR="002F53B7" w:rsidRPr="00AF32A1" w:rsidRDefault="002F53B7" w:rsidP="002F53B7">
            <w:pPr>
              <w:spacing w:after="0" w:line="240" w:lineRule="auto"/>
              <w:jc w:val="right"/>
              <w:rPr>
                <w:rFonts w:ascii="Calibri" w:eastAsia="Times New Roman" w:hAnsi="Calibri" w:cs="Calibri"/>
                <w:color w:val="000000"/>
                <w:sz w:val="22"/>
              </w:rPr>
            </w:pPr>
            <w:r w:rsidRPr="00AF32A1">
              <w:rPr>
                <w:rFonts w:ascii="Calibri" w:eastAsia="Times New Roman" w:hAnsi="Calibri" w:cs="Calibri"/>
                <w:color w:val="000000"/>
                <w:sz w:val="22"/>
              </w:rPr>
              <w:t>186.5</w:t>
            </w:r>
          </w:p>
        </w:tc>
        <w:tc>
          <w:tcPr>
            <w:tcW w:w="976" w:type="dxa"/>
            <w:tcBorders>
              <w:top w:val="nil"/>
              <w:left w:val="nil"/>
              <w:bottom w:val="nil"/>
              <w:right w:val="nil"/>
            </w:tcBorders>
            <w:shd w:val="clear" w:color="auto" w:fill="auto"/>
            <w:noWrap/>
            <w:vAlign w:val="bottom"/>
            <w:hideMark/>
          </w:tcPr>
          <w:p w14:paraId="4504316F" w14:textId="77777777" w:rsidR="002F53B7" w:rsidRPr="00AF32A1" w:rsidRDefault="002F53B7" w:rsidP="002F53B7">
            <w:pPr>
              <w:spacing w:after="0" w:line="240" w:lineRule="auto"/>
              <w:jc w:val="right"/>
              <w:rPr>
                <w:rFonts w:ascii="Calibri" w:eastAsia="Times New Roman" w:hAnsi="Calibri" w:cs="Calibri"/>
                <w:color w:val="000000"/>
                <w:sz w:val="22"/>
              </w:rPr>
            </w:pPr>
            <w:r w:rsidRPr="00AF32A1">
              <w:rPr>
                <w:rFonts w:ascii="Calibri" w:eastAsia="Times New Roman" w:hAnsi="Calibri" w:cs="Calibri"/>
                <w:color w:val="000000"/>
                <w:sz w:val="22"/>
              </w:rPr>
              <w:t>82.5</w:t>
            </w:r>
          </w:p>
        </w:tc>
        <w:tc>
          <w:tcPr>
            <w:tcW w:w="976" w:type="dxa"/>
            <w:tcBorders>
              <w:top w:val="nil"/>
              <w:left w:val="nil"/>
              <w:bottom w:val="nil"/>
              <w:right w:val="nil"/>
            </w:tcBorders>
            <w:shd w:val="clear" w:color="auto" w:fill="auto"/>
            <w:noWrap/>
            <w:vAlign w:val="bottom"/>
            <w:hideMark/>
          </w:tcPr>
          <w:p w14:paraId="4CE94232" w14:textId="77777777" w:rsidR="002F53B7" w:rsidRPr="00AF32A1" w:rsidRDefault="002F53B7" w:rsidP="002F53B7">
            <w:pPr>
              <w:spacing w:after="0" w:line="240" w:lineRule="auto"/>
              <w:jc w:val="right"/>
              <w:rPr>
                <w:rFonts w:ascii="Calibri" w:eastAsia="Times New Roman" w:hAnsi="Calibri" w:cs="Calibri"/>
                <w:color w:val="000000"/>
                <w:sz w:val="22"/>
              </w:rPr>
            </w:pPr>
            <w:r w:rsidRPr="00AF32A1">
              <w:rPr>
                <w:rFonts w:ascii="Calibri" w:eastAsia="Times New Roman" w:hAnsi="Calibri" w:cs="Calibri"/>
                <w:color w:val="000000"/>
                <w:sz w:val="22"/>
              </w:rPr>
              <w:t>107.8</w:t>
            </w:r>
          </w:p>
        </w:tc>
        <w:tc>
          <w:tcPr>
            <w:tcW w:w="976" w:type="dxa"/>
            <w:tcBorders>
              <w:top w:val="nil"/>
              <w:left w:val="nil"/>
              <w:bottom w:val="nil"/>
              <w:right w:val="nil"/>
            </w:tcBorders>
            <w:shd w:val="clear" w:color="auto" w:fill="auto"/>
            <w:noWrap/>
            <w:vAlign w:val="bottom"/>
            <w:hideMark/>
          </w:tcPr>
          <w:p w14:paraId="2B9D4DF5" w14:textId="77777777" w:rsidR="002F53B7" w:rsidRPr="00AF32A1"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4CC48905" w14:textId="77777777" w:rsidR="002F53B7" w:rsidRPr="00AF32A1" w:rsidRDefault="002F53B7" w:rsidP="002F53B7">
            <w:pPr>
              <w:spacing w:after="0" w:line="240" w:lineRule="auto"/>
              <w:jc w:val="right"/>
              <w:rPr>
                <w:rFonts w:ascii="Calibri" w:eastAsia="Times New Roman" w:hAnsi="Calibri" w:cs="Calibri"/>
                <w:color w:val="000000"/>
                <w:sz w:val="22"/>
              </w:rPr>
            </w:pPr>
            <w:r w:rsidRPr="00AF32A1">
              <w:rPr>
                <w:rFonts w:ascii="Calibri" w:eastAsia="Times New Roman" w:hAnsi="Calibri" w:cs="Calibri"/>
                <w:color w:val="000000"/>
                <w:sz w:val="22"/>
              </w:rPr>
              <w:t>194.7</w:t>
            </w:r>
          </w:p>
        </w:tc>
        <w:tc>
          <w:tcPr>
            <w:tcW w:w="976" w:type="dxa"/>
            <w:tcBorders>
              <w:top w:val="nil"/>
              <w:left w:val="nil"/>
              <w:bottom w:val="nil"/>
              <w:right w:val="nil"/>
            </w:tcBorders>
            <w:shd w:val="clear" w:color="auto" w:fill="auto"/>
            <w:noWrap/>
            <w:vAlign w:val="bottom"/>
            <w:hideMark/>
          </w:tcPr>
          <w:p w14:paraId="2AC95691" w14:textId="77777777" w:rsidR="002F53B7" w:rsidRPr="00AF32A1"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090AB2AD"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A753A96"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E557EFB"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0F55201" w14:textId="77777777" w:rsidR="002F53B7" w:rsidRPr="00AF32A1" w:rsidRDefault="002F53B7" w:rsidP="002F53B7">
            <w:pPr>
              <w:spacing w:after="0" w:line="240" w:lineRule="auto"/>
              <w:rPr>
                <w:rFonts w:eastAsia="Times New Roman" w:cs="Times New Roman"/>
                <w:sz w:val="20"/>
                <w:szCs w:val="20"/>
              </w:rPr>
            </w:pPr>
          </w:p>
        </w:tc>
      </w:tr>
      <w:tr w:rsidR="002F53B7" w:rsidRPr="00AF32A1" w14:paraId="566ECEA8" w14:textId="77777777" w:rsidTr="002F53B7">
        <w:trPr>
          <w:trHeight w:val="290"/>
        </w:trPr>
        <w:tc>
          <w:tcPr>
            <w:tcW w:w="976" w:type="dxa"/>
            <w:tcBorders>
              <w:top w:val="nil"/>
              <w:left w:val="nil"/>
              <w:bottom w:val="nil"/>
              <w:right w:val="nil"/>
            </w:tcBorders>
            <w:shd w:val="clear" w:color="auto" w:fill="auto"/>
            <w:noWrap/>
            <w:vAlign w:val="bottom"/>
            <w:hideMark/>
          </w:tcPr>
          <w:p w14:paraId="16EF95D8" w14:textId="77777777" w:rsidR="002F53B7" w:rsidRPr="00AF32A1" w:rsidRDefault="002F53B7" w:rsidP="002F53B7">
            <w:pPr>
              <w:spacing w:after="0" w:line="240" w:lineRule="auto"/>
              <w:jc w:val="right"/>
              <w:rPr>
                <w:rFonts w:ascii="Calibri" w:eastAsia="Times New Roman" w:hAnsi="Calibri" w:cs="Calibri"/>
                <w:color w:val="000000"/>
                <w:sz w:val="22"/>
              </w:rPr>
            </w:pPr>
            <w:r w:rsidRPr="00AF32A1">
              <w:rPr>
                <w:rFonts w:ascii="Calibri" w:eastAsia="Times New Roman" w:hAnsi="Calibri" w:cs="Calibri"/>
                <w:color w:val="000000"/>
                <w:sz w:val="22"/>
              </w:rPr>
              <w:t>1948</w:t>
            </w:r>
          </w:p>
        </w:tc>
        <w:tc>
          <w:tcPr>
            <w:tcW w:w="976" w:type="dxa"/>
            <w:tcBorders>
              <w:top w:val="nil"/>
              <w:left w:val="nil"/>
              <w:bottom w:val="nil"/>
              <w:right w:val="nil"/>
            </w:tcBorders>
            <w:shd w:val="clear" w:color="auto" w:fill="auto"/>
            <w:noWrap/>
            <w:vAlign w:val="bottom"/>
            <w:hideMark/>
          </w:tcPr>
          <w:p w14:paraId="00543F63" w14:textId="77777777" w:rsidR="002F53B7" w:rsidRPr="00AF32A1" w:rsidRDefault="002F53B7" w:rsidP="002F53B7">
            <w:pPr>
              <w:spacing w:after="0" w:line="240" w:lineRule="auto"/>
              <w:jc w:val="right"/>
              <w:rPr>
                <w:rFonts w:ascii="Calibri" w:eastAsia="Times New Roman" w:hAnsi="Calibri" w:cs="Calibri"/>
                <w:color w:val="000000"/>
                <w:sz w:val="22"/>
              </w:rPr>
            </w:pPr>
            <w:r w:rsidRPr="00AF32A1">
              <w:rPr>
                <w:rFonts w:ascii="Calibri" w:eastAsia="Times New Roman" w:hAnsi="Calibri" w:cs="Calibri"/>
                <w:color w:val="000000"/>
                <w:sz w:val="22"/>
              </w:rPr>
              <w:t>314.8</w:t>
            </w:r>
          </w:p>
        </w:tc>
        <w:tc>
          <w:tcPr>
            <w:tcW w:w="976" w:type="dxa"/>
            <w:tcBorders>
              <w:top w:val="nil"/>
              <w:left w:val="nil"/>
              <w:bottom w:val="nil"/>
              <w:right w:val="nil"/>
            </w:tcBorders>
            <w:shd w:val="clear" w:color="auto" w:fill="auto"/>
            <w:noWrap/>
            <w:vAlign w:val="bottom"/>
            <w:hideMark/>
          </w:tcPr>
          <w:p w14:paraId="3B106A1E" w14:textId="77777777" w:rsidR="002F53B7" w:rsidRPr="00AF32A1" w:rsidRDefault="002F53B7" w:rsidP="002F53B7">
            <w:pPr>
              <w:spacing w:after="0" w:line="240" w:lineRule="auto"/>
              <w:jc w:val="right"/>
              <w:rPr>
                <w:rFonts w:ascii="Calibri" w:eastAsia="Times New Roman" w:hAnsi="Calibri" w:cs="Calibri"/>
                <w:color w:val="000000"/>
                <w:sz w:val="22"/>
              </w:rPr>
            </w:pPr>
            <w:r w:rsidRPr="00AF32A1">
              <w:rPr>
                <w:rFonts w:ascii="Calibri" w:eastAsia="Times New Roman" w:hAnsi="Calibri" w:cs="Calibri"/>
                <w:color w:val="000000"/>
                <w:sz w:val="22"/>
              </w:rPr>
              <w:t>95.7</w:t>
            </w:r>
          </w:p>
        </w:tc>
        <w:tc>
          <w:tcPr>
            <w:tcW w:w="976" w:type="dxa"/>
            <w:tcBorders>
              <w:top w:val="nil"/>
              <w:left w:val="nil"/>
              <w:bottom w:val="nil"/>
              <w:right w:val="nil"/>
            </w:tcBorders>
            <w:shd w:val="clear" w:color="auto" w:fill="auto"/>
            <w:noWrap/>
            <w:vAlign w:val="bottom"/>
            <w:hideMark/>
          </w:tcPr>
          <w:p w14:paraId="7FC3E0BB" w14:textId="77777777" w:rsidR="002F53B7" w:rsidRPr="00AF32A1" w:rsidRDefault="002F53B7" w:rsidP="002F53B7">
            <w:pPr>
              <w:spacing w:after="0" w:line="240" w:lineRule="auto"/>
              <w:jc w:val="right"/>
              <w:rPr>
                <w:rFonts w:ascii="Calibri" w:eastAsia="Times New Roman" w:hAnsi="Calibri" w:cs="Calibri"/>
                <w:color w:val="000000"/>
                <w:sz w:val="22"/>
              </w:rPr>
            </w:pPr>
            <w:r w:rsidRPr="00AF32A1">
              <w:rPr>
                <w:rFonts w:ascii="Calibri" w:eastAsia="Times New Roman" w:hAnsi="Calibri" w:cs="Calibri"/>
                <w:color w:val="000000"/>
                <w:sz w:val="22"/>
              </w:rPr>
              <w:t>116.3</w:t>
            </w:r>
          </w:p>
        </w:tc>
        <w:tc>
          <w:tcPr>
            <w:tcW w:w="976" w:type="dxa"/>
            <w:tcBorders>
              <w:top w:val="nil"/>
              <w:left w:val="nil"/>
              <w:bottom w:val="nil"/>
              <w:right w:val="nil"/>
            </w:tcBorders>
            <w:shd w:val="clear" w:color="auto" w:fill="auto"/>
            <w:noWrap/>
            <w:vAlign w:val="bottom"/>
            <w:hideMark/>
          </w:tcPr>
          <w:p w14:paraId="18915A60" w14:textId="77777777" w:rsidR="002F53B7" w:rsidRPr="00AF32A1"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1B44D2D8" w14:textId="77777777" w:rsidR="002F53B7" w:rsidRPr="00AF32A1" w:rsidRDefault="002F53B7" w:rsidP="002F53B7">
            <w:pPr>
              <w:spacing w:after="0" w:line="240" w:lineRule="auto"/>
              <w:jc w:val="right"/>
              <w:rPr>
                <w:rFonts w:ascii="Calibri" w:eastAsia="Times New Roman" w:hAnsi="Calibri" w:cs="Calibri"/>
                <w:color w:val="000000"/>
                <w:sz w:val="22"/>
              </w:rPr>
            </w:pPr>
            <w:r w:rsidRPr="00AF32A1">
              <w:rPr>
                <w:rFonts w:ascii="Calibri" w:eastAsia="Times New Roman" w:hAnsi="Calibri" w:cs="Calibri"/>
                <w:color w:val="000000"/>
                <w:sz w:val="22"/>
              </w:rPr>
              <w:t>293.7</w:t>
            </w:r>
          </w:p>
        </w:tc>
        <w:tc>
          <w:tcPr>
            <w:tcW w:w="976" w:type="dxa"/>
            <w:tcBorders>
              <w:top w:val="nil"/>
              <w:left w:val="nil"/>
              <w:bottom w:val="nil"/>
              <w:right w:val="nil"/>
            </w:tcBorders>
            <w:shd w:val="clear" w:color="auto" w:fill="auto"/>
            <w:noWrap/>
            <w:vAlign w:val="bottom"/>
            <w:hideMark/>
          </w:tcPr>
          <w:p w14:paraId="3A596443" w14:textId="77777777" w:rsidR="002F53B7" w:rsidRPr="00AF32A1"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1268363C"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2F551BF"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84DDDD5"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E441F3A" w14:textId="77777777" w:rsidR="002F53B7" w:rsidRPr="00AF32A1" w:rsidRDefault="002F53B7" w:rsidP="002F53B7">
            <w:pPr>
              <w:spacing w:after="0" w:line="240" w:lineRule="auto"/>
              <w:rPr>
                <w:rFonts w:eastAsia="Times New Roman" w:cs="Times New Roman"/>
                <w:sz w:val="20"/>
                <w:szCs w:val="20"/>
              </w:rPr>
            </w:pPr>
          </w:p>
        </w:tc>
      </w:tr>
      <w:tr w:rsidR="002F53B7" w:rsidRPr="00AF32A1" w14:paraId="740D55C2" w14:textId="77777777" w:rsidTr="002F53B7">
        <w:trPr>
          <w:trHeight w:val="290"/>
        </w:trPr>
        <w:tc>
          <w:tcPr>
            <w:tcW w:w="976" w:type="dxa"/>
            <w:tcBorders>
              <w:top w:val="nil"/>
              <w:left w:val="nil"/>
              <w:bottom w:val="nil"/>
              <w:right w:val="nil"/>
            </w:tcBorders>
            <w:shd w:val="clear" w:color="auto" w:fill="auto"/>
            <w:noWrap/>
            <w:vAlign w:val="bottom"/>
            <w:hideMark/>
          </w:tcPr>
          <w:p w14:paraId="73FAF405"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D7060B8"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B3B6B41"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18E728F"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0CD988A"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0A61AFA4"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09BE152"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71FF036"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F4F3742"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D07D18B"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FFE90FF" w14:textId="77777777" w:rsidR="002F53B7" w:rsidRPr="00AF32A1" w:rsidRDefault="002F53B7" w:rsidP="002F53B7">
            <w:pPr>
              <w:spacing w:after="0" w:line="240" w:lineRule="auto"/>
              <w:rPr>
                <w:rFonts w:eastAsia="Times New Roman" w:cs="Times New Roman"/>
                <w:sz w:val="20"/>
                <w:szCs w:val="20"/>
              </w:rPr>
            </w:pPr>
          </w:p>
        </w:tc>
      </w:tr>
      <w:tr w:rsidR="002F53B7" w:rsidRPr="00AF32A1" w14:paraId="107E8598" w14:textId="77777777" w:rsidTr="002F53B7">
        <w:trPr>
          <w:trHeight w:val="290"/>
        </w:trPr>
        <w:tc>
          <w:tcPr>
            <w:tcW w:w="1952" w:type="dxa"/>
            <w:gridSpan w:val="2"/>
            <w:tcBorders>
              <w:top w:val="nil"/>
              <w:left w:val="nil"/>
              <w:bottom w:val="nil"/>
              <w:right w:val="nil"/>
            </w:tcBorders>
            <w:shd w:val="clear" w:color="auto" w:fill="auto"/>
            <w:noWrap/>
            <w:vAlign w:val="bottom"/>
            <w:hideMark/>
          </w:tcPr>
          <w:p w14:paraId="3E9FEC7C" w14:textId="77777777" w:rsidR="002F53B7" w:rsidRPr="00AF32A1" w:rsidRDefault="002F53B7" w:rsidP="002F53B7">
            <w:pPr>
              <w:spacing w:after="0" w:line="240" w:lineRule="auto"/>
              <w:rPr>
                <w:rFonts w:ascii="Calibri" w:eastAsia="Times New Roman" w:hAnsi="Calibri" w:cs="Calibri"/>
                <w:color w:val="000000"/>
                <w:sz w:val="22"/>
              </w:rPr>
            </w:pPr>
            <w:r w:rsidRPr="00AF32A1">
              <w:rPr>
                <w:rFonts w:ascii="Calibri" w:eastAsia="Times New Roman" w:hAnsi="Calibri" w:cs="Calibri"/>
                <w:color w:val="000000"/>
                <w:sz w:val="22"/>
              </w:rPr>
              <w:t>Rates of Growth</w:t>
            </w:r>
          </w:p>
        </w:tc>
        <w:tc>
          <w:tcPr>
            <w:tcW w:w="976" w:type="dxa"/>
            <w:tcBorders>
              <w:top w:val="nil"/>
              <w:left w:val="nil"/>
              <w:bottom w:val="nil"/>
              <w:right w:val="nil"/>
            </w:tcBorders>
            <w:shd w:val="clear" w:color="auto" w:fill="auto"/>
            <w:noWrap/>
            <w:vAlign w:val="bottom"/>
            <w:hideMark/>
          </w:tcPr>
          <w:p w14:paraId="18403860" w14:textId="77777777" w:rsidR="002F53B7" w:rsidRPr="00AF32A1" w:rsidRDefault="002F53B7" w:rsidP="002F53B7">
            <w:pPr>
              <w:spacing w:after="0" w:line="240" w:lineRule="auto"/>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72BF80DB"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7BF446D"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FB0CE9B"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CF2F54F"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0FB9D236" w14:textId="77777777" w:rsidR="002F53B7" w:rsidRPr="00AF32A1" w:rsidRDefault="002F53B7" w:rsidP="002F53B7">
            <w:pPr>
              <w:spacing w:after="0" w:line="240" w:lineRule="auto"/>
              <w:rPr>
                <w:rFonts w:eastAsia="Times New Roman" w:cs="Times New Roman"/>
                <w:sz w:val="20"/>
                <w:szCs w:val="20"/>
              </w:rPr>
            </w:pPr>
          </w:p>
        </w:tc>
        <w:tc>
          <w:tcPr>
            <w:tcW w:w="1952" w:type="dxa"/>
            <w:gridSpan w:val="2"/>
            <w:tcBorders>
              <w:top w:val="nil"/>
              <w:left w:val="nil"/>
              <w:bottom w:val="nil"/>
              <w:right w:val="nil"/>
            </w:tcBorders>
            <w:shd w:val="clear" w:color="auto" w:fill="auto"/>
            <w:noWrap/>
            <w:vAlign w:val="bottom"/>
            <w:hideMark/>
          </w:tcPr>
          <w:p w14:paraId="66C2147E" w14:textId="77777777" w:rsidR="002F53B7" w:rsidRPr="00AF32A1" w:rsidRDefault="002F53B7" w:rsidP="002F53B7">
            <w:pPr>
              <w:spacing w:after="0" w:line="240" w:lineRule="auto"/>
              <w:rPr>
                <w:rFonts w:ascii="Calibri" w:eastAsia="Times New Roman" w:hAnsi="Calibri" w:cs="Calibri"/>
                <w:color w:val="000000"/>
                <w:sz w:val="22"/>
              </w:rPr>
            </w:pPr>
            <w:r w:rsidRPr="00AF32A1">
              <w:rPr>
                <w:rFonts w:ascii="Calibri" w:eastAsia="Times New Roman" w:hAnsi="Calibri" w:cs="Calibri"/>
                <w:color w:val="000000"/>
                <w:sz w:val="22"/>
              </w:rPr>
              <w:t>Manhours 1929</w:t>
            </w:r>
          </w:p>
        </w:tc>
        <w:tc>
          <w:tcPr>
            <w:tcW w:w="976" w:type="dxa"/>
            <w:tcBorders>
              <w:top w:val="nil"/>
              <w:left w:val="nil"/>
              <w:bottom w:val="nil"/>
              <w:right w:val="nil"/>
            </w:tcBorders>
            <w:shd w:val="clear" w:color="auto" w:fill="auto"/>
            <w:noWrap/>
            <w:vAlign w:val="bottom"/>
            <w:hideMark/>
          </w:tcPr>
          <w:p w14:paraId="3E990C6D" w14:textId="77777777" w:rsidR="002F53B7" w:rsidRPr="00AF32A1" w:rsidRDefault="002F53B7" w:rsidP="002F53B7">
            <w:pPr>
              <w:spacing w:after="0" w:line="240" w:lineRule="auto"/>
              <w:rPr>
                <w:rFonts w:ascii="Calibri" w:eastAsia="Times New Roman" w:hAnsi="Calibri" w:cs="Calibri"/>
                <w:color w:val="000000"/>
                <w:sz w:val="22"/>
              </w:rPr>
            </w:pPr>
          </w:p>
        </w:tc>
      </w:tr>
      <w:tr w:rsidR="002F53B7" w:rsidRPr="00AF32A1" w14:paraId="12322B86" w14:textId="77777777" w:rsidTr="002F53B7">
        <w:trPr>
          <w:trHeight w:val="290"/>
        </w:trPr>
        <w:tc>
          <w:tcPr>
            <w:tcW w:w="976" w:type="dxa"/>
            <w:tcBorders>
              <w:top w:val="nil"/>
              <w:left w:val="nil"/>
              <w:bottom w:val="nil"/>
              <w:right w:val="nil"/>
            </w:tcBorders>
            <w:shd w:val="clear" w:color="auto" w:fill="auto"/>
            <w:noWrap/>
            <w:vAlign w:val="bottom"/>
            <w:hideMark/>
          </w:tcPr>
          <w:p w14:paraId="60D7E372" w14:textId="77777777" w:rsidR="002F53B7" w:rsidRPr="00AF32A1" w:rsidRDefault="002F53B7" w:rsidP="002F53B7">
            <w:pPr>
              <w:spacing w:after="0" w:line="240" w:lineRule="auto"/>
              <w:rPr>
                <w:rFonts w:ascii="Calibri" w:eastAsia="Times New Roman" w:hAnsi="Calibri" w:cs="Calibri"/>
                <w:color w:val="000000"/>
                <w:sz w:val="22"/>
              </w:rPr>
            </w:pPr>
            <w:r w:rsidRPr="00AF32A1">
              <w:rPr>
                <w:rFonts w:ascii="Calibri" w:eastAsia="Times New Roman" w:hAnsi="Calibri" w:cs="Calibri"/>
                <w:color w:val="000000"/>
                <w:sz w:val="22"/>
              </w:rPr>
              <w:t>1929-41</w:t>
            </w:r>
          </w:p>
        </w:tc>
        <w:tc>
          <w:tcPr>
            <w:tcW w:w="976" w:type="dxa"/>
            <w:tcBorders>
              <w:top w:val="nil"/>
              <w:left w:val="nil"/>
              <w:bottom w:val="nil"/>
              <w:right w:val="nil"/>
            </w:tcBorders>
            <w:shd w:val="clear" w:color="auto" w:fill="auto"/>
            <w:noWrap/>
            <w:vAlign w:val="bottom"/>
            <w:hideMark/>
          </w:tcPr>
          <w:p w14:paraId="553D7457" w14:textId="77777777" w:rsidR="002F53B7" w:rsidRPr="00AF32A1" w:rsidRDefault="002F53B7" w:rsidP="002F53B7">
            <w:pPr>
              <w:spacing w:after="0" w:line="240" w:lineRule="auto"/>
              <w:jc w:val="right"/>
              <w:rPr>
                <w:rFonts w:ascii="Calibri" w:eastAsia="Times New Roman" w:hAnsi="Calibri" w:cs="Calibri"/>
                <w:color w:val="000000"/>
                <w:sz w:val="22"/>
              </w:rPr>
            </w:pPr>
            <w:r w:rsidRPr="00AF32A1">
              <w:rPr>
                <w:rFonts w:ascii="Calibri" w:eastAsia="Times New Roman" w:hAnsi="Calibri" w:cs="Calibri"/>
                <w:color w:val="000000"/>
                <w:sz w:val="22"/>
              </w:rPr>
              <w:t>0.0519</w:t>
            </w:r>
          </w:p>
        </w:tc>
        <w:tc>
          <w:tcPr>
            <w:tcW w:w="976" w:type="dxa"/>
            <w:tcBorders>
              <w:top w:val="nil"/>
              <w:left w:val="nil"/>
              <w:bottom w:val="nil"/>
              <w:right w:val="nil"/>
            </w:tcBorders>
            <w:shd w:val="clear" w:color="auto" w:fill="auto"/>
            <w:noWrap/>
            <w:vAlign w:val="bottom"/>
            <w:hideMark/>
          </w:tcPr>
          <w:p w14:paraId="31A504F9" w14:textId="77777777" w:rsidR="002F53B7" w:rsidRPr="00AF32A1" w:rsidRDefault="002F53B7" w:rsidP="002F53B7">
            <w:pPr>
              <w:spacing w:after="0" w:line="240" w:lineRule="auto"/>
              <w:jc w:val="right"/>
              <w:rPr>
                <w:rFonts w:ascii="Calibri" w:eastAsia="Times New Roman" w:hAnsi="Calibri" w:cs="Calibri"/>
                <w:color w:val="000000"/>
                <w:sz w:val="22"/>
              </w:rPr>
            </w:pPr>
            <w:r w:rsidRPr="00AF32A1">
              <w:rPr>
                <w:rFonts w:ascii="Calibri" w:eastAsia="Times New Roman" w:hAnsi="Calibri" w:cs="Calibri"/>
                <w:color w:val="000000"/>
                <w:sz w:val="22"/>
              </w:rPr>
              <w:t>-0.0160</w:t>
            </w:r>
          </w:p>
        </w:tc>
        <w:tc>
          <w:tcPr>
            <w:tcW w:w="976" w:type="dxa"/>
            <w:tcBorders>
              <w:top w:val="nil"/>
              <w:left w:val="nil"/>
              <w:bottom w:val="nil"/>
              <w:right w:val="nil"/>
            </w:tcBorders>
            <w:shd w:val="clear" w:color="auto" w:fill="auto"/>
            <w:noWrap/>
            <w:vAlign w:val="bottom"/>
            <w:hideMark/>
          </w:tcPr>
          <w:p w14:paraId="22BC965B" w14:textId="77777777" w:rsidR="002F53B7" w:rsidRPr="00AF32A1" w:rsidRDefault="002F53B7" w:rsidP="002F53B7">
            <w:pPr>
              <w:spacing w:after="0" w:line="240" w:lineRule="auto"/>
              <w:jc w:val="right"/>
              <w:rPr>
                <w:rFonts w:ascii="Calibri" w:eastAsia="Times New Roman" w:hAnsi="Calibri" w:cs="Calibri"/>
                <w:color w:val="000000"/>
                <w:sz w:val="22"/>
              </w:rPr>
            </w:pPr>
            <w:r w:rsidRPr="00AF32A1">
              <w:rPr>
                <w:rFonts w:ascii="Calibri" w:eastAsia="Times New Roman" w:hAnsi="Calibri" w:cs="Calibri"/>
                <w:color w:val="000000"/>
                <w:sz w:val="22"/>
              </w:rPr>
              <w:t>0.0063</w:t>
            </w:r>
          </w:p>
        </w:tc>
        <w:tc>
          <w:tcPr>
            <w:tcW w:w="976" w:type="dxa"/>
            <w:tcBorders>
              <w:top w:val="nil"/>
              <w:left w:val="nil"/>
              <w:bottom w:val="nil"/>
              <w:right w:val="nil"/>
            </w:tcBorders>
            <w:shd w:val="clear" w:color="auto" w:fill="auto"/>
            <w:noWrap/>
            <w:vAlign w:val="bottom"/>
            <w:hideMark/>
          </w:tcPr>
          <w:p w14:paraId="37E0E8FE" w14:textId="77777777" w:rsidR="002F53B7" w:rsidRPr="00AF32A1" w:rsidRDefault="002F53B7" w:rsidP="002F53B7">
            <w:pPr>
              <w:spacing w:after="0" w:line="240" w:lineRule="auto"/>
              <w:jc w:val="right"/>
              <w:rPr>
                <w:rFonts w:ascii="Calibri" w:eastAsia="Times New Roman" w:hAnsi="Calibri" w:cs="Calibri"/>
                <w:color w:val="000000"/>
                <w:sz w:val="22"/>
              </w:rPr>
            </w:pPr>
            <w:r w:rsidRPr="00AF32A1">
              <w:rPr>
                <w:rFonts w:ascii="Calibri" w:eastAsia="Times New Roman" w:hAnsi="Calibri" w:cs="Calibri"/>
                <w:color w:val="000000"/>
                <w:sz w:val="22"/>
              </w:rPr>
              <w:t>0.0680</w:t>
            </w:r>
          </w:p>
        </w:tc>
        <w:tc>
          <w:tcPr>
            <w:tcW w:w="976" w:type="dxa"/>
            <w:tcBorders>
              <w:top w:val="nil"/>
              <w:left w:val="nil"/>
              <w:bottom w:val="nil"/>
              <w:right w:val="nil"/>
            </w:tcBorders>
            <w:shd w:val="clear" w:color="auto" w:fill="auto"/>
            <w:noWrap/>
            <w:vAlign w:val="bottom"/>
            <w:hideMark/>
          </w:tcPr>
          <w:p w14:paraId="4A571A23" w14:textId="77777777" w:rsidR="002F53B7" w:rsidRPr="00FA6DE8" w:rsidRDefault="002F53B7" w:rsidP="002F53B7">
            <w:pPr>
              <w:spacing w:after="0" w:line="240" w:lineRule="auto"/>
              <w:jc w:val="right"/>
              <w:rPr>
                <w:rFonts w:ascii="Calibri" w:eastAsia="Times New Roman" w:hAnsi="Calibri" w:cs="Calibri"/>
                <w:b/>
                <w:color w:val="000000"/>
                <w:sz w:val="22"/>
              </w:rPr>
            </w:pPr>
            <w:r w:rsidRPr="00FA6DE8">
              <w:rPr>
                <w:rFonts w:ascii="Calibri" w:eastAsia="Times New Roman" w:hAnsi="Calibri" w:cs="Calibri"/>
                <w:b/>
                <w:color w:val="000000"/>
                <w:sz w:val="22"/>
              </w:rPr>
              <w:t>0.0555</w:t>
            </w:r>
          </w:p>
        </w:tc>
        <w:tc>
          <w:tcPr>
            <w:tcW w:w="976" w:type="dxa"/>
            <w:tcBorders>
              <w:top w:val="nil"/>
              <w:left w:val="nil"/>
              <w:bottom w:val="nil"/>
              <w:right w:val="nil"/>
            </w:tcBorders>
            <w:shd w:val="clear" w:color="auto" w:fill="auto"/>
            <w:noWrap/>
            <w:vAlign w:val="bottom"/>
            <w:hideMark/>
          </w:tcPr>
          <w:p w14:paraId="0A927D98" w14:textId="77777777" w:rsidR="002F53B7" w:rsidRPr="00AF32A1"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30E8F1A2" w14:textId="77777777" w:rsidR="002F53B7" w:rsidRPr="00AF32A1" w:rsidRDefault="002F53B7" w:rsidP="002F53B7">
            <w:pPr>
              <w:spacing w:after="0" w:line="240" w:lineRule="auto"/>
              <w:rPr>
                <w:rFonts w:ascii="Calibri" w:eastAsia="Times New Roman" w:hAnsi="Calibri" w:cs="Calibri"/>
                <w:color w:val="000000"/>
                <w:sz w:val="22"/>
              </w:rPr>
            </w:pPr>
            <w:r w:rsidRPr="00AF32A1">
              <w:rPr>
                <w:rFonts w:ascii="Calibri" w:eastAsia="Times New Roman" w:hAnsi="Calibri" w:cs="Calibri"/>
                <w:color w:val="000000"/>
                <w:sz w:val="22"/>
              </w:rPr>
              <w:t>Electric</w:t>
            </w:r>
          </w:p>
        </w:tc>
        <w:tc>
          <w:tcPr>
            <w:tcW w:w="976" w:type="dxa"/>
            <w:tcBorders>
              <w:top w:val="nil"/>
              <w:left w:val="nil"/>
              <w:bottom w:val="nil"/>
              <w:right w:val="nil"/>
            </w:tcBorders>
            <w:shd w:val="clear" w:color="auto" w:fill="auto"/>
            <w:noWrap/>
            <w:vAlign w:val="bottom"/>
            <w:hideMark/>
          </w:tcPr>
          <w:p w14:paraId="738A9D47" w14:textId="77777777" w:rsidR="002F53B7" w:rsidRPr="00AF32A1" w:rsidRDefault="002F53B7" w:rsidP="002F53B7">
            <w:pPr>
              <w:spacing w:after="0" w:line="240" w:lineRule="auto"/>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27C0AD4C" w14:textId="77777777" w:rsidR="002F53B7" w:rsidRPr="00AF32A1" w:rsidRDefault="002F53B7" w:rsidP="002F53B7">
            <w:pPr>
              <w:spacing w:after="0" w:line="240" w:lineRule="auto"/>
              <w:jc w:val="right"/>
              <w:rPr>
                <w:rFonts w:ascii="Calibri" w:eastAsia="Times New Roman" w:hAnsi="Calibri" w:cs="Calibri"/>
                <w:color w:val="000000"/>
                <w:sz w:val="22"/>
              </w:rPr>
            </w:pPr>
            <w:r w:rsidRPr="00AF32A1">
              <w:rPr>
                <w:rFonts w:ascii="Calibri" w:eastAsia="Times New Roman" w:hAnsi="Calibri" w:cs="Calibri"/>
                <w:color w:val="000000"/>
                <w:sz w:val="22"/>
              </w:rPr>
              <w:t>756</w:t>
            </w:r>
          </w:p>
        </w:tc>
        <w:tc>
          <w:tcPr>
            <w:tcW w:w="976" w:type="dxa"/>
            <w:tcBorders>
              <w:top w:val="nil"/>
              <w:left w:val="nil"/>
              <w:bottom w:val="nil"/>
              <w:right w:val="nil"/>
            </w:tcBorders>
            <w:shd w:val="clear" w:color="auto" w:fill="auto"/>
            <w:noWrap/>
            <w:vAlign w:val="bottom"/>
            <w:hideMark/>
          </w:tcPr>
          <w:p w14:paraId="25C503DE" w14:textId="77777777" w:rsidR="002F53B7" w:rsidRPr="00AF32A1" w:rsidRDefault="002F53B7" w:rsidP="002F53B7">
            <w:pPr>
              <w:spacing w:after="0" w:line="240" w:lineRule="auto"/>
              <w:jc w:val="right"/>
              <w:rPr>
                <w:rFonts w:ascii="Calibri" w:eastAsia="Times New Roman" w:hAnsi="Calibri" w:cs="Calibri"/>
                <w:color w:val="000000"/>
                <w:sz w:val="22"/>
              </w:rPr>
            </w:pPr>
          </w:p>
        </w:tc>
      </w:tr>
      <w:tr w:rsidR="002F53B7" w:rsidRPr="00AF32A1" w14:paraId="772A8638" w14:textId="77777777" w:rsidTr="002F53B7">
        <w:trPr>
          <w:trHeight w:val="290"/>
        </w:trPr>
        <w:tc>
          <w:tcPr>
            <w:tcW w:w="976" w:type="dxa"/>
            <w:tcBorders>
              <w:top w:val="nil"/>
              <w:left w:val="nil"/>
              <w:bottom w:val="nil"/>
              <w:right w:val="nil"/>
            </w:tcBorders>
            <w:shd w:val="clear" w:color="auto" w:fill="auto"/>
            <w:noWrap/>
            <w:vAlign w:val="bottom"/>
            <w:hideMark/>
          </w:tcPr>
          <w:p w14:paraId="29BC7F49" w14:textId="77777777" w:rsidR="002F53B7" w:rsidRPr="00AF32A1" w:rsidRDefault="002F53B7" w:rsidP="002F53B7">
            <w:pPr>
              <w:spacing w:after="0" w:line="240" w:lineRule="auto"/>
              <w:rPr>
                <w:rFonts w:ascii="Calibri" w:eastAsia="Times New Roman" w:hAnsi="Calibri" w:cs="Calibri"/>
                <w:color w:val="000000"/>
                <w:sz w:val="22"/>
              </w:rPr>
            </w:pPr>
            <w:r w:rsidRPr="00AF32A1">
              <w:rPr>
                <w:rFonts w:ascii="Calibri" w:eastAsia="Times New Roman" w:hAnsi="Calibri" w:cs="Calibri"/>
                <w:color w:val="000000"/>
                <w:sz w:val="22"/>
              </w:rPr>
              <w:t>1941-48</w:t>
            </w:r>
          </w:p>
        </w:tc>
        <w:tc>
          <w:tcPr>
            <w:tcW w:w="976" w:type="dxa"/>
            <w:tcBorders>
              <w:top w:val="nil"/>
              <w:left w:val="nil"/>
              <w:bottom w:val="nil"/>
              <w:right w:val="nil"/>
            </w:tcBorders>
            <w:shd w:val="clear" w:color="auto" w:fill="auto"/>
            <w:noWrap/>
            <w:vAlign w:val="bottom"/>
            <w:hideMark/>
          </w:tcPr>
          <w:p w14:paraId="3F6BD18F" w14:textId="77777777" w:rsidR="002F53B7" w:rsidRPr="00AF32A1" w:rsidRDefault="002F53B7" w:rsidP="002F53B7">
            <w:pPr>
              <w:spacing w:after="0" w:line="240" w:lineRule="auto"/>
              <w:jc w:val="right"/>
              <w:rPr>
                <w:rFonts w:ascii="Calibri" w:eastAsia="Times New Roman" w:hAnsi="Calibri" w:cs="Calibri"/>
                <w:color w:val="000000"/>
                <w:sz w:val="22"/>
              </w:rPr>
            </w:pPr>
            <w:r w:rsidRPr="00AF32A1">
              <w:rPr>
                <w:rFonts w:ascii="Calibri" w:eastAsia="Times New Roman" w:hAnsi="Calibri" w:cs="Calibri"/>
                <w:color w:val="000000"/>
                <w:sz w:val="22"/>
              </w:rPr>
              <w:t>0.0748</w:t>
            </w:r>
          </w:p>
        </w:tc>
        <w:tc>
          <w:tcPr>
            <w:tcW w:w="976" w:type="dxa"/>
            <w:tcBorders>
              <w:top w:val="nil"/>
              <w:left w:val="nil"/>
              <w:bottom w:val="nil"/>
              <w:right w:val="nil"/>
            </w:tcBorders>
            <w:shd w:val="clear" w:color="auto" w:fill="auto"/>
            <w:noWrap/>
            <w:vAlign w:val="bottom"/>
            <w:hideMark/>
          </w:tcPr>
          <w:p w14:paraId="26534413" w14:textId="77777777" w:rsidR="002F53B7" w:rsidRPr="00AF32A1" w:rsidRDefault="002F53B7" w:rsidP="002F53B7">
            <w:pPr>
              <w:spacing w:after="0" w:line="240" w:lineRule="auto"/>
              <w:jc w:val="right"/>
              <w:rPr>
                <w:rFonts w:ascii="Calibri" w:eastAsia="Times New Roman" w:hAnsi="Calibri" w:cs="Calibri"/>
                <w:color w:val="000000"/>
                <w:sz w:val="22"/>
              </w:rPr>
            </w:pPr>
            <w:r w:rsidRPr="00AF32A1">
              <w:rPr>
                <w:rFonts w:ascii="Calibri" w:eastAsia="Times New Roman" w:hAnsi="Calibri" w:cs="Calibri"/>
                <w:color w:val="000000"/>
                <w:sz w:val="22"/>
              </w:rPr>
              <w:t>0.0212</w:t>
            </w:r>
          </w:p>
        </w:tc>
        <w:tc>
          <w:tcPr>
            <w:tcW w:w="976" w:type="dxa"/>
            <w:tcBorders>
              <w:top w:val="nil"/>
              <w:left w:val="nil"/>
              <w:bottom w:val="nil"/>
              <w:right w:val="nil"/>
            </w:tcBorders>
            <w:shd w:val="clear" w:color="auto" w:fill="auto"/>
            <w:noWrap/>
            <w:vAlign w:val="bottom"/>
            <w:hideMark/>
          </w:tcPr>
          <w:p w14:paraId="636760AC" w14:textId="77777777" w:rsidR="002F53B7" w:rsidRPr="00AF32A1" w:rsidRDefault="002F53B7" w:rsidP="002F53B7">
            <w:pPr>
              <w:spacing w:after="0" w:line="240" w:lineRule="auto"/>
              <w:jc w:val="right"/>
              <w:rPr>
                <w:rFonts w:ascii="Calibri" w:eastAsia="Times New Roman" w:hAnsi="Calibri" w:cs="Calibri"/>
                <w:color w:val="000000"/>
                <w:sz w:val="22"/>
              </w:rPr>
            </w:pPr>
            <w:r w:rsidRPr="00AF32A1">
              <w:rPr>
                <w:rFonts w:ascii="Calibri" w:eastAsia="Times New Roman" w:hAnsi="Calibri" w:cs="Calibri"/>
                <w:color w:val="000000"/>
                <w:sz w:val="22"/>
              </w:rPr>
              <w:t>0.0108</w:t>
            </w:r>
          </w:p>
        </w:tc>
        <w:tc>
          <w:tcPr>
            <w:tcW w:w="976" w:type="dxa"/>
            <w:tcBorders>
              <w:top w:val="nil"/>
              <w:left w:val="nil"/>
              <w:bottom w:val="nil"/>
              <w:right w:val="nil"/>
            </w:tcBorders>
            <w:shd w:val="clear" w:color="auto" w:fill="auto"/>
            <w:noWrap/>
            <w:vAlign w:val="bottom"/>
            <w:hideMark/>
          </w:tcPr>
          <w:p w14:paraId="0FF4832D" w14:textId="77777777" w:rsidR="002F53B7" w:rsidRPr="00AF32A1" w:rsidRDefault="002F53B7" w:rsidP="002F53B7">
            <w:pPr>
              <w:spacing w:after="0" w:line="240" w:lineRule="auto"/>
              <w:jc w:val="right"/>
              <w:rPr>
                <w:rFonts w:ascii="Calibri" w:eastAsia="Times New Roman" w:hAnsi="Calibri" w:cs="Calibri"/>
                <w:color w:val="000000"/>
                <w:sz w:val="22"/>
              </w:rPr>
            </w:pPr>
            <w:r w:rsidRPr="00AF32A1">
              <w:rPr>
                <w:rFonts w:ascii="Calibri" w:eastAsia="Times New Roman" w:hAnsi="Calibri" w:cs="Calibri"/>
                <w:color w:val="000000"/>
                <w:sz w:val="22"/>
              </w:rPr>
              <w:t>0.0536</w:t>
            </w:r>
          </w:p>
        </w:tc>
        <w:tc>
          <w:tcPr>
            <w:tcW w:w="976" w:type="dxa"/>
            <w:tcBorders>
              <w:top w:val="nil"/>
              <w:left w:val="nil"/>
              <w:bottom w:val="nil"/>
              <w:right w:val="nil"/>
            </w:tcBorders>
            <w:shd w:val="clear" w:color="auto" w:fill="auto"/>
            <w:noWrap/>
            <w:vAlign w:val="bottom"/>
            <w:hideMark/>
          </w:tcPr>
          <w:p w14:paraId="3258FCE9" w14:textId="77777777" w:rsidR="002F53B7" w:rsidRPr="00FA6DE8" w:rsidRDefault="002F53B7" w:rsidP="002F53B7">
            <w:pPr>
              <w:spacing w:after="0" w:line="240" w:lineRule="auto"/>
              <w:jc w:val="right"/>
              <w:rPr>
                <w:rFonts w:ascii="Calibri" w:eastAsia="Times New Roman" w:hAnsi="Calibri" w:cs="Calibri"/>
                <w:b/>
                <w:color w:val="000000"/>
                <w:sz w:val="22"/>
              </w:rPr>
            </w:pPr>
            <w:r w:rsidRPr="00FA6DE8">
              <w:rPr>
                <w:rFonts w:ascii="Calibri" w:eastAsia="Times New Roman" w:hAnsi="Calibri" w:cs="Calibri"/>
                <w:b/>
                <w:color w:val="000000"/>
                <w:sz w:val="22"/>
              </w:rPr>
              <w:t>0.0587</w:t>
            </w:r>
          </w:p>
        </w:tc>
        <w:tc>
          <w:tcPr>
            <w:tcW w:w="976" w:type="dxa"/>
            <w:tcBorders>
              <w:top w:val="nil"/>
              <w:left w:val="nil"/>
              <w:bottom w:val="nil"/>
              <w:right w:val="nil"/>
            </w:tcBorders>
            <w:shd w:val="clear" w:color="auto" w:fill="auto"/>
            <w:noWrap/>
            <w:vAlign w:val="bottom"/>
            <w:hideMark/>
          </w:tcPr>
          <w:p w14:paraId="1AEB4CE4" w14:textId="77777777" w:rsidR="002F53B7" w:rsidRPr="00AF32A1" w:rsidRDefault="002F53B7" w:rsidP="002F53B7">
            <w:pPr>
              <w:spacing w:after="0" w:line="240" w:lineRule="auto"/>
              <w:jc w:val="right"/>
              <w:rPr>
                <w:rFonts w:ascii="Calibri" w:eastAsia="Times New Roman" w:hAnsi="Calibri" w:cs="Calibri"/>
                <w:color w:val="000000"/>
                <w:sz w:val="22"/>
              </w:rPr>
            </w:pPr>
          </w:p>
        </w:tc>
        <w:tc>
          <w:tcPr>
            <w:tcW w:w="1952" w:type="dxa"/>
            <w:gridSpan w:val="2"/>
            <w:tcBorders>
              <w:top w:val="nil"/>
              <w:left w:val="nil"/>
              <w:bottom w:val="nil"/>
              <w:right w:val="nil"/>
            </w:tcBorders>
            <w:shd w:val="clear" w:color="auto" w:fill="auto"/>
            <w:noWrap/>
            <w:vAlign w:val="bottom"/>
            <w:hideMark/>
          </w:tcPr>
          <w:p w14:paraId="4FF17CED" w14:textId="77777777" w:rsidR="002F53B7" w:rsidRPr="00AF32A1" w:rsidRDefault="002F53B7" w:rsidP="002F53B7">
            <w:pPr>
              <w:spacing w:after="0" w:line="240" w:lineRule="auto"/>
              <w:rPr>
                <w:rFonts w:ascii="Calibri" w:eastAsia="Times New Roman" w:hAnsi="Calibri" w:cs="Calibri"/>
                <w:color w:val="000000"/>
                <w:sz w:val="22"/>
              </w:rPr>
            </w:pPr>
            <w:r w:rsidRPr="00AF32A1">
              <w:rPr>
                <w:rFonts w:ascii="Calibri" w:eastAsia="Times New Roman" w:hAnsi="Calibri" w:cs="Calibri"/>
                <w:color w:val="000000"/>
                <w:sz w:val="22"/>
              </w:rPr>
              <w:t>Natural Gas</w:t>
            </w:r>
          </w:p>
        </w:tc>
        <w:tc>
          <w:tcPr>
            <w:tcW w:w="976" w:type="dxa"/>
            <w:tcBorders>
              <w:top w:val="nil"/>
              <w:left w:val="nil"/>
              <w:bottom w:val="nil"/>
              <w:right w:val="nil"/>
            </w:tcBorders>
            <w:shd w:val="clear" w:color="auto" w:fill="auto"/>
            <w:noWrap/>
            <w:vAlign w:val="bottom"/>
            <w:hideMark/>
          </w:tcPr>
          <w:p w14:paraId="7E526F7A" w14:textId="77777777" w:rsidR="002F53B7" w:rsidRPr="00AF32A1" w:rsidRDefault="002F53B7" w:rsidP="002F53B7">
            <w:pPr>
              <w:spacing w:after="0" w:line="240" w:lineRule="auto"/>
              <w:jc w:val="right"/>
              <w:rPr>
                <w:rFonts w:ascii="Calibri" w:eastAsia="Times New Roman" w:hAnsi="Calibri" w:cs="Calibri"/>
                <w:color w:val="000000"/>
                <w:sz w:val="22"/>
              </w:rPr>
            </w:pPr>
            <w:r w:rsidRPr="00AF32A1">
              <w:rPr>
                <w:rFonts w:ascii="Calibri" w:eastAsia="Times New Roman" w:hAnsi="Calibri" w:cs="Calibri"/>
                <w:color w:val="000000"/>
                <w:sz w:val="22"/>
              </w:rPr>
              <w:t>231</w:t>
            </w:r>
          </w:p>
        </w:tc>
        <w:tc>
          <w:tcPr>
            <w:tcW w:w="976" w:type="dxa"/>
            <w:tcBorders>
              <w:top w:val="nil"/>
              <w:left w:val="nil"/>
              <w:bottom w:val="nil"/>
              <w:right w:val="nil"/>
            </w:tcBorders>
            <w:shd w:val="clear" w:color="auto" w:fill="auto"/>
            <w:noWrap/>
            <w:vAlign w:val="bottom"/>
            <w:hideMark/>
          </w:tcPr>
          <w:p w14:paraId="3B8BA44A" w14:textId="77777777" w:rsidR="002F53B7" w:rsidRPr="00AF32A1" w:rsidRDefault="002F53B7" w:rsidP="002F53B7">
            <w:pPr>
              <w:spacing w:after="0" w:line="240" w:lineRule="auto"/>
              <w:jc w:val="right"/>
              <w:rPr>
                <w:rFonts w:ascii="Calibri" w:eastAsia="Times New Roman" w:hAnsi="Calibri" w:cs="Calibri"/>
                <w:color w:val="000000"/>
                <w:sz w:val="22"/>
              </w:rPr>
            </w:pPr>
          </w:p>
        </w:tc>
      </w:tr>
      <w:tr w:rsidR="002F53B7" w:rsidRPr="00AF32A1" w14:paraId="3FD72076" w14:textId="77777777" w:rsidTr="002F53B7">
        <w:trPr>
          <w:trHeight w:val="290"/>
        </w:trPr>
        <w:tc>
          <w:tcPr>
            <w:tcW w:w="976" w:type="dxa"/>
            <w:tcBorders>
              <w:top w:val="nil"/>
              <w:left w:val="nil"/>
              <w:bottom w:val="nil"/>
              <w:right w:val="nil"/>
            </w:tcBorders>
            <w:shd w:val="clear" w:color="auto" w:fill="auto"/>
            <w:noWrap/>
            <w:vAlign w:val="bottom"/>
            <w:hideMark/>
          </w:tcPr>
          <w:p w14:paraId="356BFC4B"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0ABA9D18"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4295F03"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22EBFE5"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6848ACF"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5CE0023"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AE82FDC" w14:textId="77777777" w:rsidR="002F53B7" w:rsidRPr="00AF32A1" w:rsidRDefault="002F53B7" w:rsidP="002F53B7">
            <w:pPr>
              <w:spacing w:after="0" w:line="240" w:lineRule="auto"/>
              <w:rPr>
                <w:rFonts w:eastAsia="Times New Roman" w:cs="Times New Roman"/>
                <w:sz w:val="20"/>
                <w:szCs w:val="20"/>
              </w:rPr>
            </w:pPr>
          </w:p>
        </w:tc>
        <w:tc>
          <w:tcPr>
            <w:tcW w:w="1952" w:type="dxa"/>
            <w:gridSpan w:val="2"/>
            <w:tcBorders>
              <w:top w:val="nil"/>
              <w:left w:val="nil"/>
              <w:bottom w:val="nil"/>
              <w:right w:val="nil"/>
            </w:tcBorders>
            <w:shd w:val="clear" w:color="auto" w:fill="auto"/>
            <w:noWrap/>
            <w:vAlign w:val="bottom"/>
            <w:hideMark/>
          </w:tcPr>
          <w:p w14:paraId="2880C90A" w14:textId="77777777" w:rsidR="002F53B7" w:rsidRPr="00AF32A1" w:rsidRDefault="002F53B7" w:rsidP="002F53B7">
            <w:pPr>
              <w:spacing w:after="0" w:line="240" w:lineRule="auto"/>
              <w:rPr>
                <w:rFonts w:ascii="Calibri" w:eastAsia="Times New Roman" w:hAnsi="Calibri" w:cs="Calibri"/>
                <w:color w:val="000000"/>
                <w:sz w:val="22"/>
              </w:rPr>
            </w:pPr>
            <w:r w:rsidRPr="00AF32A1">
              <w:rPr>
                <w:rFonts w:ascii="Calibri" w:eastAsia="Times New Roman" w:hAnsi="Calibri" w:cs="Calibri"/>
                <w:color w:val="000000"/>
                <w:sz w:val="22"/>
              </w:rPr>
              <w:t>Manufactured Gas</w:t>
            </w:r>
          </w:p>
        </w:tc>
        <w:tc>
          <w:tcPr>
            <w:tcW w:w="976" w:type="dxa"/>
            <w:tcBorders>
              <w:top w:val="nil"/>
              <w:left w:val="nil"/>
              <w:bottom w:val="nil"/>
              <w:right w:val="nil"/>
            </w:tcBorders>
            <w:shd w:val="clear" w:color="auto" w:fill="auto"/>
            <w:noWrap/>
            <w:vAlign w:val="bottom"/>
            <w:hideMark/>
          </w:tcPr>
          <w:p w14:paraId="6FAD4E5C" w14:textId="77777777" w:rsidR="002F53B7" w:rsidRPr="00AF32A1" w:rsidRDefault="002F53B7" w:rsidP="002F53B7">
            <w:pPr>
              <w:spacing w:after="0" w:line="240" w:lineRule="auto"/>
              <w:jc w:val="right"/>
              <w:rPr>
                <w:rFonts w:ascii="Calibri" w:eastAsia="Times New Roman" w:hAnsi="Calibri" w:cs="Calibri"/>
                <w:color w:val="000000"/>
                <w:sz w:val="22"/>
              </w:rPr>
            </w:pPr>
            <w:r w:rsidRPr="00AF32A1">
              <w:rPr>
                <w:rFonts w:ascii="Calibri" w:eastAsia="Times New Roman" w:hAnsi="Calibri" w:cs="Calibri"/>
                <w:color w:val="000000"/>
                <w:sz w:val="22"/>
              </w:rPr>
              <w:t>172</w:t>
            </w:r>
          </w:p>
        </w:tc>
        <w:tc>
          <w:tcPr>
            <w:tcW w:w="976" w:type="dxa"/>
            <w:tcBorders>
              <w:top w:val="nil"/>
              <w:left w:val="nil"/>
              <w:bottom w:val="nil"/>
              <w:right w:val="nil"/>
            </w:tcBorders>
            <w:shd w:val="clear" w:color="auto" w:fill="auto"/>
            <w:noWrap/>
            <w:vAlign w:val="bottom"/>
            <w:hideMark/>
          </w:tcPr>
          <w:p w14:paraId="66A4156F" w14:textId="77777777" w:rsidR="002F53B7" w:rsidRPr="00AF32A1" w:rsidRDefault="002F53B7" w:rsidP="002F53B7">
            <w:pPr>
              <w:spacing w:after="0" w:line="240" w:lineRule="auto"/>
              <w:jc w:val="right"/>
              <w:rPr>
                <w:rFonts w:ascii="Calibri" w:eastAsia="Times New Roman" w:hAnsi="Calibri" w:cs="Calibri"/>
                <w:color w:val="000000"/>
                <w:sz w:val="22"/>
              </w:rPr>
            </w:pPr>
          </w:p>
        </w:tc>
      </w:tr>
      <w:tr w:rsidR="002F53B7" w:rsidRPr="00AF32A1" w14:paraId="614D8370" w14:textId="77777777" w:rsidTr="002F53B7">
        <w:trPr>
          <w:trHeight w:val="290"/>
        </w:trPr>
        <w:tc>
          <w:tcPr>
            <w:tcW w:w="976" w:type="dxa"/>
            <w:tcBorders>
              <w:top w:val="nil"/>
              <w:left w:val="nil"/>
              <w:bottom w:val="nil"/>
              <w:right w:val="nil"/>
            </w:tcBorders>
            <w:shd w:val="clear" w:color="auto" w:fill="auto"/>
            <w:noWrap/>
            <w:vAlign w:val="bottom"/>
            <w:hideMark/>
          </w:tcPr>
          <w:p w14:paraId="3B05203D"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EB2A80A"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6E56658"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994083A"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F0C4CC5"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5EA0824"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E474078"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E810AF0"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78DA71A"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0506B7C"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838421F" w14:textId="77777777" w:rsidR="002F53B7" w:rsidRPr="00AF32A1" w:rsidRDefault="002F53B7" w:rsidP="002F53B7">
            <w:pPr>
              <w:spacing w:after="0" w:line="240" w:lineRule="auto"/>
              <w:rPr>
                <w:rFonts w:eastAsia="Times New Roman" w:cs="Times New Roman"/>
                <w:sz w:val="20"/>
                <w:szCs w:val="20"/>
              </w:rPr>
            </w:pPr>
          </w:p>
        </w:tc>
      </w:tr>
      <w:tr w:rsidR="002F53B7" w:rsidRPr="00AF32A1" w14:paraId="66A68A7C" w14:textId="77777777" w:rsidTr="002F53B7">
        <w:trPr>
          <w:trHeight w:val="290"/>
        </w:trPr>
        <w:tc>
          <w:tcPr>
            <w:tcW w:w="976" w:type="dxa"/>
            <w:tcBorders>
              <w:top w:val="nil"/>
              <w:left w:val="nil"/>
              <w:bottom w:val="nil"/>
              <w:right w:val="nil"/>
            </w:tcBorders>
            <w:shd w:val="clear" w:color="auto" w:fill="auto"/>
            <w:noWrap/>
            <w:vAlign w:val="bottom"/>
            <w:hideMark/>
          </w:tcPr>
          <w:p w14:paraId="75B85A44"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C6BE933" w14:textId="77777777" w:rsidR="002F53B7" w:rsidRPr="00AF32A1" w:rsidRDefault="002F53B7" w:rsidP="002F53B7">
            <w:pPr>
              <w:spacing w:after="0" w:line="240" w:lineRule="auto"/>
              <w:rPr>
                <w:rFonts w:eastAsia="Times New Roman" w:cs="Times New Roman"/>
                <w:sz w:val="20"/>
                <w:szCs w:val="20"/>
              </w:rPr>
            </w:pPr>
          </w:p>
        </w:tc>
        <w:tc>
          <w:tcPr>
            <w:tcW w:w="1952" w:type="dxa"/>
            <w:gridSpan w:val="2"/>
            <w:tcBorders>
              <w:top w:val="nil"/>
              <w:left w:val="nil"/>
              <w:bottom w:val="nil"/>
              <w:right w:val="nil"/>
            </w:tcBorders>
            <w:shd w:val="clear" w:color="auto" w:fill="auto"/>
            <w:noWrap/>
            <w:vAlign w:val="bottom"/>
            <w:hideMark/>
          </w:tcPr>
          <w:p w14:paraId="12DE252B" w14:textId="77777777" w:rsidR="002F53B7" w:rsidRPr="00AF32A1" w:rsidRDefault="002F53B7" w:rsidP="002F53B7">
            <w:pPr>
              <w:spacing w:after="0" w:line="240" w:lineRule="auto"/>
              <w:rPr>
                <w:rFonts w:ascii="Calibri" w:eastAsia="Times New Roman" w:hAnsi="Calibri" w:cs="Calibri"/>
                <w:color w:val="000000"/>
                <w:sz w:val="22"/>
              </w:rPr>
            </w:pPr>
            <w:r w:rsidRPr="00AF32A1">
              <w:rPr>
                <w:rFonts w:ascii="Calibri" w:eastAsia="Times New Roman" w:hAnsi="Calibri" w:cs="Calibri"/>
                <w:color w:val="000000"/>
                <w:sz w:val="22"/>
              </w:rPr>
              <w:t>Natural Gas</w:t>
            </w:r>
          </w:p>
        </w:tc>
        <w:tc>
          <w:tcPr>
            <w:tcW w:w="976" w:type="dxa"/>
            <w:tcBorders>
              <w:top w:val="nil"/>
              <w:left w:val="nil"/>
              <w:bottom w:val="nil"/>
              <w:right w:val="nil"/>
            </w:tcBorders>
            <w:shd w:val="clear" w:color="auto" w:fill="auto"/>
            <w:noWrap/>
            <w:vAlign w:val="bottom"/>
            <w:hideMark/>
          </w:tcPr>
          <w:p w14:paraId="6F449BB7" w14:textId="77777777" w:rsidR="002F53B7" w:rsidRPr="00AF32A1" w:rsidRDefault="002F53B7" w:rsidP="002F53B7">
            <w:pPr>
              <w:spacing w:after="0" w:line="240" w:lineRule="auto"/>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3616A50E"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DC6E161"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1C1112A"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6BC6AAD"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5553069"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02F0383" w14:textId="77777777" w:rsidR="002F53B7" w:rsidRPr="00AF32A1" w:rsidRDefault="002F53B7" w:rsidP="002F53B7">
            <w:pPr>
              <w:spacing w:after="0" w:line="240" w:lineRule="auto"/>
              <w:rPr>
                <w:rFonts w:eastAsia="Times New Roman" w:cs="Times New Roman"/>
                <w:sz w:val="20"/>
                <w:szCs w:val="20"/>
              </w:rPr>
            </w:pPr>
          </w:p>
        </w:tc>
      </w:tr>
      <w:tr w:rsidR="002F53B7" w:rsidRPr="00AF32A1" w14:paraId="7517DBC5" w14:textId="77777777" w:rsidTr="002F53B7">
        <w:trPr>
          <w:trHeight w:val="290"/>
        </w:trPr>
        <w:tc>
          <w:tcPr>
            <w:tcW w:w="976" w:type="dxa"/>
            <w:tcBorders>
              <w:top w:val="nil"/>
              <w:left w:val="nil"/>
              <w:bottom w:val="nil"/>
              <w:right w:val="nil"/>
            </w:tcBorders>
            <w:shd w:val="clear" w:color="auto" w:fill="auto"/>
            <w:noWrap/>
            <w:vAlign w:val="bottom"/>
            <w:hideMark/>
          </w:tcPr>
          <w:p w14:paraId="1E1BA558"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5A2E2D5"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4E4D241"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0962EF65"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38698D5"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DA2047C"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B92F278" w14:textId="77777777" w:rsidR="002F53B7" w:rsidRPr="00AF32A1" w:rsidRDefault="002F53B7" w:rsidP="002F53B7">
            <w:pPr>
              <w:spacing w:after="0" w:line="240" w:lineRule="auto"/>
              <w:rPr>
                <w:rFonts w:eastAsia="Times New Roman" w:cs="Times New Roman"/>
                <w:sz w:val="20"/>
                <w:szCs w:val="20"/>
              </w:rPr>
            </w:pPr>
          </w:p>
        </w:tc>
        <w:tc>
          <w:tcPr>
            <w:tcW w:w="1952" w:type="dxa"/>
            <w:gridSpan w:val="2"/>
            <w:tcBorders>
              <w:top w:val="nil"/>
              <w:left w:val="nil"/>
              <w:bottom w:val="nil"/>
              <w:right w:val="nil"/>
            </w:tcBorders>
            <w:shd w:val="clear" w:color="auto" w:fill="auto"/>
            <w:noWrap/>
            <w:vAlign w:val="bottom"/>
            <w:hideMark/>
          </w:tcPr>
          <w:p w14:paraId="2F6CD53D" w14:textId="77777777" w:rsidR="002F53B7" w:rsidRPr="00AF32A1" w:rsidRDefault="002F53B7" w:rsidP="002F53B7">
            <w:pPr>
              <w:spacing w:after="0" w:line="240" w:lineRule="auto"/>
              <w:rPr>
                <w:rFonts w:ascii="Calibri" w:eastAsia="Times New Roman" w:hAnsi="Calibri" w:cs="Calibri"/>
                <w:color w:val="000000"/>
                <w:sz w:val="22"/>
              </w:rPr>
            </w:pPr>
            <w:r w:rsidRPr="00AF32A1">
              <w:rPr>
                <w:rFonts w:ascii="Calibri" w:eastAsia="Times New Roman" w:hAnsi="Calibri" w:cs="Calibri"/>
                <w:color w:val="000000"/>
                <w:sz w:val="22"/>
              </w:rPr>
              <w:t>Electric share</w:t>
            </w:r>
          </w:p>
        </w:tc>
        <w:tc>
          <w:tcPr>
            <w:tcW w:w="976" w:type="dxa"/>
            <w:tcBorders>
              <w:top w:val="nil"/>
              <w:left w:val="nil"/>
              <w:bottom w:val="nil"/>
              <w:right w:val="nil"/>
            </w:tcBorders>
            <w:shd w:val="clear" w:color="auto" w:fill="auto"/>
            <w:noWrap/>
            <w:vAlign w:val="bottom"/>
            <w:hideMark/>
          </w:tcPr>
          <w:p w14:paraId="7D3D515C" w14:textId="77777777" w:rsidR="002F53B7" w:rsidRPr="00AF32A1" w:rsidRDefault="002F53B7" w:rsidP="002F53B7">
            <w:pPr>
              <w:spacing w:after="0" w:line="240" w:lineRule="auto"/>
              <w:jc w:val="right"/>
              <w:rPr>
                <w:rFonts w:ascii="Calibri" w:eastAsia="Times New Roman" w:hAnsi="Calibri" w:cs="Calibri"/>
                <w:color w:val="000000"/>
                <w:sz w:val="22"/>
              </w:rPr>
            </w:pPr>
            <w:r w:rsidRPr="00AF32A1">
              <w:rPr>
                <w:rFonts w:ascii="Calibri" w:eastAsia="Times New Roman" w:hAnsi="Calibri" w:cs="Calibri"/>
                <w:color w:val="000000"/>
                <w:sz w:val="22"/>
              </w:rPr>
              <w:t>0.6523</w:t>
            </w:r>
          </w:p>
        </w:tc>
        <w:tc>
          <w:tcPr>
            <w:tcW w:w="976" w:type="dxa"/>
            <w:tcBorders>
              <w:top w:val="nil"/>
              <w:left w:val="nil"/>
              <w:bottom w:val="nil"/>
              <w:right w:val="nil"/>
            </w:tcBorders>
            <w:shd w:val="clear" w:color="auto" w:fill="auto"/>
            <w:noWrap/>
            <w:vAlign w:val="bottom"/>
            <w:hideMark/>
          </w:tcPr>
          <w:p w14:paraId="34672C36" w14:textId="77777777" w:rsidR="002F53B7" w:rsidRPr="00AF32A1" w:rsidRDefault="002F53B7" w:rsidP="002F53B7">
            <w:pPr>
              <w:spacing w:after="0" w:line="240" w:lineRule="auto"/>
              <w:jc w:val="right"/>
              <w:rPr>
                <w:rFonts w:ascii="Calibri" w:eastAsia="Times New Roman" w:hAnsi="Calibri" w:cs="Calibri"/>
                <w:color w:val="000000"/>
                <w:sz w:val="22"/>
              </w:rPr>
            </w:pPr>
          </w:p>
        </w:tc>
      </w:tr>
      <w:tr w:rsidR="002F53B7" w:rsidRPr="00AF32A1" w14:paraId="5C08E936" w14:textId="77777777" w:rsidTr="002F53B7">
        <w:trPr>
          <w:trHeight w:val="290"/>
        </w:trPr>
        <w:tc>
          <w:tcPr>
            <w:tcW w:w="976" w:type="dxa"/>
            <w:tcBorders>
              <w:top w:val="nil"/>
              <w:left w:val="nil"/>
              <w:bottom w:val="nil"/>
              <w:right w:val="nil"/>
            </w:tcBorders>
            <w:shd w:val="clear" w:color="auto" w:fill="auto"/>
            <w:noWrap/>
            <w:vAlign w:val="bottom"/>
            <w:hideMark/>
          </w:tcPr>
          <w:p w14:paraId="2F5711B3"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A4EC0B1" w14:textId="77777777" w:rsidR="002F53B7" w:rsidRPr="00AF32A1" w:rsidRDefault="002F53B7" w:rsidP="002F53B7">
            <w:pPr>
              <w:spacing w:after="0" w:line="240" w:lineRule="auto"/>
              <w:jc w:val="center"/>
              <w:rPr>
                <w:rFonts w:ascii="Calibri" w:eastAsia="Times New Roman" w:hAnsi="Calibri" w:cs="Calibri"/>
                <w:color w:val="000000"/>
                <w:sz w:val="22"/>
              </w:rPr>
            </w:pPr>
            <w:r w:rsidRPr="00AF32A1">
              <w:rPr>
                <w:rFonts w:ascii="Calibri" w:eastAsia="Times New Roman" w:hAnsi="Calibri" w:cs="Calibri"/>
                <w:color w:val="000000"/>
                <w:sz w:val="22"/>
              </w:rPr>
              <w:t>Output</w:t>
            </w:r>
          </w:p>
        </w:tc>
        <w:tc>
          <w:tcPr>
            <w:tcW w:w="976" w:type="dxa"/>
            <w:tcBorders>
              <w:top w:val="nil"/>
              <w:left w:val="nil"/>
              <w:bottom w:val="nil"/>
              <w:right w:val="nil"/>
            </w:tcBorders>
            <w:shd w:val="clear" w:color="auto" w:fill="auto"/>
            <w:noWrap/>
            <w:vAlign w:val="bottom"/>
            <w:hideMark/>
          </w:tcPr>
          <w:p w14:paraId="7A4316C5" w14:textId="77777777" w:rsidR="002F53B7" w:rsidRPr="00AF32A1" w:rsidRDefault="002F53B7" w:rsidP="002F53B7">
            <w:pPr>
              <w:spacing w:after="0" w:line="240" w:lineRule="auto"/>
              <w:jc w:val="center"/>
              <w:rPr>
                <w:rFonts w:ascii="Calibri" w:eastAsia="Times New Roman" w:hAnsi="Calibri" w:cs="Calibri"/>
                <w:color w:val="000000"/>
                <w:sz w:val="22"/>
              </w:rPr>
            </w:pPr>
            <w:r w:rsidRPr="00AF32A1">
              <w:rPr>
                <w:rFonts w:ascii="Calibri" w:eastAsia="Times New Roman" w:hAnsi="Calibri" w:cs="Calibri"/>
                <w:color w:val="000000"/>
                <w:sz w:val="22"/>
              </w:rPr>
              <w:t>Hours</w:t>
            </w:r>
          </w:p>
        </w:tc>
        <w:tc>
          <w:tcPr>
            <w:tcW w:w="976" w:type="dxa"/>
            <w:tcBorders>
              <w:top w:val="nil"/>
              <w:left w:val="nil"/>
              <w:bottom w:val="nil"/>
              <w:right w:val="nil"/>
            </w:tcBorders>
            <w:shd w:val="clear" w:color="auto" w:fill="auto"/>
            <w:noWrap/>
            <w:vAlign w:val="bottom"/>
            <w:hideMark/>
          </w:tcPr>
          <w:p w14:paraId="7ACD86EA" w14:textId="77777777" w:rsidR="002F53B7" w:rsidRPr="00AF32A1" w:rsidRDefault="002F53B7" w:rsidP="002F53B7">
            <w:pPr>
              <w:spacing w:after="0" w:line="240" w:lineRule="auto"/>
              <w:jc w:val="center"/>
              <w:rPr>
                <w:rFonts w:ascii="Calibri" w:eastAsia="Times New Roman" w:hAnsi="Calibri" w:cs="Calibri"/>
                <w:color w:val="000000"/>
                <w:sz w:val="22"/>
              </w:rPr>
            </w:pPr>
            <w:r w:rsidRPr="00AF32A1">
              <w:rPr>
                <w:rFonts w:ascii="Calibri" w:eastAsia="Times New Roman" w:hAnsi="Calibri" w:cs="Calibri"/>
                <w:color w:val="000000"/>
                <w:sz w:val="22"/>
              </w:rPr>
              <w:t>Capital</w:t>
            </w:r>
          </w:p>
        </w:tc>
        <w:tc>
          <w:tcPr>
            <w:tcW w:w="976" w:type="dxa"/>
            <w:tcBorders>
              <w:top w:val="nil"/>
              <w:left w:val="nil"/>
              <w:bottom w:val="nil"/>
              <w:right w:val="nil"/>
            </w:tcBorders>
            <w:shd w:val="clear" w:color="auto" w:fill="auto"/>
            <w:noWrap/>
            <w:vAlign w:val="bottom"/>
            <w:hideMark/>
          </w:tcPr>
          <w:p w14:paraId="39BDA8E2" w14:textId="77777777" w:rsidR="002F53B7" w:rsidRPr="00AF32A1" w:rsidRDefault="002F53B7" w:rsidP="002F53B7">
            <w:pPr>
              <w:spacing w:after="0" w:line="240" w:lineRule="auto"/>
              <w:jc w:val="center"/>
              <w:rPr>
                <w:rFonts w:ascii="Calibri" w:eastAsia="Times New Roman" w:hAnsi="Calibri" w:cs="Calibri"/>
                <w:color w:val="000000"/>
                <w:sz w:val="22"/>
              </w:rPr>
            </w:pPr>
            <w:r w:rsidRPr="00AF32A1">
              <w:rPr>
                <w:rFonts w:ascii="Calibri" w:eastAsia="Times New Roman" w:hAnsi="Calibri" w:cs="Calibri"/>
                <w:color w:val="000000"/>
                <w:sz w:val="22"/>
              </w:rPr>
              <w:t>LP</w:t>
            </w:r>
          </w:p>
        </w:tc>
        <w:tc>
          <w:tcPr>
            <w:tcW w:w="976" w:type="dxa"/>
            <w:tcBorders>
              <w:top w:val="nil"/>
              <w:left w:val="nil"/>
              <w:bottom w:val="nil"/>
              <w:right w:val="nil"/>
            </w:tcBorders>
            <w:shd w:val="clear" w:color="auto" w:fill="auto"/>
            <w:noWrap/>
            <w:vAlign w:val="bottom"/>
            <w:hideMark/>
          </w:tcPr>
          <w:p w14:paraId="3C04B2E7" w14:textId="77777777" w:rsidR="002F53B7" w:rsidRPr="00AF32A1" w:rsidRDefault="002F53B7" w:rsidP="002F53B7">
            <w:pPr>
              <w:spacing w:after="0" w:line="240" w:lineRule="auto"/>
              <w:jc w:val="center"/>
              <w:rPr>
                <w:rFonts w:ascii="Calibri" w:eastAsia="Times New Roman" w:hAnsi="Calibri" w:cs="Calibri"/>
                <w:color w:val="000000"/>
                <w:sz w:val="22"/>
              </w:rPr>
            </w:pPr>
            <w:r w:rsidRPr="00AF32A1">
              <w:rPr>
                <w:rFonts w:ascii="Calibri" w:eastAsia="Times New Roman" w:hAnsi="Calibri" w:cs="Calibri"/>
                <w:color w:val="000000"/>
                <w:sz w:val="22"/>
              </w:rPr>
              <w:t>TFP</w:t>
            </w:r>
          </w:p>
        </w:tc>
        <w:tc>
          <w:tcPr>
            <w:tcW w:w="976" w:type="dxa"/>
            <w:tcBorders>
              <w:top w:val="nil"/>
              <w:left w:val="nil"/>
              <w:bottom w:val="nil"/>
              <w:right w:val="nil"/>
            </w:tcBorders>
            <w:shd w:val="clear" w:color="auto" w:fill="auto"/>
            <w:noWrap/>
            <w:vAlign w:val="bottom"/>
            <w:hideMark/>
          </w:tcPr>
          <w:p w14:paraId="1B5028BA" w14:textId="77777777" w:rsidR="002F53B7" w:rsidRPr="00AF32A1" w:rsidRDefault="002F53B7" w:rsidP="002F53B7">
            <w:pPr>
              <w:spacing w:after="0" w:line="240" w:lineRule="auto"/>
              <w:jc w:val="center"/>
              <w:rPr>
                <w:rFonts w:ascii="Calibri" w:eastAsia="Times New Roman" w:hAnsi="Calibri" w:cs="Calibri"/>
                <w:color w:val="000000"/>
                <w:sz w:val="22"/>
              </w:rPr>
            </w:pPr>
          </w:p>
        </w:tc>
        <w:tc>
          <w:tcPr>
            <w:tcW w:w="1952" w:type="dxa"/>
            <w:gridSpan w:val="2"/>
            <w:tcBorders>
              <w:top w:val="nil"/>
              <w:left w:val="nil"/>
              <w:bottom w:val="nil"/>
              <w:right w:val="nil"/>
            </w:tcBorders>
            <w:shd w:val="clear" w:color="auto" w:fill="auto"/>
            <w:noWrap/>
            <w:vAlign w:val="bottom"/>
            <w:hideMark/>
          </w:tcPr>
          <w:p w14:paraId="6D37351E" w14:textId="77777777" w:rsidR="002F53B7" w:rsidRPr="00AF32A1" w:rsidRDefault="002F53B7" w:rsidP="002F53B7">
            <w:pPr>
              <w:spacing w:after="0" w:line="240" w:lineRule="auto"/>
              <w:rPr>
                <w:rFonts w:ascii="Calibri" w:eastAsia="Times New Roman" w:hAnsi="Calibri" w:cs="Calibri"/>
                <w:color w:val="000000"/>
                <w:sz w:val="22"/>
              </w:rPr>
            </w:pPr>
            <w:r w:rsidRPr="00AF32A1">
              <w:rPr>
                <w:rFonts w:ascii="Calibri" w:eastAsia="Times New Roman" w:hAnsi="Calibri" w:cs="Calibri"/>
                <w:color w:val="000000"/>
                <w:sz w:val="22"/>
              </w:rPr>
              <w:t>Gas Share</w:t>
            </w:r>
          </w:p>
        </w:tc>
        <w:tc>
          <w:tcPr>
            <w:tcW w:w="976" w:type="dxa"/>
            <w:tcBorders>
              <w:top w:val="nil"/>
              <w:left w:val="nil"/>
              <w:bottom w:val="nil"/>
              <w:right w:val="nil"/>
            </w:tcBorders>
            <w:shd w:val="clear" w:color="auto" w:fill="auto"/>
            <w:noWrap/>
            <w:vAlign w:val="bottom"/>
            <w:hideMark/>
          </w:tcPr>
          <w:p w14:paraId="79FDC006" w14:textId="77777777" w:rsidR="002F53B7" w:rsidRPr="00AF32A1" w:rsidRDefault="002F53B7" w:rsidP="002F53B7">
            <w:pPr>
              <w:spacing w:after="0" w:line="240" w:lineRule="auto"/>
              <w:jc w:val="right"/>
              <w:rPr>
                <w:rFonts w:ascii="Calibri" w:eastAsia="Times New Roman" w:hAnsi="Calibri" w:cs="Calibri"/>
                <w:color w:val="000000"/>
                <w:sz w:val="22"/>
              </w:rPr>
            </w:pPr>
            <w:r w:rsidRPr="00AF32A1">
              <w:rPr>
                <w:rFonts w:ascii="Calibri" w:eastAsia="Times New Roman" w:hAnsi="Calibri" w:cs="Calibri"/>
                <w:color w:val="000000"/>
                <w:sz w:val="22"/>
              </w:rPr>
              <w:t>0.3477</w:t>
            </w:r>
          </w:p>
        </w:tc>
        <w:tc>
          <w:tcPr>
            <w:tcW w:w="976" w:type="dxa"/>
            <w:tcBorders>
              <w:top w:val="nil"/>
              <w:left w:val="nil"/>
              <w:bottom w:val="nil"/>
              <w:right w:val="nil"/>
            </w:tcBorders>
            <w:shd w:val="clear" w:color="auto" w:fill="auto"/>
            <w:noWrap/>
            <w:vAlign w:val="bottom"/>
            <w:hideMark/>
          </w:tcPr>
          <w:p w14:paraId="16BC9766" w14:textId="77777777" w:rsidR="002F53B7" w:rsidRPr="00AF32A1" w:rsidRDefault="002F53B7" w:rsidP="002F53B7">
            <w:pPr>
              <w:spacing w:after="0" w:line="240" w:lineRule="auto"/>
              <w:jc w:val="right"/>
              <w:rPr>
                <w:rFonts w:ascii="Calibri" w:eastAsia="Times New Roman" w:hAnsi="Calibri" w:cs="Calibri"/>
                <w:color w:val="000000"/>
                <w:sz w:val="22"/>
              </w:rPr>
            </w:pPr>
          </w:p>
        </w:tc>
      </w:tr>
      <w:tr w:rsidR="002F53B7" w:rsidRPr="00AF32A1" w14:paraId="65021A8B" w14:textId="77777777" w:rsidTr="002F53B7">
        <w:trPr>
          <w:trHeight w:val="290"/>
        </w:trPr>
        <w:tc>
          <w:tcPr>
            <w:tcW w:w="976" w:type="dxa"/>
            <w:tcBorders>
              <w:top w:val="nil"/>
              <w:left w:val="nil"/>
              <w:bottom w:val="nil"/>
              <w:right w:val="nil"/>
            </w:tcBorders>
            <w:shd w:val="clear" w:color="auto" w:fill="auto"/>
            <w:noWrap/>
            <w:vAlign w:val="bottom"/>
            <w:hideMark/>
          </w:tcPr>
          <w:p w14:paraId="5CE7AF8E" w14:textId="77777777" w:rsidR="002F53B7" w:rsidRPr="00AF32A1" w:rsidRDefault="002F53B7" w:rsidP="002F53B7">
            <w:pPr>
              <w:spacing w:after="0" w:line="240" w:lineRule="auto"/>
              <w:rPr>
                <w:rFonts w:ascii="Calibri" w:eastAsia="Times New Roman" w:hAnsi="Calibri" w:cs="Calibri"/>
                <w:color w:val="000000"/>
                <w:sz w:val="22"/>
              </w:rPr>
            </w:pPr>
            <w:r w:rsidRPr="00AF32A1">
              <w:rPr>
                <w:rFonts w:ascii="Calibri" w:eastAsia="Times New Roman" w:hAnsi="Calibri" w:cs="Calibri"/>
                <w:color w:val="000000"/>
                <w:sz w:val="22"/>
              </w:rPr>
              <w:t>Levels</w:t>
            </w:r>
          </w:p>
        </w:tc>
        <w:tc>
          <w:tcPr>
            <w:tcW w:w="976" w:type="dxa"/>
            <w:tcBorders>
              <w:top w:val="nil"/>
              <w:left w:val="nil"/>
              <w:bottom w:val="nil"/>
              <w:right w:val="nil"/>
            </w:tcBorders>
            <w:shd w:val="clear" w:color="auto" w:fill="auto"/>
            <w:noWrap/>
            <w:vAlign w:val="bottom"/>
            <w:hideMark/>
          </w:tcPr>
          <w:p w14:paraId="3F46CCDA" w14:textId="77777777" w:rsidR="002F53B7" w:rsidRPr="00AF32A1" w:rsidRDefault="002F53B7" w:rsidP="002F53B7">
            <w:pPr>
              <w:spacing w:after="0" w:line="240" w:lineRule="auto"/>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1A2DA11D"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38A87CF"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4890BD4"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897B8FB"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FA03D6A"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160E93F"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DE0D248"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4EFD711"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01A88E3" w14:textId="77777777" w:rsidR="002F53B7" w:rsidRPr="00AF32A1" w:rsidRDefault="002F53B7" w:rsidP="002F53B7">
            <w:pPr>
              <w:spacing w:after="0" w:line="240" w:lineRule="auto"/>
              <w:rPr>
                <w:rFonts w:eastAsia="Times New Roman" w:cs="Times New Roman"/>
                <w:sz w:val="20"/>
                <w:szCs w:val="20"/>
              </w:rPr>
            </w:pPr>
          </w:p>
        </w:tc>
      </w:tr>
      <w:tr w:rsidR="002F53B7" w:rsidRPr="00AF32A1" w14:paraId="2124D2DC" w14:textId="77777777" w:rsidTr="002F53B7">
        <w:trPr>
          <w:trHeight w:val="290"/>
        </w:trPr>
        <w:tc>
          <w:tcPr>
            <w:tcW w:w="976" w:type="dxa"/>
            <w:tcBorders>
              <w:top w:val="nil"/>
              <w:left w:val="nil"/>
              <w:bottom w:val="nil"/>
              <w:right w:val="nil"/>
            </w:tcBorders>
            <w:shd w:val="clear" w:color="auto" w:fill="auto"/>
            <w:noWrap/>
            <w:vAlign w:val="bottom"/>
            <w:hideMark/>
          </w:tcPr>
          <w:p w14:paraId="1CC13B89" w14:textId="77777777" w:rsidR="002F53B7" w:rsidRPr="00AF32A1" w:rsidRDefault="002F53B7" w:rsidP="002F53B7">
            <w:pPr>
              <w:spacing w:after="0" w:line="240" w:lineRule="auto"/>
              <w:jc w:val="right"/>
              <w:rPr>
                <w:rFonts w:ascii="Calibri" w:eastAsia="Times New Roman" w:hAnsi="Calibri" w:cs="Calibri"/>
                <w:color w:val="000000"/>
                <w:sz w:val="22"/>
              </w:rPr>
            </w:pPr>
            <w:r w:rsidRPr="00AF32A1">
              <w:rPr>
                <w:rFonts w:ascii="Calibri" w:eastAsia="Times New Roman" w:hAnsi="Calibri" w:cs="Calibri"/>
                <w:color w:val="000000"/>
                <w:sz w:val="22"/>
              </w:rPr>
              <w:t>1929</w:t>
            </w:r>
          </w:p>
        </w:tc>
        <w:tc>
          <w:tcPr>
            <w:tcW w:w="976" w:type="dxa"/>
            <w:tcBorders>
              <w:top w:val="nil"/>
              <w:left w:val="nil"/>
              <w:bottom w:val="nil"/>
              <w:right w:val="nil"/>
            </w:tcBorders>
            <w:shd w:val="clear" w:color="auto" w:fill="auto"/>
            <w:noWrap/>
            <w:vAlign w:val="bottom"/>
            <w:hideMark/>
          </w:tcPr>
          <w:p w14:paraId="3C15C5F8" w14:textId="77777777" w:rsidR="002F53B7" w:rsidRPr="00AF32A1" w:rsidRDefault="002F53B7" w:rsidP="002F53B7">
            <w:pPr>
              <w:spacing w:after="0" w:line="240" w:lineRule="auto"/>
              <w:jc w:val="right"/>
              <w:rPr>
                <w:rFonts w:ascii="Calibri" w:eastAsia="Times New Roman" w:hAnsi="Calibri" w:cs="Calibri"/>
                <w:color w:val="000000"/>
                <w:sz w:val="22"/>
              </w:rPr>
            </w:pPr>
            <w:r w:rsidRPr="00AF32A1">
              <w:rPr>
                <w:rFonts w:ascii="Calibri" w:eastAsia="Times New Roman" w:hAnsi="Calibri" w:cs="Calibri"/>
                <w:color w:val="000000"/>
                <w:sz w:val="22"/>
              </w:rPr>
              <w:t>100</w:t>
            </w:r>
          </w:p>
        </w:tc>
        <w:tc>
          <w:tcPr>
            <w:tcW w:w="976" w:type="dxa"/>
            <w:tcBorders>
              <w:top w:val="nil"/>
              <w:left w:val="nil"/>
              <w:bottom w:val="nil"/>
              <w:right w:val="nil"/>
            </w:tcBorders>
            <w:shd w:val="clear" w:color="auto" w:fill="auto"/>
            <w:noWrap/>
            <w:vAlign w:val="bottom"/>
            <w:hideMark/>
          </w:tcPr>
          <w:p w14:paraId="2A5894B6" w14:textId="77777777" w:rsidR="002F53B7" w:rsidRPr="00AF32A1" w:rsidRDefault="002F53B7" w:rsidP="002F53B7">
            <w:pPr>
              <w:spacing w:after="0" w:line="240" w:lineRule="auto"/>
              <w:jc w:val="right"/>
              <w:rPr>
                <w:rFonts w:ascii="Calibri" w:eastAsia="Times New Roman" w:hAnsi="Calibri" w:cs="Calibri"/>
                <w:color w:val="000000"/>
                <w:sz w:val="22"/>
              </w:rPr>
            </w:pPr>
            <w:r w:rsidRPr="00AF32A1">
              <w:rPr>
                <w:rFonts w:ascii="Calibri" w:eastAsia="Times New Roman" w:hAnsi="Calibri" w:cs="Calibri"/>
                <w:color w:val="000000"/>
                <w:sz w:val="22"/>
              </w:rPr>
              <w:t>100</w:t>
            </w:r>
          </w:p>
        </w:tc>
        <w:tc>
          <w:tcPr>
            <w:tcW w:w="976" w:type="dxa"/>
            <w:tcBorders>
              <w:top w:val="nil"/>
              <w:left w:val="nil"/>
              <w:bottom w:val="nil"/>
              <w:right w:val="nil"/>
            </w:tcBorders>
            <w:shd w:val="clear" w:color="auto" w:fill="auto"/>
            <w:noWrap/>
            <w:vAlign w:val="bottom"/>
            <w:hideMark/>
          </w:tcPr>
          <w:p w14:paraId="234DC6E3" w14:textId="77777777" w:rsidR="002F53B7" w:rsidRPr="00AF32A1" w:rsidRDefault="002F53B7" w:rsidP="002F53B7">
            <w:pPr>
              <w:spacing w:after="0" w:line="240" w:lineRule="auto"/>
              <w:jc w:val="right"/>
              <w:rPr>
                <w:rFonts w:ascii="Calibri" w:eastAsia="Times New Roman" w:hAnsi="Calibri" w:cs="Calibri"/>
                <w:color w:val="000000"/>
                <w:sz w:val="22"/>
              </w:rPr>
            </w:pPr>
            <w:r w:rsidRPr="00AF32A1">
              <w:rPr>
                <w:rFonts w:ascii="Calibri" w:eastAsia="Times New Roman" w:hAnsi="Calibri" w:cs="Calibri"/>
                <w:color w:val="000000"/>
                <w:sz w:val="22"/>
              </w:rPr>
              <w:t>100</w:t>
            </w:r>
          </w:p>
        </w:tc>
        <w:tc>
          <w:tcPr>
            <w:tcW w:w="976" w:type="dxa"/>
            <w:tcBorders>
              <w:top w:val="nil"/>
              <w:left w:val="nil"/>
              <w:bottom w:val="nil"/>
              <w:right w:val="nil"/>
            </w:tcBorders>
            <w:shd w:val="clear" w:color="auto" w:fill="auto"/>
            <w:noWrap/>
            <w:vAlign w:val="bottom"/>
            <w:hideMark/>
          </w:tcPr>
          <w:p w14:paraId="79D3B1DA" w14:textId="77777777" w:rsidR="002F53B7" w:rsidRPr="00AF32A1"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495AEBA9" w14:textId="77777777" w:rsidR="002F53B7" w:rsidRPr="00AF32A1" w:rsidRDefault="002F53B7" w:rsidP="002F53B7">
            <w:pPr>
              <w:spacing w:after="0" w:line="240" w:lineRule="auto"/>
              <w:jc w:val="right"/>
              <w:rPr>
                <w:rFonts w:ascii="Calibri" w:eastAsia="Times New Roman" w:hAnsi="Calibri" w:cs="Calibri"/>
                <w:color w:val="000000"/>
                <w:sz w:val="22"/>
              </w:rPr>
            </w:pPr>
            <w:r w:rsidRPr="00AF32A1">
              <w:rPr>
                <w:rFonts w:ascii="Calibri" w:eastAsia="Times New Roman" w:hAnsi="Calibri" w:cs="Calibri"/>
                <w:color w:val="000000"/>
                <w:sz w:val="22"/>
              </w:rPr>
              <w:t>100</w:t>
            </w:r>
          </w:p>
        </w:tc>
        <w:tc>
          <w:tcPr>
            <w:tcW w:w="976" w:type="dxa"/>
            <w:tcBorders>
              <w:top w:val="nil"/>
              <w:left w:val="nil"/>
              <w:bottom w:val="nil"/>
              <w:right w:val="nil"/>
            </w:tcBorders>
            <w:shd w:val="clear" w:color="auto" w:fill="auto"/>
            <w:noWrap/>
            <w:vAlign w:val="bottom"/>
            <w:hideMark/>
          </w:tcPr>
          <w:p w14:paraId="400F88CA" w14:textId="77777777" w:rsidR="002F53B7" w:rsidRPr="00AF32A1"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2EFF716B"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8AEED04"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09C76F73"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30B3CB5" w14:textId="77777777" w:rsidR="002F53B7" w:rsidRPr="00AF32A1" w:rsidRDefault="002F53B7" w:rsidP="002F53B7">
            <w:pPr>
              <w:spacing w:after="0" w:line="240" w:lineRule="auto"/>
              <w:rPr>
                <w:rFonts w:eastAsia="Times New Roman" w:cs="Times New Roman"/>
                <w:sz w:val="20"/>
                <w:szCs w:val="20"/>
              </w:rPr>
            </w:pPr>
          </w:p>
        </w:tc>
      </w:tr>
      <w:tr w:rsidR="002F53B7" w:rsidRPr="00AF32A1" w14:paraId="069EAC3B" w14:textId="77777777" w:rsidTr="002F53B7">
        <w:trPr>
          <w:trHeight w:val="290"/>
        </w:trPr>
        <w:tc>
          <w:tcPr>
            <w:tcW w:w="976" w:type="dxa"/>
            <w:tcBorders>
              <w:top w:val="nil"/>
              <w:left w:val="nil"/>
              <w:bottom w:val="nil"/>
              <w:right w:val="nil"/>
            </w:tcBorders>
            <w:shd w:val="clear" w:color="auto" w:fill="auto"/>
            <w:noWrap/>
            <w:vAlign w:val="bottom"/>
            <w:hideMark/>
          </w:tcPr>
          <w:p w14:paraId="1CB9F301" w14:textId="77777777" w:rsidR="002F53B7" w:rsidRPr="00AF32A1" w:rsidRDefault="002F53B7" w:rsidP="002F53B7">
            <w:pPr>
              <w:spacing w:after="0" w:line="240" w:lineRule="auto"/>
              <w:jc w:val="right"/>
              <w:rPr>
                <w:rFonts w:ascii="Calibri" w:eastAsia="Times New Roman" w:hAnsi="Calibri" w:cs="Calibri"/>
                <w:color w:val="000000"/>
                <w:sz w:val="22"/>
              </w:rPr>
            </w:pPr>
            <w:r w:rsidRPr="00AF32A1">
              <w:rPr>
                <w:rFonts w:ascii="Calibri" w:eastAsia="Times New Roman" w:hAnsi="Calibri" w:cs="Calibri"/>
                <w:color w:val="000000"/>
                <w:sz w:val="22"/>
              </w:rPr>
              <w:t>1941</w:t>
            </w:r>
          </w:p>
        </w:tc>
        <w:tc>
          <w:tcPr>
            <w:tcW w:w="976" w:type="dxa"/>
            <w:tcBorders>
              <w:top w:val="nil"/>
              <w:left w:val="nil"/>
              <w:bottom w:val="nil"/>
              <w:right w:val="nil"/>
            </w:tcBorders>
            <w:shd w:val="clear" w:color="auto" w:fill="auto"/>
            <w:noWrap/>
            <w:vAlign w:val="bottom"/>
            <w:hideMark/>
          </w:tcPr>
          <w:p w14:paraId="24AC1FDE" w14:textId="77777777" w:rsidR="002F53B7" w:rsidRPr="00AF32A1" w:rsidRDefault="002F53B7" w:rsidP="002F53B7">
            <w:pPr>
              <w:spacing w:after="0" w:line="240" w:lineRule="auto"/>
              <w:jc w:val="right"/>
              <w:rPr>
                <w:rFonts w:ascii="Calibri" w:eastAsia="Times New Roman" w:hAnsi="Calibri" w:cs="Calibri"/>
                <w:color w:val="000000"/>
                <w:sz w:val="22"/>
              </w:rPr>
            </w:pPr>
            <w:r w:rsidRPr="00AF32A1">
              <w:rPr>
                <w:rFonts w:ascii="Calibri" w:eastAsia="Times New Roman" w:hAnsi="Calibri" w:cs="Calibri"/>
                <w:color w:val="000000"/>
                <w:sz w:val="22"/>
              </w:rPr>
              <w:t>163.6</w:t>
            </w:r>
          </w:p>
        </w:tc>
        <w:tc>
          <w:tcPr>
            <w:tcW w:w="976" w:type="dxa"/>
            <w:tcBorders>
              <w:top w:val="nil"/>
              <w:left w:val="nil"/>
              <w:bottom w:val="nil"/>
              <w:right w:val="nil"/>
            </w:tcBorders>
            <w:shd w:val="clear" w:color="auto" w:fill="auto"/>
            <w:noWrap/>
            <w:vAlign w:val="bottom"/>
            <w:hideMark/>
          </w:tcPr>
          <w:p w14:paraId="7A4F4B75" w14:textId="77777777" w:rsidR="002F53B7" w:rsidRPr="00AF32A1" w:rsidRDefault="002F53B7" w:rsidP="002F53B7">
            <w:pPr>
              <w:spacing w:after="0" w:line="240" w:lineRule="auto"/>
              <w:jc w:val="right"/>
              <w:rPr>
                <w:rFonts w:ascii="Calibri" w:eastAsia="Times New Roman" w:hAnsi="Calibri" w:cs="Calibri"/>
                <w:color w:val="000000"/>
                <w:sz w:val="22"/>
              </w:rPr>
            </w:pPr>
            <w:r w:rsidRPr="00AF32A1">
              <w:rPr>
                <w:rFonts w:ascii="Calibri" w:eastAsia="Times New Roman" w:hAnsi="Calibri" w:cs="Calibri"/>
                <w:color w:val="000000"/>
                <w:sz w:val="22"/>
              </w:rPr>
              <w:t>91.6</w:t>
            </w:r>
          </w:p>
        </w:tc>
        <w:tc>
          <w:tcPr>
            <w:tcW w:w="976" w:type="dxa"/>
            <w:tcBorders>
              <w:top w:val="nil"/>
              <w:left w:val="nil"/>
              <w:bottom w:val="nil"/>
              <w:right w:val="nil"/>
            </w:tcBorders>
            <w:shd w:val="clear" w:color="auto" w:fill="auto"/>
            <w:noWrap/>
            <w:vAlign w:val="bottom"/>
            <w:hideMark/>
          </w:tcPr>
          <w:p w14:paraId="4F0EB01A" w14:textId="77777777" w:rsidR="002F53B7" w:rsidRPr="00AF32A1" w:rsidRDefault="002F53B7" w:rsidP="002F53B7">
            <w:pPr>
              <w:spacing w:after="0" w:line="240" w:lineRule="auto"/>
              <w:jc w:val="right"/>
              <w:rPr>
                <w:rFonts w:ascii="Calibri" w:eastAsia="Times New Roman" w:hAnsi="Calibri" w:cs="Calibri"/>
                <w:color w:val="000000"/>
                <w:sz w:val="22"/>
              </w:rPr>
            </w:pPr>
            <w:r w:rsidRPr="00AF32A1">
              <w:rPr>
                <w:rFonts w:ascii="Calibri" w:eastAsia="Times New Roman" w:hAnsi="Calibri" w:cs="Calibri"/>
                <w:color w:val="000000"/>
                <w:sz w:val="22"/>
              </w:rPr>
              <w:t>110.3</w:t>
            </w:r>
          </w:p>
        </w:tc>
        <w:tc>
          <w:tcPr>
            <w:tcW w:w="976" w:type="dxa"/>
            <w:tcBorders>
              <w:top w:val="nil"/>
              <w:left w:val="nil"/>
              <w:bottom w:val="nil"/>
              <w:right w:val="nil"/>
            </w:tcBorders>
            <w:shd w:val="clear" w:color="auto" w:fill="auto"/>
            <w:noWrap/>
            <w:vAlign w:val="bottom"/>
            <w:hideMark/>
          </w:tcPr>
          <w:p w14:paraId="0186C52B" w14:textId="77777777" w:rsidR="002F53B7" w:rsidRPr="00AF32A1"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2A46AF6E" w14:textId="77777777" w:rsidR="002F53B7" w:rsidRPr="00AF32A1" w:rsidRDefault="002F53B7" w:rsidP="002F53B7">
            <w:pPr>
              <w:spacing w:after="0" w:line="240" w:lineRule="auto"/>
              <w:jc w:val="right"/>
              <w:rPr>
                <w:rFonts w:ascii="Calibri" w:eastAsia="Times New Roman" w:hAnsi="Calibri" w:cs="Calibri"/>
                <w:color w:val="000000"/>
                <w:sz w:val="22"/>
              </w:rPr>
            </w:pPr>
            <w:r w:rsidRPr="00AF32A1">
              <w:rPr>
                <w:rFonts w:ascii="Calibri" w:eastAsia="Times New Roman" w:hAnsi="Calibri" w:cs="Calibri"/>
                <w:color w:val="000000"/>
                <w:sz w:val="22"/>
              </w:rPr>
              <w:t>164.6</w:t>
            </w:r>
          </w:p>
        </w:tc>
        <w:tc>
          <w:tcPr>
            <w:tcW w:w="976" w:type="dxa"/>
            <w:tcBorders>
              <w:top w:val="nil"/>
              <w:left w:val="nil"/>
              <w:bottom w:val="nil"/>
              <w:right w:val="nil"/>
            </w:tcBorders>
            <w:shd w:val="clear" w:color="auto" w:fill="auto"/>
            <w:noWrap/>
            <w:vAlign w:val="bottom"/>
            <w:hideMark/>
          </w:tcPr>
          <w:p w14:paraId="74C4DA43" w14:textId="77777777" w:rsidR="002F53B7" w:rsidRPr="00AF32A1" w:rsidRDefault="002F53B7" w:rsidP="002F53B7">
            <w:pPr>
              <w:spacing w:after="0" w:line="240" w:lineRule="auto"/>
              <w:jc w:val="right"/>
              <w:rPr>
                <w:rFonts w:ascii="Calibri" w:eastAsia="Times New Roman" w:hAnsi="Calibri" w:cs="Calibri"/>
                <w:color w:val="000000"/>
                <w:sz w:val="22"/>
              </w:rPr>
            </w:pPr>
          </w:p>
        </w:tc>
        <w:tc>
          <w:tcPr>
            <w:tcW w:w="3904" w:type="dxa"/>
            <w:gridSpan w:val="4"/>
            <w:tcBorders>
              <w:top w:val="nil"/>
              <w:left w:val="nil"/>
              <w:bottom w:val="nil"/>
              <w:right w:val="nil"/>
            </w:tcBorders>
            <w:shd w:val="clear" w:color="auto" w:fill="auto"/>
            <w:noWrap/>
            <w:vAlign w:val="bottom"/>
            <w:hideMark/>
          </w:tcPr>
          <w:p w14:paraId="3EF636BC" w14:textId="77777777" w:rsidR="002F53B7" w:rsidRPr="00AF32A1" w:rsidRDefault="002F53B7" w:rsidP="002F53B7">
            <w:pPr>
              <w:spacing w:after="0" w:line="240" w:lineRule="auto"/>
              <w:rPr>
                <w:rFonts w:ascii="Calibri" w:eastAsia="Times New Roman" w:hAnsi="Calibri" w:cs="Calibri"/>
                <w:color w:val="000000"/>
                <w:sz w:val="22"/>
              </w:rPr>
            </w:pPr>
            <w:r w:rsidRPr="00AF32A1">
              <w:rPr>
                <w:rFonts w:ascii="Calibri" w:eastAsia="Times New Roman" w:hAnsi="Calibri" w:cs="Calibri"/>
                <w:color w:val="000000"/>
                <w:sz w:val="22"/>
              </w:rPr>
              <w:t>1941-48 Weighted Average TFP Growth:</w:t>
            </w:r>
          </w:p>
        </w:tc>
      </w:tr>
      <w:tr w:rsidR="002F53B7" w:rsidRPr="00AF32A1" w14:paraId="22AB519C" w14:textId="77777777" w:rsidTr="002F53B7">
        <w:trPr>
          <w:trHeight w:val="290"/>
        </w:trPr>
        <w:tc>
          <w:tcPr>
            <w:tcW w:w="976" w:type="dxa"/>
            <w:tcBorders>
              <w:top w:val="nil"/>
              <w:left w:val="nil"/>
              <w:bottom w:val="nil"/>
              <w:right w:val="nil"/>
            </w:tcBorders>
            <w:shd w:val="clear" w:color="auto" w:fill="auto"/>
            <w:noWrap/>
            <w:vAlign w:val="bottom"/>
            <w:hideMark/>
          </w:tcPr>
          <w:p w14:paraId="1042166C" w14:textId="77777777" w:rsidR="002F53B7" w:rsidRPr="00AF32A1" w:rsidRDefault="002F53B7" w:rsidP="002F53B7">
            <w:pPr>
              <w:spacing w:after="0" w:line="240" w:lineRule="auto"/>
              <w:jc w:val="right"/>
              <w:rPr>
                <w:rFonts w:ascii="Calibri" w:eastAsia="Times New Roman" w:hAnsi="Calibri" w:cs="Calibri"/>
                <w:color w:val="000000"/>
                <w:sz w:val="22"/>
              </w:rPr>
            </w:pPr>
            <w:r w:rsidRPr="00AF32A1">
              <w:rPr>
                <w:rFonts w:ascii="Calibri" w:eastAsia="Times New Roman" w:hAnsi="Calibri" w:cs="Calibri"/>
                <w:color w:val="000000"/>
                <w:sz w:val="22"/>
              </w:rPr>
              <w:t>1948</w:t>
            </w:r>
          </w:p>
        </w:tc>
        <w:tc>
          <w:tcPr>
            <w:tcW w:w="976" w:type="dxa"/>
            <w:tcBorders>
              <w:top w:val="nil"/>
              <w:left w:val="nil"/>
              <w:bottom w:val="nil"/>
              <w:right w:val="nil"/>
            </w:tcBorders>
            <w:shd w:val="clear" w:color="auto" w:fill="auto"/>
            <w:noWrap/>
            <w:vAlign w:val="bottom"/>
            <w:hideMark/>
          </w:tcPr>
          <w:p w14:paraId="5262EF8C" w14:textId="77777777" w:rsidR="002F53B7" w:rsidRPr="00AF32A1" w:rsidRDefault="002F53B7" w:rsidP="002F53B7">
            <w:pPr>
              <w:spacing w:after="0" w:line="240" w:lineRule="auto"/>
              <w:jc w:val="right"/>
              <w:rPr>
                <w:rFonts w:ascii="Calibri" w:eastAsia="Times New Roman" w:hAnsi="Calibri" w:cs="Calibri"/>
                <w:color w:val="000000"/>
                <w:sz w:val="22"/>
              </w:rPr>
            </w:pPr>
            <w:r w:rsidRPr="00AF32A1">
              <w:rPr>
                <w:rFonts w:ascii="Calibri" w:eastAsia="Times New Roman" w:hAnsi="Calibri" w:cs="Calibri"/>
                <w:color w:val="000000"/>
                <w:sz w:val="22"/>
              </w:rPr>
              <w:t>321.3</w:t>
            </w:r>
          </w:p>
        </w:tc>
        <w:tc>
          <w:tcPr>
            <w:tcW w:w="976" w:type="dxa"/>
            <w:tcBorders>
              <w:top w:val="nil"/>
              <w:left w:val="nil"/>
              <w:bottom w:val="nil"/>
              <w:right w:val="nil"/>
            </w:tcBorders>
            <w:shd w:val="clear" w:color="auto" w:fill="auto"/>
            <w:noWrap/>
            <w:vAlign w:val="bottom"/>
            <w:hideMark/>
          </w:tcPr>
          <w:p w14:paraId="388C9E2F" w14:textId="77777777" w:rsidR="002F53B7" w:rsidRPr="00AF32A1" w:rsidRDefault="002F53B7" w:rsidP="002F53B7">
            <w:pPr>
              <w:spacing w:after="0" w:line="240" w:lineRule="auto"/>
              <w:jc w:val="right"/>
              <w:rPr>
                <w:rFonts w:ascii="Calibri" w:eastAsia="Times New Roman" w:hAnsi="Calibri" w:cs="Calibri"/>
                <w:color w:val="000000"/>
                <w:sz w:val="22"/>
              </w:rPr>
            </w:pPr>
            <w:r w:rsidRPr="00AF32A1">
              <w:rPr>
                <w:rFonts w:ascii="Calibri" w:eastAsia="Times New Roman" w:hAnsi="Calibri" w:cs="Calibri"/>
                <w:color w:val="000000"/>
                <w:sz w:val="22"/>
              </w:rPr>
              <w:t>138.6</w:t>
            </w:r>
          </w:p>
        </w:tc>
        <w:tc>
          <w:tcPr>
            <w:tcW w:w="976" w:type="dxa"/>
            <w:tcBorders>
              <w:top w:val="nil"/>
              <w:left w:val="nil"/>
              <w:bottom w:val="nil"/>
              <w:right w:val="nil"/>
            </w:tcBorders>
            <w:shd w:val="clear" w:color="auto" w:fill="auto"/>
            <w:noWrap/>
            <w:vAlign w:val="bottom"/>
            <w:hideMark/>
          </w:tcPr>
          <w:p w14:paraId="059D4021" w14:textId="77777777" w:rsidR="002F53B7" w:rsidRPr="00AF32A1" w:rsidRDefault="002F53B7" w:rsidP="002F53B7">
            <w:pPr>
              <w:spacing w:after="0" w:line="240" w:lineRule="auto"/>
              <w:jc w:val="right"/>
              <w:rPr>
                <w:rFonts w:ascii="Calibri" w:eastAsia="Times New Roman" w:hAnsi="Calibri" w:cs="Calibri"/>
                <w:color w:val="000000"/>
                <w:sz w:val="22"/>
              </w:rPr>
            </w:pPr>
            <w:r w:rsidRPr="00AF32A1">
              <w:rPr>
                <w:rFonts w:ascii="Calibri" w:eastAsia="Times New Roman" w:hAnsi="Calibri" w:cs="Calibri"/>
                <w:color w:val="000000"/>
                <w:sz w:val="22"/>
              </w:rPr>
              <w:t>128.7</w:t>
            </w:r>
          </w:p>
        </w:tc>
        <w:tc>
          <w:tcPr>
            <w:tcW w:w="976" w:type="dxa"/>
            <w:tcBorders>
              <w:top w:val="nil"/>
              <w:left w:val="nil"/>
              <w:bottom w:val="nil"/>
              <w:right w:val="nil"/>
            </w:tcBorders>
            <w:shd w:val="clear" w:color="auto" w:fill="auto"/>
            <w:noWrap/>
            <w:vAlign w:val="bottom"/>
            <w:hideMark/>
          </w:tcPr>
          <w:p w14:paraId="7CB1D74D" w14:textId="77777777" w:rsidR="002F53B7" w:rsidRPr="00AF32A1"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4D9D9058" w14:textId="77777777" w:rsidR="002F53B7" w:rsidRPr="00AF32A1" w:rsidRDefault="002F53B7" w:rsidP="002F53B7">
            <w:pPr>
              <w:spacing w:after="0" w:line="240" w:lineRule="auto"/>
              <w:jc w:val="right"/>
              <w:rPr>
                <w:rFonts w:ascii="Calibri" w:eastAsia="Times New Roman" w:hAnsi="Calibri" w:cs="Calibri"/>
                <w:color w:val="000000"/>
                <w:sz w:val="22"/>
              </w:rPr>
            </w:pPr>
            <w:r w:rsidRPr="00AF32A1">
              <w:rPr>
                <w:rFonts w:ascii="Calibri" w:eastAsia="Times New Roman" w:hAnsi="Calibri" w:cs="Calibri"/>
                <w:color w:val="000000"/>
                <w:sz w:val="22"/>
              </w:rPr>
              <w:t>241</w:t>
            </w:r>
          </w:p>
        </w:tc>
        <w:tc>
          <w:tcPr>
            <w:tcW w:w="976" w:type="dxa"/>
            <w:tcBorders>
              <w:top w:val="nil"/>
              <w:left w:val="nil"/>
              <w:bottom w:val="nil"/>
              <w:right w:val="nil"/>
            </w:tcBorders>
            <w:shd w:val="clear" w:color="auto" w:fill="auto"/>
            <w:noWrap/>
            <w:vAlign w:val="bottom"/>
            <w:hideMark/>
          </w:tcPr>
          <w:p w14:paraId="30B7650C" w14:textId="77777777" w:rsidR="002F53B7" w:rsidRPr="00AF32A1"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06AC587A"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CCAEF01"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03FB30F" w14:textId="77777777" w:rsidR="002F53B7" w:rsidRPr="00AF32A1" w:rsidRDefault="002F53B7" w:rsidP="002F53B7">
            <w:pPr>
              <w:spacing w:after="0" w:line="240" w:lineRule="auto"/>
              <w:jc w:val="right"/>
              <w:rPr>
                <w:rFonts w:ascii="Calibri" w:eastAsia="Times New Roman" w:hAnsi="Calibri" w:cs="Calibri"/>
                <w:color w:val="000000"/>
                <w:sz w:val="22"/>
              </w:rPr>
            </w:pPr>
            <w:r w:rsidRPr="00AF32A1">
              <w:rPr>
                <w:rFonts w:ascii="Calibri" w:eastAsia="Times New Roman" w:hAnsi="Calibri" w:cs="Calibri"/>
                <w:color w:val="000000"/>
                <w:sz w:val="22"/>
              </w:rPr>
              <w:t>0.0572</w:t>
            </w:r>
          </w:p>
        </w:tc>
        <w:tc>
          <w:tcPr>
            <w:tcW w:w="976" w:type="dxa"/>
            <w:tcBorders>
              <w:top w:val="nil"/>
              <w:left w:val="nil"/>
              <w:bottom w:val="nil"/>
              <w:right w:val="nil"/>
            </w:tcBorders>
            <w:shd w:val="clear" w:color="auto" w:fill="auto"/>
            <w:noWrap/>
            <w:vAlign w:val="bottom"/>
            <w:hideMark/>
          </w:tcPr>
          <w:p w14:paraId="16C51B0C" w14:textId="77777777" w:rsidR="002F53B7" w:rsidRPr="00AF32A1" w:rsidRDefault="002F53B7" w:rsidP="002F53B7">
            <w:pPr>
              <w:spacing w:after="0" w:line="240" w:lineRule="auto"/>
              <w:jc w:val="right"/>
              <w:rPr>
                <w:rFonts w:ascii="Calibri" w:eastAsia="Times New Roman" w:hAnsi="Calibri" w:cs="Calibri"/>
                <w:color w:val="000000"/>
                <w:sz w:val="22"/>
              </w:rPr>
            </w:pPr>
          </w:p>
        </w:tc>
      </w:tr>
      <w:tr w:rsidR="002F53B7" w:rsidRPr="00AF32A1" w14:paraId="6DE3FAD0" w14:textId="77777777" w:rsidTr="002F53B7">
        <w:trPr>
          <w:trHeight w:val="290"/>
        </w:trPr>
        <w:tc>
          <w:tcPr>
            <w:tcW w:w="976" w:type="dxa"/>
            <w:tcBorders>
              <w:top w:val="nil"/>
              <w:left w:val="nil"/>
              <w:bottom w:val="nil"/>
              <w:right w:val="nil"/>
            </w:tcBorders>
            <w:shd w:val="clear" w:color="auto" w:fill="auto"/>
            <w:noWrap/>
            <w:vAlign w:val="bottom"/>
            <w:hideMark/>
          </w:tcPr>
          <w:p w14:paraId="216694A2"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760BED9"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5868D48"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5E6E623"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617A488"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40FCABF"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CE1FD52"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4BFF70D"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3757367"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BD933C5"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6A4086C" w14:textId="77777777" w:rsidR="002F53B7" w:rsidRPr="00AF32A1" w:rsidRDefault="002F53B7" w:rsidP="002F53B7">
            <w:pPr>
              <w:spacing w:after="0" w:line="240" w:lineRule="auto"/>
              <w:rPr>
                <w:rFonts w:eastAsia="Times New Roman" w:cs="Times New Roman"/>
                <w:sz w:val="20"/>
                <w:szCs w:val="20"/>
              </w:rPr>
            </w:pPr>
          </w:p>
        </w:tc>
      </w:tr>
      <w:tr w:rsidR="002F53B7" w:rsidRPr="00AF32A1" w14:paraId="70E6D6E9" w14:textId="77777777" w:rsidTr="002F53B7">
        <w:trPr>
          <w:trHeight w:val="290"/>
        </w:trPr>
        <w:tc>
          <w:tcPr>
            <w:tcW w:w="1952" w:type="dxa"/>
            <w:gridSpan w:val="2"/>
            <w:tcBorders>
              <w:top w:val="nil"/>
              <w:left w:val="nil"/>
              <w:bottom w:val="nil"/>
              <w:right w:val="nil"/>
            </w:tcBorders>
            <w:shd w:val="clear" w:color="auto" w:fill="auto"/>
            <w:noWrap/>
            <w:vAlign w:val="bottom"/>
            <w:hideMark/>
          </w:tcPr>
          <w:p w14:paraId="5E19E6C3" w14:textId="77777777" w:rsidR="002F53B7" w:rsidRPr="00AF32A1" w:rsidRDefault="002F53B7" w:rsidP="002F53B7">
            <w:pPr>
              <w:spacing w:after="0" w:line="240" w:lineRule="auto"/>
              <w:rPr>
                <w:rFonts w:ascii="Calibri" w:eastAsia="Times New Roman" w:hAnsi="Calibri" w:cs="Calibri"/>
                <w:color w:val="000000"/>
                <w:sz w:val="22"/>
              </w:rPr>
            </w:pPr>
            <w:r w:rsidRPr="00AF32A1">
              <w:rPr>
                <w:rFonts w:ascii="Calibri" w:eastAsia="Times New Roman" w:hAnsi="Calibri" w:cs="Calibri"/>
                <w:color w:val="000000"/>
                <w:sz w:val="22"/>
              </w:rPr>
              <w:t>Rates of Growth</w:t>
            </w:r>
          </w:p>
        </w:tc>
        <w:tc>
          <w:tcPr>
            <w:tcW w:w="976" w:type="dxa"/>
            <w:tcBorders>
              <w:top w:val="nil"/>
              <w:left w:val="nil"/>
              <w:bottom w:val="nil"/>
              <w:right w:val="nil"/>
            </w:tcBorders>
            <w:shd w:val="clear" w:color="auto" w:fill="auto"/>
            <w:noWrap/>
            <w:vAlign w:val="bottom"/>
            <w:hideMark/>
          </w:tcPr>
          <w:p w14:paraId="22B6A195" w14:textId="77777777" w:rsidR="002F53B7" w:rsidRPr="00AF32A1" w:rsidRDefault="002F53B7" w:rsidP="002F53B7">
            <w:pPr>
              <w:spacing w:after="0" w:line="240" w:lineRule="auto"/>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53618354"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EF8222D"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044116E"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E5D972D"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77DA10A"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997FB09"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6867285"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EE42185" w14:textId="77777777" w:rsidR="002F53B7" w:rsidRPr="00AF32A1" w:rsidRDefault="002F53B7" w:rsidP="002F53B7">
            <w:pPr>
              <w:spacing w:after="0" w:line="240" w:lineRule="auto"/>
              <w:rPr>
                <w:rFonts w:eastAsia="Times New Roman" w:cs="Times New Roman"/>
                <w:sz w:val="20"/>
                <w:szCs w:val="20"/>
              </w:rPr>
            </w:pPr>
          </w:p>
        </w:tc>
      </w:tr>
      <w:tr w:rsidR="002F53B7" w:rsidRPr="00AF32A1" w14:paraId="4F1C1ECF" w14:textId="77777777" w:rsidTr="002F53B7">
        <w:trPr>
          <w:trHeight w:val="290"/>
        </w:trPr>
        <w:tc>
          <w:tcPr>
            <w:tcW w:w="976" w:type="dxa"/>
            <w:tcBorders>
              <w:top w:val="nil"/>
              <w:left w:val="nil"/>
              <w:bottom w:val="nil"/>
              <w:right w:val="nil"/>
            </w:tcBorders>
            <w:shd w:val="clear" w:color="auto" w:fill="auto"/>
            <w:noWrap/>
            <w:vAlign w:val="bottom"/>
            <w:hideMark/>
          </w:tcPr>
          <w:p w14:paraId="62CFA28D" w14:textId="77777777" w:rsidR="002F53B7" w:rsidRPr="00AF32A1" w:rsidRDefault="002F53B7" w:rsidP="002F53B7">
            <w:pPr>
              <w:spacing w:after="0" w:line="240" w:lineRule="auto"/>
              <w:rPr>
                <w:rFonts w:ascii="Calibri" w:eastAsia="Times New Roman" w:hAnsi="Calibri" w:cs="Calibri"/>
                <w:color w:val="000000"/>
                <w:sz w:val="22"/>
              </w:rPr>
            </w:pPr>
            <w:r w:rsidRPr="00AF32A1">
              <w:rPr>
                <w:rFonts w:ascii="Calibri" w:eastAsia="Times New Roman" w:hAnsi="Calibri" w:cs="Calibri"/>
                <w:color w:val="000000"/>
                <w:sz w:val="22"/>
              </w:rPr>
              <w:t>1929-41</w:t>
            </w:r>
          </w:p>
        </w:tc>
        <w:tc>
          <w:tcPr>
            <w:tcW w:w="976" w:type="dxa"/>
            <w:tcBorders>
              <w:top w:val="nil"/>
              <w:left w:val="nil"/>
              <w:bottom w:val="nil"/>
              <w:right w:val="nil"/>
            </w:tcBorders>
            <w:shd w:val="clear" w:color="auto" w:fill="auto"/>
            <w:noWrap/>
            <w:vAlign w:val="bottom"/>
            <w:hideMark/>
          </w:tcPr>
          <w:p w14:paraId="529BE971" w14:textId="77777777" w:rsidR="002F53B7" w:rsidRPr="00AF32A1" w:rsidRDefault="002F53B7" w:rsidP="002F53B7">
            <w:pPr>
              <w:spacing w:after="0" w:line="240" w:lineRule="auto"/>
              <w:jc w:val="right"/>
              <w:rPr>
                <w:rFonts w:ascii="Calibri" w:eastAsia="Times New Roman" w:hAnsi="Calibri" w:cs="Calibri"/>
                <w:color w:val="000000"/>
                <w:sz w:val="22"/>
              </w:rPr>
            </w:pPr>
            <w:r w:rsidRPr="00AF32A1">
              <w:rPr>
                <w:rFonts w:ascii="Calibri" w:eastAsia="Times New Roman" w:hAnsi="Calibri" w:cs="Calibri"/>
                <w:color w:val="000000"/>
                <w:sz w:val="22"/>
              </w:rPr>
              <w:t>0.0410</w:t>
            </w:r>
          </w:p>
        </w:tc>
        <w:tc>
          <w:tcPr>
            <w:tcW w:w="976" w:type="dxa"/>
            <w:tcBorders>
              <w:top w:val="nil"/>
              <w:left w:val="nil"/>
              <w:bottom w:val="nil"/>
              <w:right w:val="nil"/>
            </w:tcBorders>
            <w:shd w:val="clear" w:color="auto" w:fill="auto"/>
            <w:noWrap/>
            <w:vAlign w:val="bottom"/>
            <w:hideMark/>
          </w:tcPr>
          <w:p w14:paraId="4257754F" w14:textId="77777777" w:rsidR="002F53B7" w:rsidRPr="00AF32A1" w:rsidRDefault="002F53B7" w:rsidP="002F53B7">
            <w:pPr>
              <w:spacing w:after="0" w:line="240" w:lineRule="auto"/>
              <w:jc w:val="right"/>
              <w:rPr>
                <w:rFonts w:ascii="Calibri" w:eastAsia="Times New Roman" w:hAnsi="Calibri" w:cs="Calibri"/>
                <w:color w:val="000000"/>
                <w:sz w:val="22"/>
              </w:rPr>
            </w:pPr>
            <w:r w:rsidRPr="00AF32A1">
              <w:rPr>
                <w:rFonts w:ascii="Calibri" w:eastAsia="Times New Roman" w:hAnsi="Calibri" w:cs="Calibri"/>
                <w:color w:val="000000"/>
                <w:sz w:val="22"/>
              </w:rPr>
              <w:t>-0.0073</w:t>
            </w:r>
          </w:p>
        </w:tc>
        <w:tc>
          <w:tcPr>
            <w:tcW w:w="976" w:type="dxa"/>
            <w:tcBorders>
              <w:top w:val="nil"/>
              <w:left w:val="nil"/>
              <w:bottom w:val="nil"/>
              <w:right w:val="nil"/>
            </w:tcBorders>
            <w:shd w:val="clear" w:color="auto" w:fill="auto"/>
            <w:noWrap/>
            <w:vAlign w:val="bottom"/>
            <w:hideMark/>
          </w:tcPr>
          <w:p w14:paraId="303C28B3" w14:textId="77777777" w:rsidR="002F53B7" w:rsidRPr="00AF32A1" w:rsidRDefault="002F53B7" w:rsidP="002F53B7">
            <w:pPr>
              <w:spacing w:after="0" w:line="240" w:lineRule="auto"/>
              <w:jc w:val="right"/>
              <w:rPr>
                <w:rFonts w:ascii="Calibri" w:eastAsia="Times New Roman" w:hAnsi="Calibri" w:cs="Calibri"/>
                <w:color w:val="000000"/>
                <w:sz w:val="22"/>
              </w:rPr>
            </w:pPr>
            <w:r w:rsidRPr="00AF32A1">
              <w:rPr>
                <w:rFonts w:ascii="Calibri" w:eastAsia="Times New Roman" w:hAnsi="Calibri" w:cs="Calibri"/>
                <w:color w:val="000000"/>
                <w:sz w:val="22"/>
              </w:rPr>
              <w:t>0.0082</w:t>
            </w:r>
          </w:p>
        </w:tc>
        <w:tc>
          <w:tcPr>
            <w:tcW w:w="976" w:type="dxa"/>
            <w:tcBorders>
              <w:top w:val="nil"/>
              <w:left w:val="nil"/>
              <w:bottom w:val="nil"/>
              <w:right w:val="nil"/>
            </w:tcBorders>
            <w:shd w:val="clear" w:color="auto" w:fill="auto"/>
            <w:noWrap/>
            <w:vAlign w:val="bottom"/>
            <w:hideMark/>
          </w:tcPr>
          <w:p w14:paraId="0EF21C12" w14:textId="77777777" w:rsidR="002F53B7" w:rsidRPr="00AF32A1" w:rsidRDefault="002F53B7" w:rsidP="002F53B7">
            <w:pPr>
              <w:spacing w:after="0" w:line="240" w:lineRule="auto"/>
              <w:jc w:val="right"/>
              <w:rPr>
                <w:rFonts w:ascii="Calibri" w:eastAsia="Times New Roman" w:hAnsi="Calibri" w:cs="Calibri"/>
                <w:color w:val="000000"/>
                <w:sz w:val="22"/>
              </w:rPr>
            </w:pPr>
            <w:r w:rsidRPr="00AF32A1">
              <w:rPr>
                <w:rFonts w:ascii="Calibri" w:eastAsia="Times New Roman" w:hAnsi="Calibri" w:cs="Calibri"/>
                <w:color w:val="000000"/>
                <w:sz w:val="22"/>
              </w:rPr>
              <w:t>0.0483</w:t>
            </w:r>
          </w:p>
        </w:tc>
        <w:tc>
          <w:tcPr>
            <w:tcW w:w="976" w:type="dxa"/>
            <w:tcBorders>
              <w:top w:val="nil"/>
              <w:left w:val="nil"/>
              <w:bottom w:val="nil"/>
              <w:right w:val="nil"/>
            </w:tcBorders>
            <w:shd w:val="clear" w:color="auto" w:fill="auto"/>
            <w:noWrap/>
            <w:vAlign w:val="bottom"/>
            <w:hideMark/>
          </w:tcPr>
          <w:p w14:paraId="792B8520" w14:textId="77777777" w:rsidR="002F53B7" w:rsidRPr="00FA6DE8" w:rsidRDefault="002F53B7" w:rsidP="002F53B7">
            <w:pPr>
              <w:spacing w:after="0" w:line="240" w:lineRule="auto"/>
              <w:jc w:val="right"/>
              <w:rPr>
                <w:rFonts w:ascii="Calibri" w:eastAsia="Times New Roman" w:hAnsi="Calibri" w:cs="Calibri"/>
                <w:b/>
                <w:color w:val="000000"/>
                <w:sz w:val="22"/>
              </w:rPr>
            </w:pPr>
            <w:r w:rsidRPr="00FA6DE8">
              <w:rPr>
                <w:rFonts w:ascii="Calibri" w:eastAsia="Times New Roman" w:hAnsi="Calibri" w:cs="Calibri"/>
                <w:b/>
                <w:color w:val="000000"/>
                <w:sz w:val="22"/>
              </w:rPr>
              <w:t>0.0415</w:t>
            </w:r>
          </w:p>
        </w:tc>
        <w:tc>
          <w:tcPr>
            <w:tcW w:w="976" w:type="dxa"/>
            <w:tcBorders>
              <w:top w:val="nil"/>
              <w:left w:val="nil"/>
              <w:bottom w:val="nil"/>
              <w:right w:val="nil"/>
            </w:tcBorders>
            <w:shd w:val="clear" w:color="auto" w:fill="auto"/>
            <w:noWrap/>
            <w:vAlign w:val="bottom"/>
            <w:hideMark/>
          </w:tcPr>
          <w:p w14:paraId="159F0B5F" w14:textId="77777777" w:rsidR="002F53B7" w:rsidRPr="00AF32A1"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118400F9"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026128C"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FA24048"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E88BF35" w14:textId="77777777" w:rsidR="002F53B7" w:rsidRPr="00AF32A1" w:rsidRDefault="002F53B7" w:rsidP="002F53B7">
            <w:pPr>
              <w:spacing w:after="0" w:line="240" w:lineRule="auto"/>
              <w:rPr>
                <w:rFonts w:eastAsia="Times New Roman" w:cs="Times New Roman"/>
                <w:sz w:val="20"/>
                <w:szCs w:val="20"/>
              </w:rPr>
            </w:pPr>
          </w:p>
        </w:tc>
      </w:tr>
      <w:tr w:rsidR="002F53B7" w:rsidRPr="00AF32A1" w14:paraId="5DC27B1C" w14:textId="77777777" w:rsidTr="002F53B7">
        <w:trPr>
          <w:trHeight w:val="290"/>
        </w:trPr>
        <w:tc>
          <w:tcPr>
            <w:tcW w:w="976" w:type="dxa"/>
            <w:tcBorders>
              <w:top w:val="nil"/>
              <w:left w:val="nil"/>
              <w:bottom w:val="nil"/>
              <w:right w:val="nil"/>
            </w:tcBorders>
            <w:shd w:val="clear" w:color="auto" w:fill="auto"/>
            <w:noWrap/>
            <w:vAlign w:val="bottom"/>
            <w:hideMark/>
          </w:tcPr>
          <w:p w14:paraId="04D6BAC7" w14:textId="77777777" w:rsidR="002F53B7" w:rsidRPr="00AF32A1" w:rsidRDefault="002F53B7" w:rsidP="002F53B7">
            <w:pPr>
              <w:spacing w:after="0" w:line="240" w:lineRule="auto"/>
              <w:rPr>
                <w:rFonts w:ascii="Calibri" w:eastAsia="Times New Roman" w:hAnsi="Calibri" w:cs="Calibri"/>
                <w:color w:val="000000"/>
                <w:sz w:val="22"/>
              </w:rPr>
            </w:pPr>
            <w:r w:rsidRPr="00AF32A1">
              <w:rPr>
                <w:rFonts w:ascii="Calibri" w:eastAsia="Times New Roman" w:hAnsi="Calibri" w:cs="Calibri"/>
                <w:color w:val="000000"/>
                <w:sz w:val="22"/>
              </w:rPr>
              <w:t>1941-48</w:t>
            </w:r>
          </w:p>
        </w:tc>
        <w:tc>
          <w:tcPr>
            <w:tcW w:w="976" w:type="dxa"/>
            <w:tcBorders>
              <w:top w:val="nil"/>
              <w:left w:val="nil"/>
              <w:bottom w:val="nil"/>
              <w:right w:val="nil"/>
            </w:tcBorders>
            <w:shd w:val="clear" w:color="auto" w:fill="auto"/>
            <w:noWrap/>
            <w:vAlign w:val="bottom"/>
            <w:hideMark/>
          </w:tcPr>
          <w:p w14:paraId="3CC81406" w14:textId="77777777" w:rsidR="002F53B7" w:rsidRPr="00AF32A1" w:rsidRDefault="002F53B7" w:rsidP="002F53B7">
            <w:pPr>
              <w:spacing w:after="0" w:line="240" w:lineRule="auto"/>
              <w:jc w:val="right"/>
              <w:rPr>
                <w:rFonts w:ascii="Calibri" w:eastAsia="Times New Roman" w:hAnsi="Calibri" w:cs="Calibri"/>
                <w:color w:val="000000"/>
                <w:sz w:val="22"/>
              </w:rPr>
            </w:pPr>
            <w:r w:rsidRPr="00AF32A1">
              <w:rPr>
                <w:rFonts w:ascii="Calibri" w:eastAsia="Times New Roman" w:hAnsi="Calibri" w:cs="Calibri"/>
                <w:color w:val="000000"/>
                <w:sz w:val="22"/>
              </w:rPr>
              <w:t>0.0964</w:t>
            </w:r>
          </w:p>
        </w:tc>
        <w:tc>
          <w:tcPr>
            <w:tcW w:w="976" w:type="dxa"/>
            <w:tcBorders>
              <w:top w:val="nil"/>
              <w:left w:val="nil"/>
              <w:bottom w:val="nil"/>
              <w:right w:val="nil"/>
            </w:tcBorders>
            <w:shd w:val="clear" w:color="auto" w:fill="auto"/>
            <w:noWrap/>
            <w:vAlign w:val="bottom"/>
            <w:hideMark/>
          </w:tcPr>
          <w:p w14:paraId="62B4F8B4" w14:textId="77777777" w:rsidR="002F53B7" w:rsidRPr="00AF32A1" w:rsidRDefault="002F53B7" w:rsidP="002F53B7">
            <w:pPr>
              <w:spacing w:after="0" w:line="240" w:lineRule="auto"/>
              <w:jc w:val="right"/>
              <w:rPr>
                <w:rFonts w:ascii="Calibri" w:eastAsia="Times New Roman" w:hAnsi="Calibri" w:cs="Calibri"/>
                <w:color w:val="000000"/>
                <w:sz w:val="22"/>
              </w:rPr>
            </w:pPr>
            <w:r w:rsidRPr="00AF32A1">
              <w:rPr>
                <w:rFonts w:ascii="Calibri" w:eastAsia="Times New Roman" w:hAnsi="Calibri" w:cs="Calibri"/>
                <w:color w:val="000000"/>
                <w:sz w:val="22"/>
              </w:rPr>
              <w:t>0.0592</w:t>
            </w:r>
          </w:p>
        </w:tc>
        <w:tc>
          <w:tcPr>
            <w:tcW w:w="976" w:type="dxa"/>
            <w:tcBorders>
              <w:top w:val="nil"/>
              <w:left w:val="nil"/>
              <w:bottom w:val="nil"/>
              <w:right w:val="nil"/>
            </w:tcBorders>
            <w:shd w:val="clear" w:color="auto" w:fill="auto"/>
            <w:noWrap/>
            <w:vAlign w:val="bottom"/>
            <w:hideMark/>
          </w:tcPr>
          <w:p w14:paraId="53B5F904" w14:textId="77777777" w:rsidR="002F53B7" w:rsidRPr="00AF32A1" w:rsidRDefault="002F53B7" w:rsidP="002F53B7">
            <w:pPr>
              <w:spacing w:after="0" w:line="240" w:lineRule="auto"/>
              <w:jc w:val="right"/>
              <w:rPr>
                <w:rFonts w:ascii="Calibri" w:eastAsia="Times New Roman" w:hAnsi="Calibri" w:cs="Calibri"/>
                <w:color w:val="000000"/>
                <w:sz w:val="22"/>
              </w:rPr>
            </w:pPr>
            <w:r w:rsidRPr="00AF32A1">
              <w:rPr>
                <w:rFonts w:ascii="Calibri" w:eastAsia="Times New Roman" w:hAnsi="Calibri" w:cs="Calibri"/>
                <w:color w:val="000000"/>
                <w:sz w:val="22"/>
              </w:rPr>
              <w:t>0.0220</w:t>
            </w:r>
          </w:p>
        </w:tc>
        <w:tc>
          <w:tcPr>
            <w:tcW w:w="976" w:type="dxa"/>
            <w:tcBorders>
              <w:top w:val="nil"/>
              <w:left w:val="nil"/>
              <w:bottom w:val="nil"/>
              <w:right w:val="nil"/>
            </w:tcBorders>
            <w:shd w:val="clear" w:color="auto" w:fill="auto"/>
            <w:noWrap/>
            <w:vAlign w:val="bottom"/>
            <w:hideMark/>
          </w:tcPr>
          <w:p w14:paraId="071EF050" w14:textId="77777777" w:rsidR="002F53B7" w:rsidRPr="00AF32A1" w:rsidRDefault="002F53B7" w:rsidP="002F53B7">
            <w:pPr>
              <w:spacing w:after="0" w:line="240" w:lineRule="auto"/>
              <w:jc w:val="right"/>
              <w:rPr>
                <w:rFonts w:ascii="Calibri" w:eastAsia="Times New Roman" w:hAnsi="Calibri" w:cs="Calibri"/>
                <w:color w:val="000000"/>
                <w:sz w:val="22"/>
              </w:rPr>
            </w:pPr>
            <w:r w:rsidRPr="00AF32A1">
              <w:rPr>
                <w:rFonts w:ascii="Calibri" w:eastAsia="Times New Roman" w:hAnsi="Calibri" w:cs="Calibri"/>
                <w:color w:val="000000"/>
                <w:sz w:val="22"/>
              </w:rPr>
              <w:t>0.0373</w:t>
            </w:r>
          </w:p>
        </w:tc>
        <w:tc>
          <w:tcPr>
            <w:tcW w:w="976" w:type="dxa"/>
            <w:tcBorders>
              <w:top w:val="nil"/>
              <w:left w:val="nil"/>
              <w:bottom w:val="nil"/>
              <w:right w:val="nil"/>
            </w:tcBorders>
            <w:shd w:val="clear" w:color="auto" w:fill="auto"/>
            <w:noWrap/>
            <w:vAlign w:val="bottom"/>
            <w:hideMark/>
          </w:tcPr>
          <w:p w14:paraId="48F5E914" w14:textId="77777777" w:rsidR="002F53B7" w:rsidRPr="00FA6DE8" w:rsidRDefault="002F53B7" w:rsidP="002F53B7">
            <w:pPr>
              <w:spacing w:after="0" w:line="240" w:lineRule="auto"/>
              <w:jc w:val="right"/>
              <w:rPr>
                <w:rFonts w:ascii="Calibri" w:eastAsia="Times New Roman" w:hAnsi="Calibri" w:cs="Calibri"/>
                <w:b/>
                <w:color w:val="000000"/>
                <w:sz w:val="22"/>
              </w:rPr>
            </w:pPr>
            <w:r w:rsidRPr="00FA6DE8">
              <w:rPr>
                <w:rFonts w:ascii="Calibri" w:eastAsia="Times New Roman" w:hAnsi="Calibri" w:cs="Calibri"/>
                <w:b/>
                <w:color w:val="000000"/>
                <w:sz w:val="22"/>
              </w:rPr>
              <w:t>0.0545</w:t>
            </w:r>
          </w:p>
        </w:tc>
        <w:tc>
          <w:tcPr>
            <w:tcW w:w="976" w:type="dxa"/>
            <w:tcBorders>
              <w:top w:val="nil"/>
              <w:left w:val="nil"/>
              <w:bottom w:val="nil"/>
              <w:right w:val="nil"/>
            </w:tcBorders>
            <w:shd w:val="clear" w:color="auto" w:fill="auto"/>
            <w:noWrap/>
            <w:vAlign w:val="bottom"/>
            <w:hideMark/>
          </w:tcPr>
          <w:p w14:paraId="1CFB9110" w14:textId="77777777" w:rsidR="002F53B7" w:rsidRPr="00AF32A1"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79F8E2C2"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C202569"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8480D93"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F3DB7D6" w14:textId="77777777" w:rsidR="002F53B7" w:rsidRPr="00AF32A1" w:rsidRDefault="002F53B7" w:rsidP="002F53B7">
            <w:pPr>
              <w:spacing w:after="0" w:line="240" w:lineRule="auto"/>
              <w:rPr>
                <w:rFonts w:eastAsia="Times New Roman" w:cs="Times New Roman"/>
                <w:sz w:val="20"/>
                <w:szCs w:val="20"/>
              </w:rPr>
            </w:pPr>
          </w:p>
        </w:tc>
      </w:tr>
      <w:tr w:rsidR="002F53B7" w:rsidRPr="00AF32A1" w14:paraId="4EA4B9B5" w14:textId="77777777" w:rsidTr="002F53B7">
        <w:trPr>
          <w:trHeight w:val="290"/>
        </w:trPr>
        <w:tc>
          <w:tcPr>
            <w:tcW w:w="976" w:type="dxa"/>
            <w:tcBorders>
              <w:top w:val="nil"/>
              <w:left w:val="nil"/>
              <w:bottom w:val="nil"/>
              <w:right w:val="nil"/>
            </w:tcBorders>
            <w:shd w:val="clear" w:color="auto" w:fill="auto"/>
            <w:noWrap/>
            <w:vAlign w:val="bottom"/>
            <w:hideMark/>
          </w:tcPr>
          <w:p w14:paraId="08F9D05F"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2BB6EE7"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B9A7C12"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096849A"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969B50D"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7539AE6"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0D6A480B"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15A8358"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86DAD65"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2A1E125"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07472009" w14:textId="77777777" w:rsidR="002F53B7" w:rsidRPr="00AF32A1" w:rsidRDefault="002F53B7" w:rsidP="002F53B7">
            <w:pPr>
              <w:spacing w:after="0" w:line="240" w:lineRule="auto"/>
              <w:rPr>
                <w:rFonts w:eastAsia="Times New Roman" w:cs="Times New Roman"/>
                <w:sz w:val="20"/>
                <w:szCs w:val="20"/>
              </w:rPr>
            </w:pPr>
          </w:p>
        </w:tc>
      </w:tr>
      <w:tr w:rsidR="002F53B7" w:rsidRPr="00AF32A1" w14:paraId="769AA8A4" w14:textId="77777777" w:rsidTr="002F53B7">
        <w:trPr>
          <w:trHeight w:val="290"/>
        </w:trPr>
        <w:tc>
          <w:tcPr>
            <w:tcW w:w="976" w:type="dxa"/>
            <w:tcBorders>
              <w:top w:val="nil"/>
              <w:left w:val="nil"/>
              <w:bottom w:val="nil"/>
              <w:right w:val="nil"/>
            </w:tcBorders>
            <w:shd w:val="clear" w:color="auto" w:fill="auto"/>
            <w:noWrap/>
            <w:vAlign w:val="bottom"/>
            <w:hideMark/>
          </w:tcPr>
          <w:p w14:paraId="207536B0"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BBFC0EC"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6590669"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057BA77"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0995CA4"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683F1B2"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EDC05B7"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9D42554"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0AA8FE48"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02FBFD0"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2DE561F" w14:textId="77777777" w:rsidR="002F53B7" w:rsidRPr="00AF32A1" w:rsidRDefault="002F53B7" w:rsidP="002F53B7">
            <w:pPr>
              <w:spacing w:after="0" w:line="240" w:lineRule="auto"/>
              <w:rPr>
                <w:rFonts w:eastAsia="Times New Roman" w:cs="Times New Roman"/>
                <w:sz w:val="20"/>
                <w:szCs w:val="20"/>
              </w:rPr>
            </w:pPr>
          </w:p>
        </w:tc>
      </w:tr>
      <w:tr w:rsidR="002F53B7" w:rsidRPr="00AF32A1" w14:paraId="48AB9170" w14:textId="77777777" w:rsidTr="002F53B7">
        <w:trPr>
          <w:trHeight w:val="290"/>
        </w:trPr>
        <w:tc>
          <w:tcPr>
            <w:tcW w:w="5856" w:type="dxa"/>
            <w:gridSpan w:val="6"/>
            <w:tcBorders>
              <w:top w:val="nil"/>
              <w:left w:val="nil"/>
              <w:bottom w:val="nil"/>
              <w:right w:val="nil"/>
            </w:tcBorders>
            <w:shd w:val="clear" w:color="auto" w:fill="auto"/>
            <w:noWrap/>
            <w:vAlign w:val="bottom"/>
            <w:hideMark/>
          </w:tcPr>
          <w:p w14:paraId="2644A36D" w14:textId="77777777" w:rsidR="002F53B7" w:rsidRPr="00AF32A1" w:rsidRDefault="002F53B7" w:rsidP="002F53B7">
            <w:pPr>
              <w:spacing w:after="0" w:line="240" w:lineRule="auto"/>
              <w:rPr>
                <w:rFonts w:ascii="Calibri" w:eastAsia="Times New Roman" w:hAnsi="Calibri" w:cs="Calibri"/>
                <w:color w:val="000000"/>
                <w:sz w:val="22"/>
              </w:rPr>
            </w:pPr>
            <w:r w:rsidRPr="00AF32A1">
              <w:rPr>
                <w:rFonts w:ascii="Calibri" w:eastAsia="Times New Roman" w:hAnsi="Calibri" w:cs="Calibri"/>
                <w:color w:val="000000"/>
                <w:sz w:val="22"/>
              </w:rPr>
              <w:t>Sources:  Kendrick, 1961, table H-VIII, H-IX, H-X, pp. 592-98.</w:t>
            </w:r>
          </w:p>
        </w:tc>
        <w:tc>
          <w:tcPr>
            <w:tcW w:w="976" w:type="dxa"/>
            <w:tcBorders>
              <w:top w:val="nil"/>
              <w:left w:val="nil"/>
              <w:bottom w:val="nil"/>
              <w:right w:val="nil"/>
            </w:tcBorders>
            <w:shd w:val="clear" w:color="auto" w:fill="auto"/>
            <w:noWrap/>
            <w:vAlign w:val="bottom"/>
            <w:hideMark/>
          </w:tcPr>
          <w:p w14:paraId="323E4C37" w14:textId="77777777" w:rsidR="002F53B7" w:rsidRPr="00AF32A1" w:rsidRDefault="002F53B7" w:rsidP="002F53B7">
            <w:pPr>
              <w:spacing w:after="0" w:line="240" w:lineRule="auto"/>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1AFE95A0"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3BEE515"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D6714D2" w14:textId="77777777" w:rsidR="002F53B7" w:rsidRPr="00AF32A1"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6968CFD" w14:textId="77777777" w:rsidR="002F53B7" w:rsidRPr="00AF32A1" w:rsidRDefault="002F53B7" w:rsidP="002F53B7">
            <w:pPr>
              <w:spacing w:after="0" w:line="240" w:lineRule="auto"/>
              <w:rPr>
                <w:rFonts w:eastAsia="Times New Roman" w:cs="Times New Roman"/>
                <w:sz w:val="20"/>
                <w:szCs w:val="20"/>
              </w:rPr>
            </w:pPr>
          </w:p>
        </w:tc>
      </w:tr>
    </w:tbl>
    <w:p w14:paraId="78F7531F" w14:textId="77777777" w:rsidR="002F53B7" w:rsidRDefault="002F53B7" w:rsidP="002F53B7"/>
    <w:tbl>
      <w:tblPr>
        <w:tblW w:w="6832" w:type="dxa"/>
        <w:tblLook w:val="04A0" w:firstRow="1" w:lastRow="0" w:firstColumn="1" w:lastColumn="0" w:noHBand="0" w:noVBand="1"/>
      </w:tblPr>
      <w:tblGrid>
        <w:gridCol w:w="976"/>
        <w:gridCol w:w="976"/>
        <w:gridCol w:w="976"/>
        <w:gridCol w:w="976"/>
        <w:gridCol w:w="976"/>
        <w:gridCol w:w="976"/>
        <w:gridCol w:w="976"/>
      </w:tblGrid>
      <w:tr w:rsidR="002F53B7" w:rsidRPr="005E5D58" w14:paraId="33314715" w14:textId="77777777" w:rsidTr="002F53B7">
        <w:trPr>
          <w:trHeight w:val="290"/>
        </w:trPr>
        <w:tc>
          <w:tcPr>
            <w:tcW w:w="976" w:type="dxa"/>
            <w:tcBorders>
              <w:top w:val="nil"/>
              <w:left w:val="nil"/>
              <w:bottom w:val="nil"/>
              <w:right w:val="nil"/>
            </w:tcBorders>
            <w:shd w:val="clear" w:color="auto" w:fill="auto"/>
            <w:noWrap/>
            <w:vAlign w:val="bottom"/>
            <w:hideMark/>
          </w:tcPr>
          <w:p w14:paraId="433CB982" w14:textId="77777777" w:rsidR="002F53B7" w:rsidRPr="005E5D58" w:rsidRDefault="002F53B7" w:rsidP="002F53B7">
            <w:pPr>
              <w:spacing w:after="0" w:line="240" w:lineRule="auto"/>
              <w:rPr>
                <w:rFonts w:eastAsia="Times New Roman" w:cs="Times New Roman"/>
                <w:sz w:val="20"/>
                <w:szCs w:val="24"/>
              </w:rPr>
            </w:pPr>
          </w:p>
        </w:tc>
        <w:tc>
          <w:tcPr>
            <w:tcW w:w="976" w:type="dxa"/>
            <w:tcBorders>
              <w:top w:val="nil"/>
              <w:left w:val="nil"/>
              <w:bottom w:val="nil"/>
              <w:right w:val="nil"/>
            </w:tcBorders>
            <w:shd w:val="clear" w:color="auto" w:fill="auto"/>
            <w:noWrap/>
            <w:vAlign w:val="bottom"/>
            <w:hideMark/>
          </w:tcPr>
          <w:p w14:paraId="0BA583C6" w14:textId="77777777" w:rsidR="002F53B7" w:rsidRPr="005E5D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7BD0AB5" w14:textId="77777777" w:rsidR="002F53B7" w:rsidRPr="005E5D58" w:rsidRDefault="002F53B7" w:rsidP="002F53B7">
            <w:pPr>
              <w:spacing w:after="0" w:line="240" w:lineRule="auto"/>
              <w:rPr>
                <w:rFonts w:ascii="Calibri" w:eastAsia="Times New Roman" w:hAnsi="Calibri" w:cs="Calibri"/>
                <w:color w:val="000000"/>
                <w:sz w:val="22"/>
              </w:rPr>
            </w:pPr>
            <w:r w:rsidRPr="005E5D58">
              <w:rPr>
                <w:rFonts w:ascii="Calibri" w:eastAsia="Times New Roman" w:hAnsi="Calibri" w:cs="Calibri"/>
                <w:color w:val="000000"/>
                <w:sz w:val="22"/>
              </w:rPr>
              <w:t xml:space="preserve">Table </w:t>
            </w:r>
            <w:r>
              <w:rPr>
                <w:rFonts w:ascii="Calibri" w:eastAsia="Times New Roman" w:hAnsi="Calibri" w:cs="Calibri"/>
                <w:color w:val="000000"/>
                <w:sz w:val="22"/>
              </w:rPr>
              <w:t>6</w:t>
            </w:r>
          </w:p>
        </w:tc>
        <w:tc>
          <w:tcPr>
            <w:tcW w:w="976" w:type="dxa"/>
            <w:tcBorders>
              <w:top w:val="nil"/>
              <w:left w:val="nil"/>
              <w:bottom w:val="nil"/>
              <w:right w:val="nil"/>
            </w:tcBorders>
            <w:shd w:val="clear" w:color="auto" w:fill="auto"/>
            <w:noWrap/>
            <w:vAlign w:val="bottom"/>
            <w:hideMark/>
          </w:tcPr>
          <w:p w14:paraId="5A50C268" w14:textId="77777777" w:rsidR="002F53B7" w:rsidRPr="005E5D58" w:rsidRDefault="002F53B7" w:rsidP="002F53B7">
            <w:pPr>
              <w:spacing w:after="0" w:line="240" w:lineRule="auto"/>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673EE4E6" w14:textId="77777777" w:rsidR="002F53B7" w:rsidRPr="005E5D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2E03294" w14:textId="77777777" w:rsidR="002F53B7" w:rsidRPr="005E5D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E014E9B" w14:textId="77777777" w:rsidR="002F53B7" w:rsidRPr="005E5D58" w:rsidRDefault="002F53B7" w:rsidP="002F53B7">
            <w:pPr>
              <w:spacing w:after="0" w:line="240" w:lineRule="auto"/>
              <w:rPr>
                <w:rFonts w:eastAsia="Times New Roman" w:cs="Times New Roman"/>
                <w:sz w:val="20"/>
                <w:szCs w:val="20"/>
              </w:rPr>
            </w:pPr>
          </w:p>
        </w:tc>
      </w:tr>
      <w:tr w:rsidR="002F53B7" w:rsidRPr="005E5D58" w14:paraId="3DB3FDAC" w14:textId="77777777" w:rsidTr="002F53B7">
        <w:trPr>
          <w:trHeight w:val="290"/>
        </w:trPr>
        <w:tc>
          <w:tcPr>
            <w:tcW w:w="976" w:type="dxa"/>
            <w:tcBorders>
              <w:top w:val="nil"/>
              <w:left w:val="nil"/>
              <w:bottom w:val="nil"/>
              <w:right w:val="nil"/>
            </w:tcBorders>
            <w:shd w:val="clear" w:color="auto" w:fill="auto"/>
            <w:noWrap/>
            <w:vAlign w:val="bottom"/>
            <w:hideMark/>
          </w:tcPr>
          <w:p w14:paraId="0480C201" w14:textId="77777777" w:rsidR="002F53B7" w:rsidRPr="005E5D58" w:rsidRDefault="002F53B7" w:rsidP="002F53B7">
            <w:pPr>
              <w:spacing w:after="0" w:line="240" w:lineRule="auto"/>
              <w:rPr>
                <w:rFonts w:eastAsia="Times New Roman" w:cs="Times New Roman"/>
                <w:sz w:val="20"/>
                <w:szCs w:val="20"/>
              </w:rPr>
            </w:pPr>
          </w:p>
        </w:tc>
        <w:tc>
          <w:tcPr>
            <w:tcW w:w="2928" w:type="dxa"/>
            <w:gridSpan w:val="3"/>
            <w:tcBorders>
              <w:top w:val="nil"/>
              <w:left w:val="nil"/>
              <w:bottom w:val="nil"/>
              <w:right w:val="nil"/>
            </w:tcBorders>
            <w:shd w:val="clear" w:color="auto" w:fill="auto"/>
            <w:noWrap/>
            <w:vAlign w:val="bottom"/>
            <w:hideMark/>
          </w:tcPr>
          <w:p w14:paraId="5A9F5DE1" w14:textId="77777777" w:rsidR="002F53B7" w:rsidRPr="005E5D58" w:rsidRDefault="002F53B7" w:rsidP="002F53B7">
            <w:pPr>
              <w:spacing w:after="0" w:line="240" w:lineRule="auto"/>
              <w:rPr>
                <w:rFonts w:ascii="Calibri" w:eastAsia="Times New Roman" w:hAnsi="Calibri" w:cs="Calibri"/>
                <w:color w:val="000000"/>
                <w:sz w:val="22"/>
              </w:rPr>
            </w:pPr>
            <w:r w:rsidRPr="005E5D58">
              <w:rPr>
                <w:rFonts w:ascii="Calibri" w:eastAsia="Times New Roman" w:hAnsi="Calibri" w:cs="Calibri"/>
                <w:color w:val="000000"/>
                <w:sz w:val="22"/>
              </w:rPr>
              <w:t>Productivity Growth in Mining</w:t>
            </w:r>
          </w:p>
        </w:tc>
        <w:tc>
          <w:tcPr>
            <w:tcW w:w="976" w:type="dxa"/>
            <w:tcBorders>
              <w:top w:val="nil"/>
              <w:left w:val="nil"/>
              <w:bottom w:val="nil"/>
              <w:right w:val="nil"/>
            </w:tcBorders>
            <w:shd w:val="clear" w:color="auto" w:fill="auto"/>
            <w:noWrap/>
            <w:vAlign w:val="bottom"/>
            <w:hideMark/>
          </w:tcPr>
          <w:p w14:paraId="2EE15F73" w14:textId="77777777" w:rsidR="002F53B7" w:rsidRPr="005E5D58" w:rsidRDefault="002F53B7" w:rsidP="002F53B7">
            <w:pPr>
              <w:spacing w:after="0" w:line="240" w:lineRule="auto"/>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17178909" w14:textId="77777777" w:rsidR="002F53B7" w:rsidRPr="005E5D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CF0D1F7" w14:textId="77777777" w:rsidR="002F53B7" w:rsidRPr="005E5D58" w:rsidRDefault="002F53B7" w:rsidP="002F53B7">
            <w:pPr>
              <w:spacing w:after="0" w:line="240" w:lineRule="auto"/>
              <w:rPr>
                <w:rFonts w:eastAsia="Times New Roman" w:cs="Times New Roman"/>
                <w:sz w:val="20"/>
                <w:szCs w:val="20"/>
              </w:rPr>
            </w:pPr>
          </w:p>
        </w:tc>
      </w:tr>
      <w:tr w:rsidR="002F53B7" w:rsidRPr="005E5D58" w14:paraId="3C56394A" w14:textId="77777777" w:rsidTr="002F53B7">
        <w:trPr>
          <w:trHeight w:val="290"/>
        </w:trPr>
        <w:tc>
          <w:tcPr>
            <w:tcW w:w="976" w:type="dxa"/>
            <w:tcBorders>
              <w:top w:val="nil"/>
              <w:left w:val="nil"/>
              <w:bottom w:val="nil"/>
              <w:right w:val="nil"/>
            </w:tcBorders>
            <w:shd w:val="clear" w:color="auto" w:fill="auto"/>
            <w:noWrap/>
            <w:vAlign w:val="bottom"/>
            <w:hideMark/>
          </w:tcPr>
          <w:p w14:paraId="3D177C96" w14:textId="77777777" w:rsidR="002F53B7" w:rsidRPr="005E5D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9135CCF" w14:textId="77777777" w:rsidR="002F53B7" w:rsidRPr="005E5D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06DC54A2" w14:textId="77777777" w:rsidR="002F53B7" w:rsidRPr="005E5D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DA77FC0" w14:textId="77777777" w:rsidR="002F53B7" w:rsidRPr="005E5D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DDCCBBB" w14:textId="77777777" w:rsidR="002F53B7" w:rsidRPr="005E5D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0A809CC1" w14:textId="77777777" w:rsidR="002F53B7" w:rsidRPr="005E5D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030A4719" w14:textId="77777777" w:rsidR="002F53B7" w:rsidRPr="005E5D58" w:rsidRDefault="002F53B7" w:rsidP="002F53B7">
            <w:pPr>
              <w:spacing w:after="0" w:line="240" w:lineRule="auto"/>
              <w:rPr>
                <w:rFonts w:eastAsia="Times New Roman" w:cs="Times New Roman"/>
                <w:sz w:val="20"/>
                <w:szCs w:val="20"/>
              </w:rPr>
            </w:pPr>
          </w:p>
        </w:tc>
      </w:tr>
      <w:tr w:rsidR="002F53B7" w:rsidRPr="005E5D58" w14:paraId="0922684E" w14:textId="77777777" w:rsidTr="002F53B7">
        <w:trPr>
          <w:trHeight w:val="290"/>
        </w:trPr>
        <w:tc>
          <w:tcPr>
            <w:tcW w:w="976" w:type="dxa"/>
            <w:tcBorders>
              <w:top w:val="nil"/>
              <w:left w:val="nil"/>
              <w:bottom w:val="nil"/>
              <w:right w:val="nil"/>
            </w:tcBorders>
            <w:shd w:val="clear" w:color="auto" w:fill="auto"/>
            <w:noWrap/>
            <w:vAlign w:val="bottom"/>
            <w:hideMark/>
          </w:tcPr>
          <w:p w14:paraId="52E08FFF" w14:textId="77777777" w:rsidR="002F53B7" w:rsidRPr="005E5D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0C00F864" w14:textId="77777777" w:rsidR="002F53B7" w:rsidRPr="005E5D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C45C423" w14:textId="77777777" w:rsidR="002F53B7" w:rsidRPr="005E5D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B8221D8" w14:textId="77777777" w:rsidR="002F53B7" w:rsidRPr="005E5D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0A593EFA" w14:textId="77777777" w:rsidR="002F53B7" w:rsidRPr="005E5D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CD1B8B1" w14:textId="77777777" w:rsidR="002F53B7" w:rsidRPr="005E5D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4A716CC" w14:textId="77777777" w:rsidR="002F53B7" w:rsidRPr="005E5D58" w:rsidRDefault="002F53B7" w:rsidP="002F53B7">
            <w:pPr>
              <w:spacing w:after="0" w:line="240" w:lineRule="auto"/>
              <w:rPr>
                <w:rFonts w:eastAsia="Times New Roman" w:cs="Times New Roman"/>
                <w:sz w:val="20"/>
                <w:szCs w:val="20"/>
              </w:rPr>
            </w:pPr>
          </w:p>
        </w:tc>
      </w:tr>
      <w:tr w:rsidR="002F53B7" w:rsidRPr="005E5D58" w14:paraId="6093AEB2" w14:textId="77777777" w:rsidTr="002F53B7">
        <w:trPr>
          <w:trHeight w:val="290"/>
        </w:trPr>
        <w:tc>
          <w:tcPr>
            <w:tcW w:w="976" w:type="dxa"/>
            <w:tcBorders>
              <w:top w:val="nil"/>
              <w:left w:val="nil"/>
              <w:bottom w:val="nil"/>
              <w:right w:val="nil"/>
            </w:tcBorders>
            <w:shd w:val="clear" w:color="auto" w:fill="auto"/>
            <w:noWrap/>
            <w:vAlign w:val="bottom"/>
            <w:hideMark/>
          </w:tcPr>
          <w:p w14:paraId="080823CC" w14:textId="77777777" w:rsidR="002F53B7" w:rsidRPr="005E5D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B520A13" w14:textId="77777777" w:rsidR="002F53B7" w:rsidRPr="005E5D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55940E2" w14:textId="77777777" w:rsidR="002F53B7" w:rsidRPr="005E5D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C1B10F7" w14:textId="77777777" w:rsidR="002F53B7" w:rsidRPr="005E5D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566BF08" w14:textId="77777777" w:rsidR="002F53B7" w:rsidRPr="005E5D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1BB4D95" w14:textId="77777777" w:rsidR="002F53B7" w:rsidRPr="005E5D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99BFF08" w14:textId="77777777" w:rsidR="002F53B7" w:rsidRPr="005E5D58" w:rsidRDefault="002F53B7" w:rsidP="002F53B7">
            <w:pPr>
              <w:spacing w:after="0" w:line="240" w:lineRule="auto"/>
              <w:rPr>
                <w:rFonts w:eastAsia="Times New Roman" w:cs="Times New Roman"/>
                <w:sz w:val="20"/>
                <w:szCs w:val="20"/>
              </w:rPr>
            </w:pPr>
          </w:p>
        </w:tc>
      </w:tr>
      <w:tr w:rsidR="002F53B7" w:rsidRPr="005E5D58" w14:paraId="2C87E261" w14:textId="77777777" w:rsidTr="002F53B7">
        <w:trPr>
          <w:trHeight w:val="290"/>
        </w:trPr>
        <w:tc>
          <w:tcPr>
            <w:tcW w:w="976" w:type="dxa"/>
            <w:tcBorders>
              <w:top w:val="nil"/>
              <w:left w:val="nil"/>
              <w:bottom w:val="nil"/>
              <w:right w:val="nil"/>
            </w:tcBorders>
            <w:shd w:val="clear" w:color="auto" w:fill="auto"/>
            <w:noWrap/>
            <w:vAlign w:val="bottom"/>
            <w:hideMark/>
          </w:tcPr>
          <w:p w14:paraId="1CA1C5DF" w14:textId="77777777" w:rsidR="002F53B7" w:rsidRPr="005E5D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0530C260" w14:textId="77777777" w:rsidR="002F53B7" w:rsidRPr="005E5D58" w:rsidRDefault="002F53B7" w:rsidP="002F53B7">
            <w:pPr>
              <w:spacing w:after="0" w:line="240" w:lineRule="auto"/>
              <w:rPr>
                <w:rFonts w:ascii="Calibri" w:eastAsia="Times New Roman" w:hAnsi="Calibri" w:cs="Calibri"/>
                <w:color w:val="000000"/>
                <w:sz w:val="22"/>
              </w:rPr>
            </w:pPr>
            <w:r w:rsidRPr="005E5D58">
              <w:rPr>
                <w:rFonts w:ascii="Calibri" w:eastAsia="Times New Roman" w:hAnsi="Calibri" w:cs="Calibri"/>
                <w:color w:val="000000"/>
                <w:sz w:val="22"/>
              </w:rPr>
              <w:t>Output</w:t>
            </w:r>
          </w:p>
        </w:tc>
        <w:tc>
          <w:tcPr>
            <w:tcW w:w="976" w:type="dxa"/>
            <w:tcBorders>
              <w:top w:val="nil"/>
              <w:left w:val="nil"/>
              <w:bottom w:val="nil"/>
              <w:right w:val="nil"/>
            </w:tcBorders>
            <w:shd w:val="clear" w:color="auto" w:fill="auto"/>
            <w:noWrap/>
            <w:vAlign w:val="bottom"/>
            <w:hideMark/>
          </w:tcPr>
          <w:p w14:paraId="3A9D7F7E" w14:textId="77777777" w:rsidR="002F53B7" w:rsidRPr="005E5D58" w:rsidRDefault="002F53B7" w:rsidP="002F53B7">
            <w:pPr>
              <w:spacing w:after="0" w:line="240" w:lineRule="auto"/>
              <w:rPr>
                <w:rFonts w:ascii="Calibri" w:eastAsia="Times New Roman" w:hAnsi="Calibri" w:cs="Calibri"/>
                <w:color w:val="000000"/>
                <w:sz w:val="22"/>
              </w:rPr>
            </w:pPr>
            <w:r w:rsidRPr="005E5D58">
              <w:rPr>
                <w:rFonts w:ascii="Calibri" w:eastAsia="Times New Roman" w:hAnsi="Calibri" w:cs="Calibri"/>
                <w:color w:val="000000"/>
                <w:sz w:val="22"/>
              </w:rPr>
              <w:t>Hours</w:t>
            </w:r>
          </w:p>
        </w:tc>
        <w:tc>
          <w:tcPr>
            <w:tcW w:w="976" w:type="dxa"/>
            <w:tcBorders>
              <w:top w:val="nil"/>
              <w:left w:val="nil"/>
              <w:bottom w:val="nil"/>
              <w:right w:val="nil"/>
            </w:tcBorders>
            <w:shd w:val="clear" w:color="auto" w:fill="auto"/>
            <w:noWrap/>
            <w:vAlign w:val="bottom"/>
            <w:hideMark/>
          </w:tcPr>
          <w:p w14:paraId="4730DB77" w14:textId="77777777" w:rsidR="002F53B7" w:rsidRPr="005E5D58" w:rsidRDefault="002F53B7" w:rsidP="002F53B7">
            <w:pPr>
              <w:spacing w:after="0" w:line="240" w:lineRule="auto"/>
              <w:rPr>
                <w:rFonts w:ascii="Calibri" w:eastAsia="Times New Roman" w:hAnsi="Calibri" w:cs="Calibri"/>
                <w:color w:val="000000"/>
                <w:sz w:val="22"/>
              </w:rPr>
            </w:pPr>
            <w:r w:rsidRPr="005E5D58">
              <w:rPr>
                <w:rFonts w:ascii="Calibri" w:eastAsia="Times New Roman" w:hAnsi="Calibri" w:cs="Calibri"/>
                <w:color w:val="000000"/>
                <w:sz w:val="22"/>
              </w:rPr>
              <w:t>Capital</w:t>
            </w:r>
          </w:p>
        </w:tc>
        <w:tc>
          <w:tcPr>
            <w:tcW w:w="976" w:type="dxa"/>
            <w:tcBorders>
              <w:top w:val="nil"/>
              <w:left w:val="nil"/>
              <w:bottom w:val="nil"/>
              <w:right w:val="nil"/>
            </w:tcBorders>
            <w:shd w:val="clear" w:color="auto" w:fill="auto"/>
            <w:noWrap/>
            <w:vAlign w:val="bottom"/>
            <w:hideMark/>
          </w:tcPr>
          <w:p w14:paraId="38604424" w14:textId="77777777" w:rsidR="002F53B7" w:rsidRPr="005E5D58" w:rsidRDefault="002F53B7" w:rsidP="002F53B7">
            <w:pPr>
              <w:spacing w:after="0" w:line="240" w:lineRule="auto"/>
              <w:rPr>
                <w:rFonts w:ascii="Calibri" w:eastAsia="Times New Roman" w:hAnsi="Calibri" w:cs="Calibri"/>
                <w:color w:val="000000"/>
                <w:sz w:val="22"/>
              </w:rPr>
            </w:pPr>
            <w:r w:rsidRPr="005E5D58">
              <w:rPr>
                <w:rFonts w:ascii="Calibri" w:eastAsia="Times New Roman" w:hAnsi="Calibri" w:cs="Calibri"/>
                <w:color w:val="000000"/>
                <w:sz w:val="22"/>
              </w:rPr>
              <w:t>LP</w:t>
            </w:r>
          </w:p>
        </w:tc>
        <w:tc>
          <w:tcPr>
            <w:tcW w:w="976" w:type="dxa"/>
            <w:tcBorders>
              <w:top w:val="nil"/>
              <w:left w:val="nil"/>
              <w:bottom w:val="nil"/>
              <w:right w:val="nil"/>
            </w:tcBorders>
            <w:shd w:val="clear" w:color="auto" w:fill="auto"/>
            <w:noWrap/>
            <w:vAlign w:val="bottom"/>
            <w:hideMark/>
          </w:tcPr>
          <w:p w14:paraId="6022DFBC" w14:textId="77777777" w:rsidR="002F53B7" w:rsidRPr="005E5D58" w:rsidRDefault="002F53B7" w:rsidP="002F53B7">
            <w:pPr>
              <w:spacing w:after="0" w:line="240" w:lineRule="auto"/>
              <w:rPr>
                <w:rFonts w:ascii="Calibri" w:eastAsia="Times New Roman" w:hAnsi="Calibri" w:cs="Calibri"/>
                <w:color w:val="000000"/>
                <w:sz w:val="22"/>
              </w:rPr>
            </w:pPr>
            <w:r w:rsidRPr="005E5D58">
              <w:rPr>
                <w:rFonts w:ascii="Calibri" w:eastAsia="Times New Roman" w:hAnsi="Calibri" w:cs="Calibri"/>
                <w:color w:val="000000"/>
                <w:sz w:val="22"/>
              </w:rPr>
              <w:t>TFP</w:t>
            </w:r>
          </w:p>
        </w:tc>
        <w:tc>
          <w:tcPr>
            <w:tcW w:w="976" w:type="dxa"/>
            <w:tcBorders>
              <w:top w:val="nil"/>
              <w:left w:val="nil"/>
              <w:bottom w:val="nil"/>
              <w:right w:val="nil"/>
            </w:tcBorders>
            <w:shd w:val="clear" w:color="auto" w:fill="auto"/>
            <w:noWrap/>
            <w:vAlign w:val="bottom"/>
            <w:hideMark/>
          </w:tcPr>
          <w:p w14:paraId="34EE1427" w14:textId="77777777" w:rsidR="002F53B7" w:rsidRPr="005E5D58" w:rsidRDefault="002F53B7" w:rsidP="002F53B7">
            <w:pPr>
              <w:spacing w:after="0" w:line="240" w:lineRule="auto"/>
              <w:rPr>
                <w:rFonts w:ascii="Calibri" w:eastAsia="Times New Roman" w:hAnsi="Calibri" w:cs="Calibri"/>
                <w:color w:val="000000"/>
                <w:sz w:val="22"/>
              </w:rPr>
            </w:pPr>
          </w:p>
        </w:tc>
      </w:tr>
      <w:tr w:rsidR="002F53B7" w:rsidRPr="005E5D58" w14:paraId="45233FA2" w14:textId="77777777" w:rsidTr="002F53B7">
        <w:trPr>
          <w:trHeight w:val="290"/>
        </w:trPr>
        <w:tc>
          <w:tcPr>
            <w:tcW w:w="976" w:type="dxa"/>
            <w:tcBorders>
              <w:top w:val="nil"/>
              <w:left w:val="nil"/>
              <w:bottom w:val="nil"/>
              <w:right w:val="nil"/>
            </w:tcBorders>
            <w:shd w:val="clear" w:color="auto" w:fill="auto"/>
            <w:noWrap/>
            <w:vAlign w:val="bottom"/>
            <w:hideMark/>
          </w:tcPr>
          <w:p w14:paraId="74045E47" w14:textId="77777777" w:rsidR="002F53B7" w:rsidRPr="005E5D58" w:rsidRDefault="002F53B7" w:rsidP="002F53B7">
            <w:pPr>
              <w:spacing w:after="0" w:line="240" w:lineRule="auto"/>
              <w:rPr>
                <w:rFonts w:ascii="Calibri" w:eastAsia="Times New Roman" w:hAnsi="Calibri" w:cs="Calibri"/>
                <w:color w:val="000000"/>
                <w:sz w:val="22"/>
              </w:rPr>
            </w:pPr>
            <w:r w:rsidRPr="005E5D58">
              <w:rPr>
                <w:rFonts w:ascii="Calibri" w:eastAsia="Times New Roman" w:hAnsi="Calibri" w:cs="Calibri"/>
                <w:color w:val="000000"/>
                <w:sz w:val="22"/>
              </w:rPr>
              <w:t>Levels</w:t>
            </w:r>
          </w:p>
        </w:tc>
        <w:tc>
          <w:tcPr>
            <w:tcW w:w="976" w:type="dxa"/>
            <w:tcBorders>
              <w:top w:val="nil"/>
              <w:left w:val="nil"/>
              <w:bottom w:val="nil"/>
              <w:right w:val="nil"/>
            </w:tcBorders>
            <w:shd w:val="clear" w:color="auto" w:fill="auto"/>
            <w:noWrap/>
            <w:vAlign w:val="bottom"/>
            <w:hideMark/>
          </w:tcPr>
          <w:p w14:paraId="66A1CF17" w14:textId="77777777" w:rsidR="002F53B7" w:rsidRPr="005E5D58" w:rsidRDefault="002F53B7" w:rsidP="002F53B7">
            <w:pPr>
              <w:spacing w:after="0" w:line="240" w:lineRule="auto"/>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68928496" w14:textId="77777777" w:rsidR="002F53B7" w:rsidRPr="005E5D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7F56986" w14:textId="77777777" w:rsidR="002F53B7" w:rsidRPr="005E5D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CDE1D42" w14:textId="77777777" w:rsidR="002F53B7" w:rsidRPr="005E5D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015562C" w14:textId="77777777" w:rsidR="002F53B7" w:rsidRPr="005E5D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D97D715" w14:textId="77777777" w:rsidR="002F53B7" w:rsidRPr="005E5D58" w:rsidRDefault="002F53B7" w:rsidP="002F53B7">
            <w:pPr>
              <w:spacing w:after="0" w:line="240" w:lineRule="auto"/>
              <w:rPr>
                <w:rFonts w:eastAsia="Times New Roman" w:cs="Times New Roman"/>
                <w:sz w:val="20"/>
                <w:szCs w:val="20"/>
              </w:rPr>
            </w:pPr>
          </w:p>
        </w:tc>
      </w:tr>
      <w:tr w:rsidR="002F53B7" w:rsidRPr="005E5D58" w14:paraId="5305185A" w14:textId="77777777" w:rsidTr="002F53B7">
        <w:trPr>
          <w:trHeight w:val="290"/>
        </w:trPr>
        <w:tc>
          <w:tcPr>
            <w:tcW w:w="976" w:type="dxa"/>
            <w:tcBorders>
              <w:top w:val="nil"/>
              <w:left w:val="nil"/>
              <w:bottom w:val="nil"/>
              <w:right w:val="nil"/>
            </w:tcBorders>
            <w:shd w:val="clear" w:color="auto" w:fill="auto"/>
            <w:noWrap/>
            <w:vAlign w:val="bottom"/>
            <w:hideMark/>
          </w:tcPr>
          <w:p w14:paraId="744CFF31" w14:textId="77777777" w:rsidR="002F53B7" w:rsidRPr="005E5D58" w:rsidRDefault="002F53B7" w:rsidP="002F53B7">
            <w:pPr>
              <w:spacing w:after="0" w:line="240" w:lineRule="auto"/>
              <w:jc w:val="right"/>
              <w:rPr>
                <w:rFonts w:ascii="Calibri" w:eastAsia="Times New Roman" w:hAnsi="Calibri" w:cs="Calibri"/>
                <w:color w:val="000000"/>
                <w:sz w:val="22"/>
              </w:rPr>
            </w:pPr>
            <w:r w:rsidRPr="005E5D58">
              <w:rPr>
                <w:rFonts w:ascii="Calibri" w:eastAsia="Times New Roman" w:hAnsi="Calibri" w:cs="Calibri"/>
                <w:color w:val="000000"/>
                <w:sz w:val="22"/>
              </w:rPr>
              <w:t>1929</w:t>
            </w:r>
          </w:p>
        </w:tc>
        <w:tc>
          <w:tcPr>
            <w:tcW w:w="976" w:type="dxa"/>
            <w:tcBorders>
              <w:top w:val="nil"/>
              <w:left w:val="nil"/>
              <w:bottom w:val="nil"/>
              <w:right w:val="nil"/>
            </w:tcBorders>
            <w:shd w:val="clear" w:color="auto" w:fill="auto"/>
            <w:noWrap/>
            <w:vAlign w:val="bottom"/>
            <w:hideMark/>
          </w:tcPr>
          <w:p w14:paraId="48E6F6BB" w14:textId="77777777" w:rsidR="002F53B7" w:rsidRPr="005E5D58" w:rsidRDefault="002F53B7" w:rsidP="002F53B7">
            <w:pPr>
              <w:spacing w:after="0" w:line="240" w:lineRule="auto"/>
              <w:jc w:val="right"/>
              <w:rPr>
                <w:rFonts w:ascii="Calibri" w:eastAsia="Times New Roman" w:hAnsi="Calibri" w:cs="Calibri"/>
                <w:color w:val="000000"/>
                <w:sz w:val="22"/>
              </w:rPr>
            </w:pPr>
            <w:r w:rsidRPr="005E5D58">
              <w:rPr>
                <w:rFonts w:ascii="Calibri" w:eastAsia="Times New Roman" w:hAnsi="Calibri" w:cs="Calibri"/>
                <w:color w:val="000000"/>
                <w:sz w:val="22"/>
              </w:rPr>
              <w:t>100</w:t>
            </w:r>
          </w:p>
        </w:tc>
        <w:tc>
          <w:tcPr>
            <w:tcW w:w="976" w:type="dxa"/>
            <w:tcBorders>
              <w:top w:val="nil"/>
              <w:left w:val="nil"/>
              <w:bottom w:val="nil"/>
              <w:right w:val="nil"/>
            </w:tcBorders>
            <w:shd w:val="clear" w:color="auto" w:fill="auto"/>
            <w:noWrap/>
            <w:vAlign w:val="bottom"/>
            <w:hideMark/>
          </w:tcPr>
          <w:p w14:paraId="5F944E8E" w14:textId="77777777" w:rsidR="002F53B7" w:rsidRPr="005E5D58" w:rsidRDefault="002F53B7" w:rsidP="002F53B7">
            <w:pPr>
              <w:spacing w:after="0" w:line="240" w:lineRule="auto"/>
              <w:jc w:val="right"/>
              <w:rPr>
                <w:rFonts w:ascii="Calibri" w:eastAsia="Times New Roman" w:hAnsi="Calibri" w:cs="Calibri"/>
                <w:color w:val="000000"/>
                <w:sz w:val="22"/>
              </w:rPr>
            </w:pPr>
            <w:r w:rsidRPr="005E5D58">
              <w:rPr>
                <w:rFonts w:ascii="Calibri" w:eastAsia="Times New Roman" w:hAnsi="Calibri" w:cs="Calibri"/>
                <w:color w:val="000000"/>
                <w:sz w:val="22"/>
              </w:rPr>
              <w:t>100</w:t>
            </w:r>
          </w:p>
        </w:tc>
        <w:tc>
          <w:tcPr>
            <w:tcW w:w="976" w:type="dxa"/>
            <w:tcBorders>
              <w:top w:val="nil"/>
              <w:left w:val="nil"/>
              <w:bottom w:val="nil"/>
              <w:right w:val="nil"/>
            </w:tcBorders>
            <w:shd w:val="clear" w:color="auto" w:fill="auto"/>
            <w:noWrap/>
            <w:vAlign w:val="bottom"/>
            <w:hideMark/>
          </w:tcPr>
          <w:p w14:paraId="579689A2" w14:textId="77777777" w:rsidR="002F53B7" w:rsidRPr="005E5D58" w:rsidRDefault="002F53B7" w:rsidP="002F53B7">
            <w:pPr>
              <w:spacing w:after="0" w:line="240" w:lineRule="auto"/>
              <w:jc w:val="right"/>
              <w:rPr>
                <w:rFonts w:ascii="Calibri" w:eastAsia="Times New Roman" w:hAnsi="Calibri" w:cs="Calibri"/>
                <w:color w:val="000000"/>
                <w:sz w:val="22"/>
              </w:rPr>
            </w:pPr>
            <w:r w:rsidRPr="005E5D58">
              <w:rPr>
                <w:rFonts w:ascii="Calibri" w:eastAsia="Times New Roman" w:hAnsi="Calibri" w:cs="Calibri"/>
                <w:color w:val="000000"/>
                <w:sz w:val="22"/>
              </w:rPr>
              <w:t>27.435</w:t>
            </w:r>
          </w:p>
        </w:tc>
        <w:tc>
          <w:tcPr>
            <w:tcW w:w="976" w:type="dxa"/>
            <w:tcBorders>
              <w:top w:val="nil"/>
              <w:left w:val="nil"/>
              <w:bottom w:val="nil"/>
              <w:right w:val="nil"/>
            </w:tcBorders>
            <w:shd w:val="clear" w:color="auto" w:fill="auto"/>
            <w:noWrap/>
            <w:vAlign w:val="bottom"/>
            <w:hideMark/>
          </w:tcPr>
          <w:p w14:paraId="452AE2D8" w14:textId="77777777" w:rsidR="002F53B7" w:rsidRPr="005E5D58"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194D4DE4" w14:textId="77777777" w:rsidR="002F53B7" w:rsidRPr="005E5D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5B1DA00" w14:textId="77777777" w:rsidR="002F53B7" w:rsidRPr="005E5D58" w:rsidRDefault="002F53B7" w:rsidP="002F53B7">
            <w:pPr>
              <w:spacing w:after="0" w:line="240" w:lineRule="auto"/>
              <w:rPr>
                <w:rFonts w:eastAsia="Times New Roman" w:cs="Times New Roman"/>
                <w:sz w:val="20"/>
                <w:szCs w:val="20"/>
              </w:rPr>
            </w:pPr>
          </w:p>
        </w:tc>
      </w:tr>
      <w:tr w:rsidR="002F53B7" w:rsidRPr="005E5D58" w14:paraId="718D86E0" w14:textId="77777777" w:rsidTr="002F53B7">
        <w:trPr>
          <w:trHeight w:val="290"/>
        </w:trPr>
        <w:tc>
          <w:tcPr>
            <w:tcW w:w="976" w:type="dxa"/>
            <w:tcBorders>
              <w:top w:val="nil"/>
              <w:left w:val="nil"/>
              <w:bottom w:val="nil"/>
              <w:right w:val="nil"/>
            </w:tcBorders>
            <w:shd w:val="clear" w:color="auto" w:fill="auto"/>
            <w:noWrap/>
            <w:vAlign w:val="bottom"/>
            <w:hideMark/>
          </w:tcPr>
          <w:p w14:paraId="0584132F" w14:textId="77777777" w:rsidR="002F53B7" w:rsidRPr="005E5D58" w:rsidRDefault="002F53B7" w:rsidP="002F53B7">
            <w:pPr>
              <w:spacing w:after="0" w:line="240" w:lineRule="auto"/>
              <w:jc w:val="right"/>
              <w:rPr>
                <w:rFonts w:ascii="Calibri" w:eastAsia="Times New Roman" w:hAnsi="Calibri" w:cs="Calibri"/>
                <w:color w:val="000000"/>
                <w:sz w:val="22"/>
              </w:rPr>
            </w:pPr>
            <w:r w:rsidRPr="005E5D58">
              <w:rPr>
                <w:rFonts w:ascii="Calibri" w:eastAsia="Times New Roman" w:hAnsi="Calibri" w:cs="Calibri"/>
                <w:color w:val="000000"/>
                <w:sz w:val="22"/>
              </w:rPr>
              <w:t>1941</w:t>
            </w:r>
          </w:p>
        </w:tc>
        <w:tc>
          <w:tcPr>
            <w:tcW w:w="976" w:type="dxa"/>
            <w:tcBorders>
              <w:top w:val="nil"/>
              <w:left w:val="nil"/>
              <w:bottom w:val="nil"/>
              <w:right w:val="nil"/>
            </w:tcBorders>
            <w:shd w:val="clear" w:color="auto" w:fill="auto"/>
            <w:noWrap/>
            <w:vAlign w:val="bottom"/>
            <w:hideMark/>
          </w:tcPr>
          <w:p w14:paraId="36E0A76D" w14:textId="77777777" w:rsidR="002F53B7" w:rsidRPr="005E5D58" w:rsidRDefault="002F53B7" w:rsidP="002F53B7">
            <w:pPr>
              <w:spacing w:after="0" w:line="240" w:lineRule="auto"/>
              <w:jc w:val="right"/>
              <w:rPr>
                <w:rFonts w:ascii="Calibri" w:eastAsia="Times New Roman" w:hAnsi="Calibri" w:cs="Calibri"/>
                <w:color w:val="000000"/>
                <w:sz w:val="22"/>
              </w:rPr>
            </w:pPr>
            <w:r w:rsidRPr="005E5D58">
              <w:rPr>
                <w:rFonts w:ascii="Calibri" w:eastAsia="Times New Roman" w:hAnsi="Calibri" w:cs="Calibri"/>
                <w:color w:val="000000"/>
                <w:sz w:val="22"/>
              </w:rPr>
              <w:t>106.5</w:t>
            </w:r>
          </w:p>
        </w:tc>
        <w:tc>
          <w:tcPr>
            <w:tcW w:w="976" w:type="dxa"/>
            <w:tcBorders>
              <w:top w:val="nil"/>
              <w:left w:val="nil"/>
              <w:bottom w:val="nil"/>
              <w:right w:val="nil"/>
            </w:tcBorders>
            <w:shd w:val="clear" w:color="auto" w:fill="auto"/>
            <w:noWrap/>
            <w:vAlign w:val="bottom"/>
            <w:hideMark/>
          </w:tcPr>
          <w:p w14:paraId="6383C0A9" w14:textId="77777777" w:rsidR="002F53B7" w:rsidRPr="005E5D58" w:rsidRDefault="002F53B7" w:rsidP="002F53B7">
            <w:pPr>
              <w:spacing w:after="0" w:line="240" w:lineRule="auto"/>
              <w:jc w:val="right"/>
              <w:rPr>
                <w:rFonts w:ascii="Calibri" w:eastAsia="Times New Roman" w:hAnsi="Calibri" w:cs="Calibri"/>
                <w:color w:val="000000"/>
                <w:sz w:val="22"/>
              </w:rPr>
            </w:pPr>
            <w:r w:rsidRPr="005E5D58">
              <w:rPr>
                <w:rFonts w:ascii="Calibri" w:eastAsia="Times New Roman" w:hAnsi="Calibri" w:cs="Calibri"/>
                <w:color w:val="000000"/>
                <w:sz w:val="22"/>
              </w:rPr>
              <w:t>77</w:t>
            </w:r>
          </w:p>
        </w:tc>
        <w:tc>
          <w:tcPr>
            <w:tcW w:w="976" w:type="dxa"/>
            <w:tcBorders>
              <w:top w:val="nil"/>
              <w:left w:val="nil"/>
              <w:bottom w:val="nil"/>
              <w:right w:val="nil"/>
            </w:tcBorders>
            <w:shd w:val="clear" w:color="auto" w:fill="auto"/>
            <w:noWrap/>
            <w:vAlign w:val="bottom"/>
            <w:hideMark/>
          </w:tcPr>
          <w:p w14:paraId="5082F8D9" w14:textId="77777777" w:rsidR="002F53B7" w:rsidRPr="005E5D58" w:rsidRDefault="002F53B7" w:rsidP="002F53B7">
            <w:pPr>
              <w:spacing w:after="0" w:line="240" w:lineRule="auto"/>
              <w:jc w:val="right"/>
              <w:rPr>
                <w:rFonts w:ascii="Calibri" w:eastAsia="Times New Roman" w:hAnsi="Calibri" w:cs="Calibri"/>
                <w:color w:val="000000"/>
                <w:sz w:val="22"/>
              </w:rPr>
            </w:pPr>
            <w:r w:rsidRPr="005E5D58">
              <w:rPr>
                <w:rFonts w:ascii="Calibri" w:eastAsia="Times New Roman" w:hAnsi="Calibri" w:cs="Calibri"/>
                <w:color w:val="000000"/>
                <w:sz w:val="22"/>
              </w:rPr>
              <w:t>26.989</w:t>
            </w:r>
          </w:p>
        </w:tc>
        <w:tc>
          <w:tcPr>
            <w:tcW w:w="976" w:type="dxa"/>
            <w:tcBorders>
              <w:top w:val="nil"/>
              <w:left w:val="nil"/>
              <w:bottom w:val="nil"/>
              <w:right w:val="nil"/>
            </w:tcBorders>
            <w:shd w:val="clear" w:color="auto" w:fill="auto"/>
            <w:noWrap/>
            <w:vAlign w:val="bottom"/>
            <w:hideMark/>
          </w:tcPr>
          <w:p w14:paraId="4B91746C" w14:textId="77777777" w:rsidR="002F53B7" w:rsidRPr="005E5D58"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262C3A0A" w14:textId="77777777" w:rsidR="002F53B7" w:rsidRPr="005E5D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09BB4D34" w14:textId="77777777" w:rsidR="002F53B7" w:rsidRPr="005E5D58" w:rsidRDefault="002F53B7" w:rsidP="002F53B7">
            <w:pPr>
              <w:spacing w:after="0" w:line="240" w:lineRule="auto"/>
              <w:rPr>
                <w:rFonts w:eastAsia="Times New Roman" w:cs="Times New Roman"/>
                <w:sz w:val="20"/>
                <w:szCs w:val="20"/>
              </w:rPr>
            </w:pPr>
          </w:p>
        </w:tc>
      </w:tr>
      <w:tr w:rsidR="002F53B7" w:rsidRPr="005E5D58" w14:paraId="212A6A80" w14:textId="77777777" w:rsidTr="002F53B7">
        <w:trPr>
          <w:trHeight w:val="290"/>
        </w:trPr>
        <w:tc>
          <w:tcPr>
            <w:tcW w:w="976" w:type="dxa"/>
            <w:tcBorders>
              <w:top w:val="nil"/>
              <w:left w:val="nil"/>
              <w:bottom w:val="nil"/>
              <w:right w:val="nil"/>
            </w:tcBorders>
            <w:shd w:val="clear" w:color="auto" w:fill="auto"/>
            <w:noWrap/>
            <w:vAlign w:val="bottom"/>
            <w:hideMark/>
          </w:tcPr>
          <w:p w14:paraId="5D7C280C" w14:textId="77777777" w:rsidR="002F53B7" w:rsidRPr="005E5D58" w:rsidRDefault="002F53B7" w:rsidP="002F53B7">
            <w:pPr>
              <w:spacing w:after="0" w:line="240" w:lineRule="auto"/>
              <w:jc w:val="right"/>
              <w:rPr>
                <w:rFonts w:ascii="Calibri" w:eastAsia="Times New Roman" w:hAnsi="Calibri" w:cs="Calibri"/>
                <w:color w:val="000000"/>
                <w:sz w:val="22"/>
              </w:rPr>
            </w:pPr>
            <w:r w:rsidRPr="005E5D58">
              <w:rPr>
                <w:rFonts w:ascii="Calibri" w:eastAsia="Times New Roman" w:hAnsi="Calibri" w:cs="Calibri"/>
                <w:color w:val="000000"/>
                <w:sz w:val="22"/>
              </w:rPr>
              <w:t>1948</w:t>
            </w:r>
          </w:p>
        </w:tc>
        <w:tc>
          <w:tcPr>
            <w:tcW w:w="976" w:type="dxa"/>
            <w:tcBorders>
              <w:top w:val="nil"/>
              <w:left w:val="nil"/>
              <w:bottom w:val="nil"/>
              <w:right w:val="nil"/>
            </w:tcBorders>
            <w:shd w:val="clear" w:color="auto" w:fill="auto"/>
            <w:noWrap/>
            <w:vAlign w:val="bottom"/>
            <w:hideMark/>
          </w:tcPr>
          <w:p w14:paraId="7F194B1E" w14:textId="77777777" w:rsidR="002F53B7" w:rsidRPr="005E5D58" w:rsidRDefault="002F53B7" w:rsidP="002F53B7">
            <w:pPr>
              <w:spacing w:after="0" w:line="240" w:lineRule="auto"/>
              <w:jc w:val="right"/>
              <w:rPr>
                <w:rFonts w:ascii="Calibri" w:eastAsia="Times New Roman" w:hAnsi="Calibri" w:cs="Calibri"/>
                <w:color w:val="000000"/>
                <w:sz w:val="22"/>
              </w:rPr>
            </w:pPr>
            <w:r w:rsidRPr="005E5D58">
              <w:rPr>
                <w:rFonts w:ascii="Calibri" w:eastAsia="Times New Roman" w:hAnsi="Calibri" w:cs="Calibri"/>
                <w:color w:val="000000"/>
                <w:sz w:val="22"/>
              </w:rPr>
              <w:t>133.3</w:t>
            </w:r>
          </w:p>
        </w:tc>
        <w:tc>
          <w:tcPr>
            <w:tcW w:w="976" w:type="dxa"/>
            <w:tcBorders>
              <w:top w:val="nil"/>
              <w:left w:val="nil"/>
              <w:bottom w:val="nil"/>
              <w:right w:val="nil"/>
            </w:tcBorders>
            <w:shd w:val="clear" w:color="auto" w:fill="auto"/>
            <w:noWrap/>
            <w:vAlign w:val="bottom"/>
            <w:hideMark/>
          </w:tcPr>
          <w:p w14:paraId="0863BA48" w14:textId="77777777" w:rsidR="002F53B7" w:rsidRPr="005E5D58" w:rsidRDefault="002F53B7" w:rsidP="002F53B7">
            <w:pPr>
              <w:spacing w:after="0" w:line="240" w:lineRule="auto"/>
              <w:jc w:val="right"/>
              <w:rPr>
                <w:rFonts w:ascii="Calibri" w:eastAsia="Times New Roman" w:hAnsi="Calibri" w:cs="Calibri"/>
                <w:color w:val="000000"/>
                <w:sz w:val="22"/>
              </w:rPr>
            </w:pPr>
            <w:r w:rsidRPr="005E5D58">
              <w:rPr>
                <w:rFonts w:ascii="Calibri" w:eastAsia="Times New Roman" w:hAnsi="Calibri" w:cs="Calibri"/>
                <w:color w:val="000000"/>
                <w:sz w:val="22"/>
              </w:rPr>
              <w:t>88.9</w:t>
            </w:r>
          </w:p>
        </w:tc>
        <w:tc>
          <w:tcPr>
            <w:tcW w:w="976" w:type="dxa"/>
            <w:tcBorders>
              <w:top w:val="nil"/>
              <w:left w:val="nil"/>
              <w:bottom w:val="nil"/>
              <w:right w:val="nil"/>
            </w:tcBorders>
            <w:shd w:val="clear" w:color="auto" w:fill="auto"/>
            <w:noWrap/>
            <w:vAlign w:val="bottom"/>
            <w:hideMark/>
          </w:tcPr>
          <w:p w14:paraId="74EE23B6" w14:textId="77777777" w:rsidR="002F53B7" w:rsidRPr="005E5D58" w:rsidRDefault="002F53B7" w:rsidP="002F53B7">
            <w:pPr>
              <w:spacing w:after="0" w:line="240" w:lineRule="auto"/>
              <w:jc w:val="right"/>
              <w:rPr>
                <w:rFonts w:ascii="Calibri" w:eastAsia="Times New Roman" w:hAnsi="Calibri" w:cs="Calibri"/>
                <w:color w:val="000000"/>
                <w:sz w:val="22"/>
              </w:rPr>
            </w:pPr>
            <w:r w:rsidRPr="005E5D58">
              <w:rPr>
                <w:rFonts w:ascii="Calibri" w:eastAsia="Times New Roman" w:hAnsi="Calibri" w:cs="Calibri"/>
                <w:color w:val="000000"/>
                <w:sz w:val="22"/>
              </w:rPr>
              <w:t>35.147</w:t>
            </w:r>
          </w:p>
        </w:tc>
        <w:tc>
          <w:tcPr>
            <w:tcW w:w="976" w:type="dxa"/>
            <w:tcBorders>
              <w:top w:val="nil"/>
              <w:left w:val="nil"/>
              <w:bottom w:val="nil"/>
              <w:right w:val="nil"/>
            </w:tcBorders>
            <w:shd w:val="clear" w:color="auto" w:fill="auto"/>
            <w:noWrap/>
            <w:vAlign w:val="bottom"/>
            <w:hideMark/>
          </w:tcPr>
          <w:p w14:paraId="6EDCE8DD" w14:textId="77777777" w:rsidR="002F53B7" w:rsidRPr="005E5D58"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2BDE47EB" w14:textId="77777777" w:rsidR="002F53B7" w:rsidRPr="005E5D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0979CFED" w14:textId="77777777" w:rsidR="002F53B7" w:rsidRPr="005E5D58" w:rsidRDefault="002F53B7" w:rsidP="002F53B7">
            <w:pPr>
              <w:spacing w:after="0" w:line="240" w:lineRule="auto"/>
              <w:rPr>
                <w:rFonts w:eastAsia="Times New Roman" w:cs="Times New Roman"/>
                <w:sz w:val="20"/>
                <w:szCs w:val="20"/>
              </w:rPr>
            </w:pPr>
          </w:p>
        </w:tc>
      </w:tr>
      <w:tr w:rsidR="002F53B7" w:rsidRPr="005E5D58" w14:paraId="5561ED13" w14:textId="77777777" w:rsidTr="002F53B7">
        <w:trPr>
          <w:trHeight w:val="290"/>
        </w:trPr>
        <w:tc>
          <w:tcPr>
            <w:tcW w:w="976" w:type="dxa"/>
            <w:tcBorders>
              <w:top w:val="nil"/>
              <w:left w:val="nil"/>
              <w:bottom w:val="nil"/>
              <w:right w:val="nil"/>
            </w:tcBorders>
            <w:shd w:val="clear" w:color="auto" w:fill="auto"/>
            <w:noWrap/>
            <w:vAlign w:val="bottom"/>
            <w:hideMark/>
          </w:tcPr>
          <w:p w14:paraId="73447B33" w14:textId="77777777" w:rsidR="002F53B7" w:rsidRPr="005E5D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5375767" w14:textId="77777777" w:rsidR="002F53B7" w:rsidRPr="005E5D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720D844" w14:textId="77777777" w:rsidR="002F53B7" w:rsidRPr="005E5D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2159E58" w14:textId="77777777" w:rsidR="002F53B7" w:rsidRPr="005E5D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2685030" w14:textId="77777777" w:rsidR="002F53B7" w:rsidRPr="005E5D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6D92072" w14:textId="77777777" w:rsidR="002F53B7" w:rsidRPr="005E5D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2BE9B8B" w14:textId="77777777" w:rsidR="002F53B7" w:rsidRPr="005E5D58" w:rsidRDefault="002F53B7" w:rsidP="002F53B7">
            <w:pPr>
              <w:spacing w:after="0" w:line="240" w:lineRule="auto"/>
              <w:rPr>
                <w:rFonts w:eastAsia="Times New Roman" w:cs="Times New Roman"/>
                <w:sz w:val="20"/>
                <w:szCs w:val="20"/>
              </w:rPr>
            </w:pPr>
          </w:p>
        </w:tc>
      </w:tr>
      <w:tr w:rsidR="002F53B7" w:rsidRPr="005E5D58" w14:paraId="6C2A3B59" w14:textId="77777777" w:rsidTr="002F53B7">
        <w:trPr>
          <w:trHeight w:val="290"/>
        </w:trPr>
        <w:tc>
          <w:tcPr>
            <w:tcW w:w="1952" w:type="dxa"/>
            <w:gridSpan w:val="2"/>
            <w:tcBorders>
              <w:top w:val="nil"/>
              <w:left w:val="nil"/>
              <w:bottom w:val="nil"/>
              <w:right w:val="nil"/>
            </w:tcBorders>
            <w:shd w:val="clear" w:color="auto" w:fill="auto"/>
            <w:noWrap/>
            <w:vAlign w:val="bottom"/>
            <w:hideMark/>
          </w:tcPr>
          <w:p w14:paraId="28D0D9FB" w14:textId="77777777" w:rsidR="002F53B7" w:rsidRPr="005E5D58" w:rsidRDefault="002F53B7" w:rsidP="002F53B7">
            <w:pPr>
              <w:spacing w:after="0" w:line="240" w:lineRule="auto"/>
              <w:rPr>
                <w:rFonts w:ascii="Calibri" w:eastAsia="Times New Roman" w:hAnsi="Calibri" w:cs="Calibri"/>
                <w:color w:val="000000"/>
                <w:sz w:val="22"/>
              </w:rPr>
            </w:pPr>
            <w:r w:rsidRPr="005E5D58">
              <w:rPr>
                <w:rFonts w:ascii="Calibri" w:eastAsia="Times New Roman" w:hAnsi="Calibri" w:cs="Calibri"/>
                <w:color w:val="000000"/>
                <w:sz w:val="22"/>
              </w:rPr>
              <w:t>Rates of Growth</w:t>
            </w:r>
          </w:p>
        </w:tc>
        <w:tc>
          <w:tcPr>
            <w:tcW w:w="976" w:type="dxa"/>
            <w:tcBorders>
              <w:top w:val="nil"/>
              <w:left w:val="nil"/>
              <w:bottom w:val="nil"/>
              <w:right w:val="nil"/>
            </w:tcBorders>
            <w:shd w:val="clear" w:color="auto" w:fill="auto"/>
            <w:noWrap/>
            <w:vAlign w:val="bottom"/>
            <w:hideMark/>
          </w:tcPr>
          <w:p w14:paraId="6F47311F" w14:textId="77777777" w:rsidR="002F53B7" w:rsidRPr="005E5D58" w:rsidRDefault="002F53B7" w:rsidP="002F53B7">
            <w:pPr>
              <w:spacing w:after="0" w:line="240" w:lineRule="auto"/>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19346248" w14:textId="77777777" w:rsidR="002F53B7" w:rsidRPr="005E5D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09AB2CEA" w14:textId="77777777" w:rsidR="002F53B7" w:rsidRPr="005E5D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06E6CECC" w14:textId="77777777" w:rsidR="002F53B7" w:rsidRPr="005E5D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F982E04" w14:textId="77777777" w:rsidR="002F53B7" w:rsidRPr="005E5D58" w:rsidRDefault="002F53B7" w:rsidP="002F53B7">
            <w:pPr>
              <w:spacing w:after="0" w:line="240" w:lineRule="auto"/>
              <w:rPr>
                <w:rFonts w:eastAsia="Times New Roman" w:cs="Times New Roman"/>
                <w:sz w:val="20"/>
                <w:szCs w:val="20"/>
              </w:rPr>
            </w:pPr>
          </w:p>
        </w:tc>
      </w:tr>
      <w:tr w:rsidR="002F53B7" w:rsidRPr="005E5D58" w14:paraId="6F43C8C2" w14:textId="77777777" w:rsidTr="002F53B7">
        <w:trPr>
          <w:trHeight w:val="290"/>
        </w:trPr>
        <w:tc>
          <w:tcPr>
            <w:tcW w:w="976" w:type="dxa"/>
            <w:tcBorders>
              <w:top w:val="nil"/>
              <w:left w:val="nil"/>
              <w:bottom w:val="nil"/>
              <w:right w:val="nil"/>
            </w:tcBorders>
            <w:shd w:val="clear" w:color="auto" w:fill="auto"/>
            <w:noWrap/>
            <w:vAlign w:val="bottom"/>
            <w:hideMark/>
          </w:tcPr>
          <w:p w14:paraId="2B33B4C1" w14:textId="77777777" w:rsidR="002F53B7" w:rsidRPr="005E5D58" w:rsidRDefault="002F53B7" w:rsidP="002F53B7">
            <w:pPr>
              <w:spacing w:after="0" w:line="240" w:lineRule="auto"/>
              <w:rPr>
                <w:rFonts w:ascii="Calibri" w:eastAsia="Times New Roman" w:hAnsi="Calibri" w:cs="Calibri"/>
                <w:color w:val="000000"/>
                <w:sz w:val="22"/>
              </w:rPr>
            </w:pPr>
            <w:r w:rsidRPr="005E5D58">
              <w:rPr>
                <w:rFonts w:ascii="Calibri" w:eastAsia="Times New Roman" w:hAnsi="Calibri" w:cs="Calibri"/>
                <w:color w:val="000000"/>
                <w:sz w:val="22"/>
              </w:rPr>
              <w:t>1929-41</w:t>
            </w:r>
          </w:p>
        </w:tc>
        <w:tc>
          <w:tcPr>
            <w:tcW w:w="976" w:type="dxa"/>
            <w:tcBorders>
              <w:top w:val="nil"/>
              <w:left w:val="nil"/>
              <w:bottom w:val="nil"/>
              <w:right w:val="nil"/>
            </w:tcBorders>
            <w:shd w:val="clear" w:color="auto" w:fill="auto"/>
            <w:noWrap/>
            <w:vAlign w:val="bottom"/>
            <w:hideMark/>
          </w:tcPr>
          <w:p w14:paraId="79AA077B" w14:textId="77777777" w:rsidR="002F53B7" w:rsidRPr="005E5D58" w:rsidRDefault="002F53B7" w:rsidP="002F53B7">
            <w:pPr>
              <w:spacing w:after="0" w:line="240" w:lineRule="auto"/>
              <w:jc w:val="right"/>
              <w:rPr>
                <w:rFonts w:ascii="Calibri" w:eastAsia="Times New Roman" w:hAnsi="Calibri" w:cs="Calibri"/>
                <w:color w:val="000000"/>
                <w:sz w:val="22"/>
              </w:rPr>
            </w:pPr>
            <w:r w:rsidRPr="005E5D58">
              <w:rPr>
                <w:rFonts w:ascii="Calibri" w:eastAsia="Times New Roman" w:hAnsi="Calibri" w:cs="Calibri"/>
                <w:color w:val="000000"/>
                <w:sz w:val="22"/>
              </w:rPr>
              <w:t>0.0052</w:t>
            </w:r>
          </w:p>
        </w:tc>
        <w:tc>
          <w:tcPr>
            <w:tcW w:w="976" w:type="dxa"/>
            <w:tcBorders>
              <w:top w:val="nil"/>
              <w:left w:val="nil"/>
              <w:bottom w:val="nil"/>
              <w:right w:val="nil"/>
            </w:tcBorders>
            <w:shd w:val="clear" w:color="auto" w:fill="auto"/>
            <w:noWrap/>
            <w:vAlign w:val="bottom"/>
            <w:hideMark/>
          </w:tcPr>
          <w:p w14:paraId="0AEE02CE" w14:textId="77777777" w:rsidR="002F53B7" w:rsidRPr="005E5D58" w:rsidRDefault="002F53B7" w:rsidP="002F53B7">
            <w:pPr>
              <w:spacing w:after="0" w:line="240" w:lineRule="auto"/>
              <w:jc w:val="right"/>
              <w:rPr>
                <w:rFonts w:ascii="Calibri" w:eastAsia="Times New Roman" w:hAnsi="Calibri" w:cs="Calibri"/>
                <w:color w:val="000000"/>
                <w:sz w:val="22"/>
              </w:rPr>
            </w:pPr>
            <w:r w:rsidRPr="005E5D58">
              <w:rPr>
                <w:rFonts w:ascii="Calibri" w:eastAsia="Times New Roman" w:hAnsi="Calibri" w:cs="Calibri"/>
                <w:color w:val="000000"/>
                <w:sz w:val="22"/>
              </w:rPr>
              <w:t>-0.0218</w:t>
            </w:r>
          </w:p>
        </w:tc>
        <w:tc>
          <w:tcPr>
            <w:tcW w:w="976" w:type="dxa"/>
            <w:tcBorders>
              <w:top w:val="nil"/>
              <w:left w:val="nil"/>
              <w:bottom w:val="nil"/>
              <w:right w:val="nil"/>
            </w:tcBorders>
            <w:shd w:val="clear" w:color="auto" w:fill="auto"/>
            <w:noWrap/>
            <w:vAlign w:val="bottom"/>
            <w:hideMark/>
          </w:tcPr>
          <w:p w14:paraId="67EE5BE5" w14:textId="77777777" w:rsidR="002F53B7" w:rsidRPr="005E5D58" w:rsidRDefault="002F53B7" w:rsidP="002F53B7">
            <w:pPr>
              <w:spacing w:after="0" w:line="240" w:lineRule="auto"/>
              <w:jc w:val="right"/>
              <w:rPr>
                <w:rFonts w:ascii="Calibri" w:eastAsia="Times New Roman" w:hAnsi="Calibri" w:cs="Calibri"/>
                <w:color w:val="000000"/>
                <w:sz w:val="22"/>
              </w:rPr>
            </w:pPr>
            <w:r w:rsidRPr="005E5D58">
              <w:rPr>
                <w:rFonts w:ascii="Calibri" w:eastAsia="Times New Roman" w:hAnsi="Calibri" w:cs="Calibri"/>
                <w:color w:val="000000"/>
                <w:sz w:val="22"/>
              </w:rPr>
              <w:t>-0.0014</w:t>
            </w:r>
          </w:p>
        </w:tc>
        <w:tc>
          <w:tcPr>
            <w:tcW w:w="976" w:type="dxa"/>
            <w:tcBorders>
              <w:top w:val="nil"/>
              <w:left w:val="nil"/>
              <w:bottom w:val="nil"/>
              <w:right w:val="nil"/>
            </w:tcBorders>
            <w:shd w:val="clear" w:color="auto" w:fill="auto"/>
            <w:noWrap/>
            <w:vAlign w:val="bottom"/>
            <w:hideMark/>
          </w:tcPr>
          <w:p w14:paraId="3E484FD6" w14:textId="77777777" w:rsidR="002F53B7" w:rsidRPr="005E5D58" w:rsidRDefault="002F53B7" w:rsidP="002F53B7">
            <w:pPr>
              <w:spacing w:after="0" w:line="240" w:lineRule="auto"/>
              <w:jc w:val="right"/>
              <w:rPr>
                <w:rFonts w:ascii="Calibri" w:eastAsia="Times New Roman" w:hAnsi="Calibri" w:cs="Calibri"/>
                <w:color w:val="000000"/>
                <w:sz w:val="22"/>
              </w:rPr>
            </w:pPr>
            <w:r w:rsidRPr="005E5D58">
              <w:rPr>
                <w:rFonts w:ascii="Calibri" w:eastAsia="Times New Roman" w:hAnsi="Calibri" w:cs="Calibri"/>
                <w:color w:val="000000"/>
                <w:sz w:val="22"/>
              </w:rPr>
              <w:t>0.0270</w:t>
            </w:r>
          </w:p>
        </w:tc>
        <w:tc>
          <w:tcPr>
            <w:tcW w:w="976" w:type="dxa"/>
            <w:tcBorders>
              <w:top w:val="nil"/>
              <w:left w:val="nil"/>
              <w:bottom w:val="nil"/>
              <w:right w:val="nil"/>
            </w:tcBorders>
            <w:shd w:val="clear" w:color="auto" w:fill="auto"/>
            <w:noWrap/>
            <w:vAlign w:val="bottom"/>
            <w:hideMark/>
          </w:tcPr>
          <w:p w14:paraId="772B90F1" w14:textId="77777777" w:rsidR="002F53B7" w:rsidRPr="00FA6DE8" w:rsidRDefault="002F53B7" w:rsidP="002F53B7">
            <w:pPr>
              <w:spacing w:after="0" w:line="240" w:lineRule="auto"/>
              <w:jc w:val="right"/>
              <w:rPr>
                <w:rFonts w:ascii="Calibri" w:eastAsia="Times New Roman" w:hAnsi="Calibri" w:cs="Calibri"/>
                <w:b/>
                <w:color w:val="000000"/>
                <w:sz w:val="22"/>
              </w:rPr>
            </w:pPr>
            <w:r w:rsidRPr="00FA6DE8">
              <w:rPr>
                <w:rFonts w:ascii="Calibri" w:eastAsia="Times New Roman" w:hAnsi="Calibri" w:cs="Calibri"/>
                <w:b/>
                <w:color w:val="000000"/>
                <w:sz w:val="22"/>
              </w:rPr>
              <w:t>0.0209</w:t>
            </w:r>
          </w:p>
        </w:tc>
        <w:tc>
          <w:tcPr>
            <w:tcW w:w="976" w:type="dxa"/>
            <w:tcBorders>
              <w:top w:val="nil"/>
              <w:left w:val="nil"/>
              <w:bottom w:val="nil"/>
              <w:right w:val="nil"/>
            </w:tcBorders>
            <w:shd w:val="clear" w:color="auto" w:fill="auto"/>
            <w:noWrap/>
            <w:vAlign w:val="bottom"/>
            <w:hideMark/>
          </w:tcPr>
          <w:p w14:paraId="5D646356" w14:textId="77777777" w:rsidR="002F53B7" w:rsidRPr="005E5D58" w:rsidRDefault="002F53B7" w:rsidP="002F53B7">
            <w:pPr>
              <w:spacing w:after="0" w:line="240" w:lineRule="auto"/>
              <w:jc w:val="right"/>
              <w:rPr>
                <w:rFonts w:ascii="Calibri" w:eastAsia="Times New Roman" w:hAnsi="Calibri" w:cs="Calibri"/>
                <w:color w:val="000000"/>
                <w:sz w:val="22"/>
              </w:rPr>
            </w:pPr>
          </w:p>
        </w:tc>
      </w:tr>
      <w:tr w:rsidR="002F53B7" w:rsidRPr="005E5D58" w14:paraId="682EFE24" w14:textId="77777777" w:rsidTr="002F53B7">
        <w:trPr>
          <w:trHeight w:val="290"/>
        </w:trPr>
        <w:tc>
          <w:tcPr>
            <w:tcW w:w="976" w:type="dxa"/>
            <w:tcBorders>
              <w:top w:val="nil"/>
              <w:left w:val="nil"/>
              <w:bottom w:val="nil"/>
              <w:right w:val="nil"/>
            </w:tcBorders>
            <w:shd w:val="clear" w:color="auto" w:fill="auto"/>
            <w:noWrap/>
            <w:vAlign w:val="bottom"/>
            <w:hideMark/>
          </w:tcPr>
          <w:p w14:paraId="1679B79C" w14:textId="77777777" w:rsidR="002F53B7" w:rsidRPr="005E5D58" w:rsidRDefault="002F53B7" w:rsidP="002F53B7">
            <w:pPr>
              <w:spacing w:after="0" w:line="240" w:lineRule="auto"/>
              <w:rPr>
                <w:rFonts w:ascii="Calibri" w:eastAsia="Times New Roman" w:hAnsi="Calibri" w:cs="Calibri"/>
                <w:color w:val="000000"/>
                <w:sz w:val="22"/>
              </w:rPr>
            </w:pPr>
            <w:r w:rsidRPr="005E5D58">
              <w:rPr>
                <w:rFonts w:ascii="Calibri" w:eastAsia="Times New Roman" w:hAnsi="Calibri" w:cs="Calibri"/>
                <w:color w:val="000000"/>
                <w:sz w:val="22"/>
              </w:rPr>
              <w:t>1941-48</w:t>
            </w:r>
          </w:p>
        </w:tc>
        <w:tc>
          <w:tcPr>
            <w:tcW w:w="976" w:type="dxa"/>
            <w:tcBorders>
              <w:top w:val="nil"/>
              <w:left w:val="nil"/>
              <w:bottom w:val="nil"/>
              <w:right w:val="nil"/>
            </w:tcBorders>
            <w:shd w:val="clear" w:color="auto" w:fill="auto"/>
            <w:noWrap/>
            <w:vAlign w:val="bottom"/>
            <w:hideMark/>
          </w:tcPr>
          <w:p w14:paraId="56859C55" w14:textId="77777777" w:rsidR="002F53B7" w:rsidRPr="005E5D58" w:rsidRDefault="002F53B7" w:rsidP="002F53B7">
            <w:pPr>
              <w:spacing w:after="0" w:line="240" w:lineRule="auto"/>
              <w:jc w:val="right"/>
              <w:rPr>
                <w:rFonts w:ascii="Calibri" w:eastAsia="Times New Roman" w:hAnsi="Calibri" w:cs="Calibri"/>
                <w:color w:val="000000"/>
                <w:sz w:val="22"/>
              </w:rPr>
            </w:pPr>
            <w:r w:rsidRPr="005E5D58">
              <w:rPr>
                <w:rFonts w:ascii="Calibri" w:eastAsia="Times New Roman" w:hAnsi="Calibri" w:cs="Calibri"/>
                <w:color w:val="000000"/>
                <w:sz w:val="22"/>
              </w:rPr>
              <w:t>0.0321</w:t>
            </w:r>
          </w:p>
        </w:tc>
        <w:tc>
          <w:tcPr>
            <w:tcW w:w="976" w:type="dxa"/>
            <w:tcBorders>
              <w:top w:val="nil"/>
              <w:left w:val="nil"/>
              <w:bottom w:val="nil"/>
              <w:right w:val="nil"/>
            </w:tcBorders>
            <w:shd w:val="clear" w:color="auto" w:fill="auto"/>
            <w:noWrap/>
            <w:vAlign w:val="bottom"/>
            <w:hideMark/>
          </w:tcPr>
          <w:p w14:paraId="5ECB5FB7" w14:textId="77777777" w:rsidR="002F53B7" w:rsidRPr="005E5D58" w:rsidRDefault="002F53B7" w:rsidP="002F53B7">
            <w:pPr>
              <w:spacing w:after="0" w:line="240" w:lineRule="auto"/>
              <w:jc w:val="right"/>
              <w:rPr>
                <w:rFonts w:ascii="Calibri" w:eastAsia="Times New Roman" w:hAnsi="Calibri" w:cs="Calibri"/>
                <w:color w:val="000000"/>
                <w:sz w:val="22"/>
              </w:rPr>
            </w:pPr>
            <w:r w:rsidRPr="005E5D58">
              <w:rPr>
                <w:rFonts w:ascii="Calibri" w:eastAsia="Times New Roman" w:hAnsi="Calibri" w:cs="Calibri"/>
                <w:color w:val="000000"/>
                <w:sz w:val="22"/>
              </w:rPr>
              <w:t>0.0205</w:t>
            </w:r>
          </w:p>
        </w:tc>
        <w:tc>
          <w:tcPr>
            <w:tcW w:w="976" w:type="dxa"/>
            <w:tcBorders>
              <w:top w:val="nil"/>
              <w:left w:val="nil"/>
              <w:bottom w:val="nil"/>
              <w:right w:val="nil"/>
            </w:tcBorders>
            <w:shd w:val="clear" w:color="auto" w:fill="auto"/>
            <w:noWrap/>
            <w:vAlign w:val="bottom"/>
            <w:hideMark/>
          </w:tcPr>
          <w:p w14:paraId="3B23CC78" w14:textId="77777777" w:rsidR="002F53B7" w:rsidRPr="005E5D58" w:rsidRDefault="002F53B7" w:rsidP="002F53B7">
            <w:pPr>
              <w:spacing w:after="0" w:line="240" w:lineRule="auto"/>
              <w:jc w:val="right"/>
              <w:rPr>
                <w:rFonts w:ascii="Calibri" w:eastAsia="Times New Roman" w:hAnsi="Calibri" w:cs="Calibri"/>
                <w:color w:val="000000"/>
                <w:sz w:val="22"/>
              </w:rPr>
            </w:pPr>
            <w:r w:rsidRPr="005E5D58">
              <w:rPr>
                <w:rFonts w:ascii="Calibri" w:eastAsia="Times New Roman" w:hAnsi="Calibri" w:cs="Calibri"/>
                <w:color w:val="000000"/>
                <w:sz w:val="22"/>
              </w:rPr>
              <w:t>0.0377</w:t>
            </w:r>
          </w:p>
        </w:tc>
        <w:tc>
          <w:tcPr>
            <w:tcW w:w="976" w:type="dxa"/>
            <w:tcBorders>
              <w:top w:val="nil"/>
              <w:left w:val="nil"/>
              <w:bottom w:val="nil"/>
              <w:right w:val="nil"/>
            </w:tcBorders>
            <w:shd w:val="clear" w:color="auto" w:fill="auto"/>
            <w:noWrap/>
            <w:vAlign w:val="bottom"/>
            <w:hideMark/>
          </w:tcPr>
          <w:p w14:paraId="6767DB07" w14:textId="77777777" w:rsidR="002F53B7" w:rsidRPr="005E5D58" w:rsidRDefault="002F53B7" w:rsidP="002F53B7">
            <w:pPr>
              <w:spacing w:after="0" w:line="240" w:lineRule="auto"/>
              <w:jc w:val="right"/>
              <w:rPr>
                <w:rFonts w:ascii="Calibri" w:eastAsia="Times New Roman" w:hAnsi="Calibri" w:cs="Calibri"/>
                <w:color w:val="000000"/>
                <w:sz w:val="22"/>
              </w:rPr>
            </w:pPr>
            <w:r w:rsidRPr="005E5D58">
              <w:rPr>
                <w:rFonts w:ascii="Calibri" w:eastAsia="Times New Roman" w:hAnsi="Calibri" w:cs="Calibri"/>
                <w:color w:val="000000"/>
                <w:sz w:val="22"/>
              </w:rPr>
              <w:t>0.0115</w:t>
            </w:r>
          </w:p>
        </w:tc>
        <w:tc>
          <w:tcPr>
            <w:tcW w:w="976" w:type="dxa"/>
            <w:tcBorders>
              <w:top w:val="nil"/>
              <w:left w:val="nil"/>
              <w:bottom w:val="nil"/>
              <w:right w:val="nil"/>
            </w:tcBorders>
            <w:shd w:val="clear" w:color="auto" w:fill="auto"/>
            <w:noWrap/>
            <w:vAlign w:val="bottom"/>
            <w:hideMark/>
          </w:tcPr>
          <w:p w14:paraId="164A87AB" w14:textId="77777777" w:rsidR="002F53B7" w:rsidRPr="00FA6DE8" w:rsidRDefault="002F53B7" w:rsidP="002F53B7">
            <w:pPr>
              <w:spacing w:after="0" w:line="240" w:lineRule="auto"/>
              <w:jc w:val="right"/>
              <w:rPr>
                <w:rFonts w:ascii="Calibri" w:eastAsia="Times New Roman" w:hAnsi="Calibri" w:cs="Calibri"/>
                <w:b/>
                <w:color w:val="000000"/>
                <w:sz w:val="22"/>
              </w:rPr>
            </w:pPr>
            <w:r w:rsidRPr="00FA6DE8">
              <w:rPr>
                <w:rFonts w:ascii="Calibri" w:eastAsia="Times New Roman" w:hAnsi="Calibri" w:cs="Calibri"/>
                <w:b/>
                <w:color w:val="000000"/>
                <w:sz w:val="22"/>
              </w:rPr>
              <w:t>0.0064</w:t>
            </w:r>
          </w:p>
        </w:tc>
        <w:tc>
          <w:tcPr>
            <w:tcW w:w="976" w:type="dxa"/>
            <w:tcBorders>
              <w:top w:val="nil"/>
              <w:left w:val="nil"/>
              <w:bottom w:val="nil"/>
              <w:right w:val="nil"/>
            </w:tcBorders>
            <w:shd w:val="clear" w:color="auto" w:fill="auto"/>
            <w:noWrap/>
            <w:vAlign w:val="bottom"/>
            <w:hideMark/>
          </w:tcPr>
          <w:p w14:paraId="444362B8" w14:textId="77777777" w:rsidR="002F53B7" w:rsidRPr="005E5D58" w:rsidRDefault="002F53B7" w:rsidP="002F53B7">
            <w:pPr>
              <w:spacing w:after="0" w:line="240" w:lineRule="auto"/>
              <w:jc w:val="right"/>
              <w:rPr>
                <w:rFonts w:ascii="Calibri" w:eastAsia="Times New Roman" w:hAnsi="Calibri" w:cs="Calibri"/>
                <w:color w:val="000000"/>
                <w:sz w:val="22"/>
              </w:rPr>
            </w:pPr>
          </w:p>
        </w:tc>
      </w:tr>
      <w:tr w:rsidR="002F53B7" w:rsidRPr="005E5D58" w14:paraId="14208E71" w14:textId="77777777" w:rsidTr="002F53B7">
        <w:trPr>
          <w:trHeight w:val="290"/>
        </w:trPr>
        <w:tc>
          <w:tcPr>
            <w:tcW w:w="976" w:type="dxa"/>
            <w:tcBorders>
              <w:top w:val="nil"/>
              <w:left w:val="nil"/>
              <w:bottom w:val="nil"/>
              <w:right w:val="nil"/>
            </w:tcBorders>
            <w:shd w:val="clear" w:color="auto" w:fill="auto"/>
            <w:noWrap/>
            <w:vAlign w:val="bottom"/>
            <w:hideMark/>
          </w:tcPr>
          <w:p w14:paraId="6DD887FD" w14:textId="77777777" w:rsidR="002F53B7" w:rsidRPr="005E5D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6E5D7BE" w14:textId="77777777" w:rsidR="002F53B7" w:rsidRPr="005E5D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A925DFA" w14:textId="77777777" w:rsidR="002F53B7" w:rsidRPr="005E5D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C2C2460" w14:textId="77777777" w:rsidR="002F53B7" w:rsidRPr="005E5D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047C4794" w14:textId="77777777" w:rsidR="002F53B7" w:rsidRPr="005E5D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ED29DEE" w14:textId="77777777" w:rsidR="002F53B7" w:rsidRPr="005E5D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10190E5" w14:textId="77777777" w:rsidR="002F53B7" w:rsidRPr="005E5D58" w:rsidRDefault="002F53B7" w:rsidP="002F53B7">
            <w:pPr>
              <w:spacing w:after="0" w:line="240" w:lineRule="auto"/>
              <w:rPr>
                <w:rFonts w:eastAsia="Times New Roman" w:cs="Times New Roman"/>
                <w:sz w:val="20"/>
                <w:szCs w:val="20"/>
              </w:rPr>
            </w:pPr>
          </w:p>
        </w:tc>
      </w:tr>
      <w:tr w:rsidR="002F53B7" w:rsidRPr="005E5D58" w14:paraId="5051CBFC" w14:textId="77777777" w:rsidTr="002F53B7">
        <w:trPr>
          <w:trHeight w:val="290"/>
        </w:trPr>
        <w:tc>
          <w:tcPr>
            <w:tcW w:w="976" w:type="dxa"/>
            <w:tcBorders>
              <w:top w:val="nil"/>
              <w:left w:val="nil"/>
              <w:bottom w:val="nil"/>
              <w:right w:val="nil"/>
            </w:tcBorders>
            <w:shd w:val="clear" w:color="auto" w:fill="auto"/>
            <w:noWrap/>
            <w:vAlign w:val="bottom"/>
            <w:hideMark/>
          </w:tcPr>
          <w:p w14:paraId="40053215" w14:textId="77777777" w:rsidR="002F53B7" w:rsidRPr="005E5D58" w:rsidRDefault="002F53B7" w:rsidP="002F53B7">
            <w:pPr>
              <w:spacing w:after="0" w:line="240" w:lineRule="auto"/>
              <w:rPr>
                <w:rFonts w:ascii="Calibri" w:eastAsia="Times New Roman" w:hAnsi="Calibri" w:cs="Calibri"/>
                <w:color w:val="000000"/>
                <w:sz w:val="22"/>
              </w:rPr>
            </w:pPr>
            <w:r w:rsidRPr="005E5D58">
              <w:rPr>
                <w:rFonts w:ascii="Calibri" w:eastAsia="Times New Roman" w:hAnsi="Calibri" w:cs="Calibri"/>
                <w:color w:val="000000"/>
                <w:sz w:val="22"/>
              </w:rPr>
              <w:t>Sources:</w:t>
            </w:r>
          </w:p>
        </w:tc>
        <w:tc>
          <w:tcPr>
            <w:tcW w:w="976" w:type="dxa"/>
            <w:tcBorders>
              <w:top w:val="nil"/>
              <w:left w:val="nil"/>
              <w:bottom w:val="nil"/>
              <w:right w:val="nil"/>
            </w:tcBorders>
            <w:shd w:val="clear" w:color="auto" w:fill="auto"/>
            <w:noWrap/>
            <w:vAlign w:val="bottom"/>
            <w:hideMark/>
          </w:tcPr>
          <w:p w14:paraId="225F2FD7" w14:textId="77777777" w:rsidR="002F53B7" w:rsidRPr="005E5D58" w:rsidRDefault="002F53B7" w:rsidP="002F53B7">
            <w:pPr>
              <w:spacing w:after="0" w:line="240" w:lineRule="auto"/>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38BB0746" w14:textId="77777777" w:rsidR="002F53B7" w:rsidRPr="005E5D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A12DCCC" w14:textId="77777777" w:rsidR="002F53B7" w:rsidRPr="005E5D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0AD6C2E" w14:textId="77777777" w:rsidR="002F53B7" w:rsidRPr="005E5D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81BF41B" w14:textId="77777777" w:rsidR="002F53B7" w:rsidRPr="005E5D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3709004" w14:textId="77777777" w:rsidR="002F53B7" w:rsidRPr="005E5D58" w:rsidRDefault="002F53B7" w:rsidP="002F53B7">
            <w:pPr>
              <w:spacing w:after="0" w:line="240" w:lineRule="auto"/>
              <w:rPr>
                <w:rFonts w:eastAsia="Times New Roman" w:cs="Times New Roman"/>
                <w:sz w:val="20"/>
                <w:szCs w:val="20"/>
              </w:rPr>
            </w:pPr>
          </w:p>
        </w:tc>
      </w:tr>
      <w:tr w:rsidR="002F53B7" w:rsidRPr="005E5D58" w14:paraId="41BDFBA9" w14:textId="77777777" w:rsidTr="002F53B7">
        <w:trPr>
          <w:trHeight w:val="290"/>
        </w:trPr>
        <w:tc>
          <w:tcPr>
            <w:tcW w:w="5856" w:type="dxa"/>
            <w:gridSpan w:val="6"/>
            <w:tcBorders>
              <w:top w:val="nil"/>
              <w:left w:val="nil"/>
              <w:bottom w:val="nil"/>
              <w:right w:val="nil"/>
            </w:tcBorders>
            <w:shd w:val="clear" w:color="auto" w:fill="auto"/>
            <w:noWrap/>
            <w:vAlign w:val="bottom"/>
            <w:hideMark/>
          </w:tcPr>
          <w:p w14:paraId="6D0B56EA" w14:textId="77777777" w:rsidR="002F53B7" w:rsidRPr="005E5D58" w:rsidRDefault="002F53B7" w:rsidP="002F53B7">
            <w:pPr>
              <w:spacing w:after="0" w:line="240" w:lineRule="auto"/>
              <w:rPr>
                <w:rFonts w:ascii="Calibri" w:eastAsia="Times New Roman" w:hAnsi="Calibri" w:cs="Calibri"/>
                <w:color w:val="000000"/>
                <w:sz w:val="22"/>
              </w:rPr>
            </w:pPr>
            <w:r w:rsidRPr="005E5D58">
              <w:rPr>
                <w:rFonts w:ascii="Calibri" w:eastAsia="Times New Roman" w:hAnsi="Calibri" w:cs="Calibri"/>
                <w:color w:val="000000"/>
                <w:sz w:val="22"/>
              </w:rPr>
              <w:t xml:space="preserve">Output and Hours:  Kendrick, 1961, table C-2, p. 397. </w:t>
            </w:r>
          </w:p>
        </w:tc>
        <w:tc>
          <w:tcPr>
            <w:tcW w:w="976" w:type="dxa"/>
            <w:tcBorders>
              <w:top w:val="nil"/>
              <w:left w:val="nil"/>
              <w:bottom w:val="nil"/>
              <w:right w:val="nil"/>
            </w:tcBorders>
            <w:shd w:val="clear" w:color="auto" w:fill="auto"/>
            <w:noWrap/>
            <w:vAlign w:val="bottom"/>
            <w:hideMark/>
          </w:tcPr>
          <w:p w14:paraId="67123D13" w14:textId="77777777" w:rsidR="002F53B7" w:rsidRPr="005E5D58" w:rsidRDefault="002F53B7" w:rsidP="002F53B7">
            <w:pPr>
              <w:spacing w:after="0" w:line="240" w:lineRule="auto"/>
              <w:rPr>
                <w:rFonts w:ascii="Calibri" w:eastAsia="Times New Roman" w:hAnsi="Calibri" w:cs="Calibri"/>
                <w:color w:val="000000"/>
                <w:sz w:val="22"/>
              </w:rPr>
            </w:pPr>
          </w:p>
        </w:tc>
      </w:tr>
      <w:tr w:rsidR="002F53B7" w:rsidRPr="005E5D58" w14:paraId="490F907A" w14:textId="77777777" w:rsidTr="002F53B7">
        <w:trPr>
          <w:trHeight w:val="290"/>
        </w:trPr>
        <w:tc>
          <w:tcPr>
            <w:tcW w:w="6832" w:type="dxa"/>
            <w:gridSpan w:val="7"/>
            <w:tcBorders>
              <w:top w:val="nil"/>
              <w:left w:val="nil"/>
              <w:bottom w:val="nil"/>
              <w:right w:val="nil"/>
            </w:tcBorders>
            <w:shd w:val="clear" w:color="auto" w:fill="auto"/>
            <w:noWrap/>
            <w:vAlign w:val="bottom"/>
            <w:hideMark/>
          </w:tcPr>
          <w:p w14:paraId="306C629B" w14:textId="77777777" w:rsidR="002F53B7" w:rsidRPr="005E5D58" w:rsidRDefault="002F53B7" w:rsidP="002F53B7">
            <w:pPr>
              <w:spacing w:after="0" w:line="240" w:lineRule="auto"/>
              <w:rPr>
                <w:rFonts w:ascii="Calibri" w:eastAsia="Times New Roman" w:hAnsi="Calibri" w:cs="Calibri"/>
                <w:color w:val="000000"/>
                <w:sz w:val="22"/>
              </w:rPr>
            </w:pPr>
            <w:r w:rsidRPr="005E5D58">
              <w:rPr>
                <w:rFonts w:ascii="Calibri" w:eastAsia="Times New Roman" w:hAnsi="Calibri" w:cs="Calibri"/>
                <w:color w:val="000000"/>
                <w:sz w:val="22"/>
              </w:rPr>
              <w:t>Capital:  BEA FAT table 2.2, line 30, mining and oilfield equipment.</w:t>
            </w:r>
          </w:p>
        </w:tc>
      </w:tr>
    </w:tbl>
    <w:p w14:paraId="75266CB0" w14:textId="77777777" w:rsidR="002F53B7" w:rsidRDefault="002F53B7" w:rsidP="002F53B7"/>
    <w:p w14:paraId="5E248A01" w14:textId="77777777" w:rsidR="002F53B7" w:rsidRDefault="002F53B7" w:rsidP="002F53B7">
      <w:r>
        <w:br w:type="page"/>
      </w:r>
    </w:p>
    <w:tbl>
      <w:tblPr>
        <w:tblW w:w="9048" w:type="dxa"/>
        <w:tblLook w:val="04A0" w:firstRow="1" w:lastRow="0" w:firstColumn="1" w:lastColumn="0" w:noHBand="0" w:noVBand="1"/>
      </w:tblPr>
      <w:tblGrid>
        <w:gridCol w:w="976"/>
        <w:gridCol w:w="976"/>
        <w:gridCol w:w="976"/>
        <w:gridCol w:w="1596"/>
        <w:gridCol w:w="1156"/>
        <w:gridCol w:w="1156"/>
        <w:gridCol w:w="976"/>
        <w:gridCol w:w="1236"/>
      </w:tblGrid>
      <w:tr w:rsidR="002F53B7" w:rsidRPr="004B1265" w14:paraId="7A638BF1" w14:textId="77777777" w:rsidTr="002F53B7">
        <w:trPr>
          <w:trHeight w:val="290"/>
        </w:trPr>
        <w:tc>
          <w:tcPr>
            <w:tcW w:w="976" w:type="dxa"/>
            <w:tcBorders>
              <w:top w:val="nil"/>
              <w:left w:val="nil"/>
              <w:bottom w:val="nil"/>
              <w:right w:val="nil"/>
            </w:tcBorders>
            <w:shd w:val="clear" w:color="auto" w:fill="auto"/>
            <w:noWrap/>
            <w:vAlign w:val="bottom"/>
            <w:hideMark/>
          </w:tcPr>
          <w:p w14:paraId="3ACF421F" w14:textId="77777777" w:rsidR="002F53B7" w:rsidRPr="004B1265" w:rsidRDefault="002F53B7" w:rsidP="002F53B7">
            <w:pPr>
              <w:spacing w:after="0" w:line="240" w:lineRule="auto"/>
              <w:rPr>
                <w:rFonts w:eastAsia="Times New Roman" w:cs="Times New Roman"/>
                <w:sz w:val="20"/>
                <w:szCs w:val="24"/>
              </w:rPr>
            </w:pPr>
          </w:p>
        </w:tc>
        <w:tc>
          <w:tcPr>
            <w:tcW w:w="976" w:type="dxa"/>
            <w:tcBorders>
              <w:top w:val="nil"/>
              <w:left w:val="nil"/>
              <w:bottom w:val="nil"/>
              <w:right w:val="nil"/>
            </w:tcBorders>
            <w:shd w:val="clear" w:color="auto" w:fill="auto"/>
            <w:noWrap/>
            <w:vAlign w:val="bottom"/>
            <w:hideMark/>
          </w:tcPr>
          <w:p w14:paraId="3C287F78" w14:textId="77777777" w:rsidR="002F53B7" w:rsidRPr="004B1265"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8AF011F" w14:textId="77777777" w:rsidR="002F53B7" w:rsidRPr="004B1265" w:rsidRDefault="002F53B7" w:rsidP="002F53B7">
            <w:pPr>
              <w:spacing w:after="0" w:line="240" w:lineRule="auto"/>
              <w:rPr>
                <w:rFonts w:eastAsia="Times New Roman" w:cs="Times New Roman"/>
                <w:sz w:val="20"/>
                <w:szCs w:val="20"/>
              </w:rPr>
            </w:pPr>
          </w:p>
        </w:tc>
        <w:tc>
          <w:tcPr>
            <w:tcW w:w="1596" w:type="dxa"/>
            <w:tcBorders>
              <w:top w:val="nil"/>
              <w:left w:val="nil"/>
              <w:bottom w:val="nil"/>
              <w:right w:val="nil"/>
            </w:tcBorders>
            <w:shd w:val="clear" w:color="auto" w:fill="auto"/>
            <w:noWrap/>
            <w:vAlign w:val="bottom"/>
            <w:hideMark/>
          </w:tcPr>
          <w:p w14:paraId="6CCAFCFE" w14:textId="77777777" w:rsidR="002F53B7" w:rsidRPr="004B1265" w:rsidRDefault="002F53B7" w:rsidP="002F53B7">
            <w:pPr>
              <w:spacing w:after="0" w:line="240" w:lineRule="auto"/>
              <w:jc w:val="center"/>
              <w:rPr>
                <w:rFonts w:ascii="Calibri" w:eastAsia="Times New Roman" w:hAnsi="Calibri" w:cs="Calibri"/>
                <w:color w:val="000000"/>
                <w:sz w:val="22"/>
              </w:rPr>
            </w:pPr>
            <w:r w:rsidRPr="004B1265">
              <w:rPr>
                <w:rFonts w:ascii="Calibri" w:eastAsia="Times New Roman" w:hAnsi="Calibri" w:cs="Calibri"/>
                <w:color w:val="000000"/>
                <w:sz w:val="22"/>
              </w:rPr>
              <w:t xml:space="preserve">Table </w:t>
            </w:r>
            <w:r>
              <w:rPr>
                <w:rFonts w:ascii="Calibri" w:eastAsia="Times New Roman" w:hAnsi="Calibri" w:cs="Calibri"/>
                <w:color w:val="000000"/>
                <w:sz w:val="22"/>
              </w:rPr>
              <w:t>7</w:t>
            </w:r>
          </w:p>
        </w:tc>
        <w:tc>
          <w:tcPr>
            <w:tcW w:w="1156" w:type="dxa"/>
            <w:tcBorders>
              <w:top w:val="nil"/>
              <w:left w:val="nil"/>
              <w:bottom w:val="nil"/>
              <w:right w:val="nil"/>
            </w:tcBorders>
            <w:shd w:val="clear" w:color="auto" w:fill="auto"/>
            <w:noWrap/>
            <w:vAlign w:val="bottom"/>
            <w:hideMark/>
          </w:tcPr>
          <w:p w14:paraId="42588A7E" w14:textId="77777777" w:rsidR="002F53B7" w:rsidRPr="004B1265" w:rsidRDefault="002F53B7" w:rsidP="002F53B7">
            <w:pPr>
              <w:spacing w:after="0" w:line="240" w:lineRule="auto"/>
              <w:jc w:val="center"/>
              <w:rPr>
                <w:rFonts w:ascii="Calibri" w:eastAsia="Times New Roman" w:hAnsi="Calibri" w:cs="Calibri"/>
                <w:color w:val="000000"/>
                <w:sz w:val="22"/>
              </w:rPr>
            </w:pPr>
          </w:p>
        </w:tc>
        <w:tc>
          <w:tcPr>
            <w:tcW w:w="1156" w:type="dxa"/>
            <w:tcBorders>
              <w:top w:val="nil"/>
              <w:left w:val="nil"/>
              <w:bottom w:val="nil"/>
              <w:right w:val="nil"/>
            </w:tcBorders>
            <w:shd w:val="clear" w:color="auto" w:fill="auto"/>
            <w:noWrap/>
            <w:vAlign w:val="bottom"/>
            <w:hideMark/>
          </w:tcPr>
          <w:p w14:paraId="59C5E51B" w14:textId="77777777" w:rsidR="002F53B7" w:rsidRPr="004B1265"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7F314C7" w14:textId="77777777" w:rsidR="002F53B7" w:rsidRPr="004B1265" w:rsidRDefault="002F53B7" w:rsidP="002F53B7">
            <w:pPr>
              <w:spacing w:after="0" w:line="240" w:lineRule="auto"/>
              <w:rPr>
                <w:rFonts w:eastAsia="Times New Roman" w:cs="Times New Roman"/>
                <w:sz w:val="20"/>
                <w:szCs w:val="20"/>
              </w:rPr>
            </w:pPr>
          </w:p>
        </w:tc>
        <w:tc>
          <w:tcPr>
            <w:tcW w:w="1236" w:type="dxa"/>
            <w:tcBorders>
              <w:top w:val="nil"/>
              <w:left w:val="nil"/>
              <w:bottom w:val="nil"/>
              <w:right w:val="nil"/>
            </w:tcBorders>
            <w:shd w:val="clear" w:color="auto" w:fill="auto"/>
            <w:noWrap/>
            <w:vAlign w:val="bottom"/>
            <w:hideMark/>
          </w:tcPr>
          <w:p w14:paraId="6370D335" w14:textId="77777777" w:rsidR="002F53B7" w:rsidRPr="004B1265" w:rsidRDefault="002F53B7" w:rsidP="002F53B7">
            <w:pPr>
              <w:spacing w:after="0" w:line="240" w:lineRule="auto"/>
              <w:rPr>
                <w:rFonts w:eastAsia="Times New Roman" w:cs="Times New Roman"/>
                <w:sz w:val="20"/>
                <w:szCs w:val="20"/>
              </w:rPr>
            </w:pPr>
          </w:p>
        </w:tc>
      </w:tr>
      <w:tr w:rsidR="002F53B7" w:rsidRPr="004B1265" w14:paraId="68D43ED3" w14:textId="77777777" w:rsidTr="002F53B7">
        <w:trPr>
          <w:trHeight w:val="290"/>
        </w:trPr>
        <w:tc>
          <w:tcPr>
            <w:tcW w:w="976" w:type="dxa"/>
            <w:tcBorders>
              <w:top w:val="nil"/>
              <w:left w:val="nil"/>
              <w:bottom w:val="nil"/>
              <w:right w:val="nil"/>
            </w:tcBorders>
            <w:shd w:val="clear" w:color="auto" w:fill="auto"/>
            <w:noWrap/>
            <w:vAlign w:val="bottom"/>
            <w:hideMark/>
          </w:tcPr>
          <w:p w14:paraId="57FC87C6" w14:textId="77777777" w:rsidR="002F53B7" w:rsidRPr="004B1265"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0DF18E13" w14:textId="77777777" w:rsidR="002F53B7" w:rsidRPr="004B1265" w:rsidRDefault="002F53B7" w:rsidP="002F53B7">
            <w:pPr>
              <w:spacing w:after="0" w:line="240" w:lineRule="auto"/>
              <w:rPr>
                <w:rFonts w:eastAsia="Times New Roman" w:cs="Times New Roman"/>
                <w:sz w:val="20"/>
                <w:szCs w:val="20"/>
              </w:rPr>
            </w:pPr>
          </w:p>
        </w:tc>
        <w:tc>
          <w:tcPr>
            <w:tcW w:w="3728" w:type="dxa"/>
            <w:gridSpan w:val="3"/>
            <w:tcBorders>
              <w:top w:val="nil"/>
              <w:left w:val="nil"/>
              <w:bottom w:val="nil"/>
              <w:right w:val="nil"/>
            </w:tcBorders>
            <w:shd w:val="clear" w:color="auto" w:fill="auto"/>
            <w:noWrap/>
            <w:vAlign w:val="bottom"/>
            <w:hideMark/>
          </w:tcPr>
          <w:p w14:paraId="06E42BE6" w14:textId="77777777" w:rsidR="002F53B7" w:rsidRPr="004B1265" w:rsidRDefault="002F53B7" w:rsidP="002F53B7">
            <w:pPr>
              <w:spacing w:after="0" w:line="240" w:lineRule="auto"/>
              <w:rPr>
                <w:rFonts w:ascii="Calibri" w:eastAsia="Times New Roman" w:hAnsi="Calibri" w:cs="Calibri"/>
                <w:color w:val="000000"/>
                <w:sz w:val="22"/>
              </w:rPr>
            </w:pPr>
            <w:r w:rsidRPr="004B1265">
              <w:rPr>
                <w:rFonts w:ascii="Calibri" w:eastAsia="Times New Roman" w:hAnsi="Calibri" w:cs="Calibri"/>
                <w:color w:val="000000"/>
                <w:sz w:val="22"/>
              </w:rPr>
              <w:t>Productivity Growth in Construction</w:t>
            </w:r>
          </w:p>
        </w:tc>
        <w:tc>
          <w:tcPr>
            <w:tcW w:w="1156" w:type="dxa"/>
            <w:tcBorders>
              <w:top w:val="nil"/>
              <w:left w:val="nil"/>
              <w:bottom w:val="nil"/>
              <w:right w:val="nil"/>
            </w:tcBorders>
            <w:shd w:val="clear" w:color="auto" w:fill="auto"/>
            <w:noWrap/>
            <w:vAlign w:val="bottom"/>
            <w:hideMark/>
          </w:tcPr>
          <w:p w14:paraId="7A74C47C" w14:textId="77777777" w:rsidR="002F53B7" w:rsidRPr="004B1265" w:rsidRDefault="002F53B7" w:rsidP="002F53B7">
            <w:pPr>
              <w:spacing w:after="0" w:line="240" w:lineRule="auto"/>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6CA2B025" w14:textId="77777777" w:rsidR="002F53B7" w:rsidRPr="004B1265" w:rsidRDefault="002F53B7" w:rsidP="002F53B7">
            <w:pPr>
              <w:spacing w:after="0" w:line="240" w:lineRule="auto"/>
              <w:rPr>
                <w:rFonts w:eastAsia="Times New Roman" w:cs="Times New Roman"/>
                <w:sz w:val="20"/>
                <w:szCs w:val="20"/>
              </w:rPr>
            </w:pPr>
          </w:p>
        </w:tc>
        <w:tc>
          <w:tcPr>
            <w:tcW w:w="1236" w:type="dxa"/>
            <w:tcBorders>
              <w:top w:val="nil"/>
              <w:left w:val="nil"/>
              <w:bottom w:val="nil"/>
              <w:right w:val="nil"/>
            </w:tcBorders>
            <w:shd w:val="clear" w:color="auto" w:fill="auto"/>
            <w:noWrap/>
            <w:vAlign w:val="bottom"/>
            <w:hideMark/>
          </w:tcPr>
          <w:p w14:paraId="384C793F" w14:textId="77777777" w:rsidR="002F53B7" w:rsidRPr="004B1265" w:rsidRDefault="002F53B7" w:rsidP="002F53B7">
            <w:pPr>
              <w:spacing w:after="0" w:line="240" w:lineRule="auto"/>
              <w:rPr>
                <w:rFonts w:eastAsia="Times New Roman" w:cs="Times New Roman"/>
                <w:sz w:val="20"/>
                <w:szCs w:val="20"/>
              </w:rPr>
            </w:pPr>
          </w:p>
        </w:tc>
      </w:tr>
      <w:tr w:rsidR="002F53B7" w:rsidRPr="004B1265" w14:paraId="1611968E" w14:textId="77777777" w:rsidTr="002F53B7">
        <w:trPr>
          <w:trHeight w:val="290"/>
        </w:trPr>
        <w:tc>
          <w:tcPr>
            <w:tcW w:w="976" w:type="dxa"/>
            <w:tcBorders>
              <w:top w:val="nil"/>
              <w:left w:val="nil"/>
              <w:bottom w:val="nil"/>
              <w:right w:val="nil"/>
            </w:tcBorders>
            <w:shd w:val="clear" w:color="auto" w:fill="auto"/>
            <w:noWrap/>
            <w:vAlign w:val="bottom"/>
            <w:hideMark/>
          </w:tcPr>
          <w:p w14:paraId="317B15CC" w14:textId="77777777" w:rsidR="002F53B7" w:rsidRPr="004B1265"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9FFF139" w14:textId="77777777" w:rsidR="002F53B7" w:rsidRPr="004B1265"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AD607CD" w14:textId="77777777" w:rsidR="002F53B7" w:rsidRPr="004B1265" w:rsidRDefault="002F53B7" w:rsidP="002F53B7">
            <w:pPr>
              <w:spacing w:after="0" w:line="240" w:lineRule="auto"/>
              <w:rPr>
                <w:rFonts w:eastAsia="Times New Roman" w:cs="Times New Roman"/>
                <w:sz w:val="20"/>
                <w:szCs w:val="20"/>
              </w:rPr>
            </w:pPr>
          </w:p>
        </w:tc>
        <w:tc>
          <w:tcPr>
            <w:tcW w:w="1596" w:type="dxa"/>
            <w:tcBorders>
              <w:top w:val="nil"/>
              <w:left w:val="nil"/>
              <w:bottom w:val="nil"/>
              <w:right w:val="nil"/>
            </w:tcBorders>
            <w:shd w:val="clear" w:color="auto" w:fill="auto"/>
            <w:noWrap/>
            <w:vAlign w:val="bottom"/>
            <w:hideMark/>
          </w:tcPr>
          <w:p w14:paraId="0FF61320" w14:textId="77777777" w:rsidR="002F53B7" w:rsidRPr="004B1265" w:rsidRDefault="002F53B7" w:rsidP="002F53B7">
            <w:pPr>
              <w:spacing w:after="0" w:line="240" w:lineRule="auto"/>
              <w:rPr>
                <w:rFonts w:eastAsia="Times New Roman" w:cs="Times New Roman"/>
                <w:sz w:val="20"/>
                <w:szCs w:val="20"/>
              </w:rPr>
            </w:pPr>
          </w:p>
        </w:tc>
        <w:tc>
          <w:tcPr>
            <w:tcW w:w="1156" w:type="dxa"/>
            <w:tcBorders>
              <w:top w:val="nil"/>
              <w:left w:val="nil"/>
              <w:bottom w:val="nil"/>
              <w:right w:val="nil"/>
            </w:tcBorders>
            <w:shd w:val="clear" w:color="auto" w:fill="auto"/>
            <w:noWrap/>
            <w:vAlign w:val="bottom"/>
            <w:hideMark/>
          </w:tcPr>
          <w:p w14:paraId="6E486952" w14:textId="77777777" w:rsidR="002F53B7" w:rsidRPr="004B1265" w:rsidRDefault="002F53B7" w:rsidP="002F53B7">
            <w:pPr>
              <w:spacing w:after="0" w:line="240" w:lineRule="auto"/>
              <w:rPr>
                <w:rFonts w:eastAsia="Times New Roman" w:cs="Times New Roman"/>
                <w:sz w:val="20"/>
                <w:szCs w:val="20"/>
              </w:rPr>
            </w:pPr>
          </w:p>
        </w:tc>
        <w:tc>
          <w:tcPr>
            <w:tcW w:w="1156" w:type="dxa"/>
            <w:tcBorders>
              <w:top w:val="nil"/>
              <w:left w:val="nil"/>
              <w:bottom w:val="nil"/>
              <w:right w:val="nil"/>
            </w:tcBorders>
            <w:shd w:val="clear" w:color="auto" w:fill="auto"/>
            <w:noWrap/>
            <w:vAlign w:val="bottom"/>
            <w:hideMark/>
          </w:tcPr>
          <w:p w14:paraId="6AFD5F8E" w14:textId="77777777" w:rsidR="002F53B7" w:rsidRPr="004B1265"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547B2AA" w14:textId="77777777" w:rsidR="002F53B7" w:rsidRPr="004B1265" w:rsidRDefault="002F53B7" w:rsidP="002F53B7">
            <w:pPr>
              <w:spacing w:after="0" w:line="240" w:lineRule="auto"/>
              <w:rPr>
                <w:rFonts w:eastAsia="Times New Roman" w:cs="Times New Roman"/>
                <w:sz w:val="20"/>
                <w:szCs w:val="20"/>
              </w:rPr>
            </w:pPr>
          </w:p>
        </w:tc>
        <w:tc>
          <w:tcPr>
            <w:tcW w:w="1236" w:type="dxa"/>
            <w:tcBorders>
              <w:top w:val="nil"/>
              <w:left w:val="nil"/>
              <w:bottom w:val="nil"/>
              <w:right w:val="nil"/>
            </w:tcBorders>
            <w:shd w:val="clear" w:color="auto" w:fill="auto"/>
            <w:noWrap/>
            <w:vAlign w:val="bottom"/>
            <w:hideMark/>
          </w:tcPr>
          <w:p w14:paraId="7A9DE2C5" w14:textId="77777777" w:rsidR="002F53B7" w:rsidRPr="004B1265" w:rsidRDefault="002F53B7" w:rsidP="002F53B7">
            <w:pPr>
              <w:spacing w:after="0" w:line="240" w:lineRule="auto"/>
              <w:rPr>
                <w:rFonts w:eastAsia="Times New Roman" w:cs="Times New Roman"/>
                <w:sz w:val="20"/>
                <w:szCs w:val="20"/>
              </w:rPr>
            </w:pPr>
          </w:p>
        </w:tc>
      </w:tr>
      <w:tr w:rsidR="002F53B7" w:rsidRPr="004B1265" w14:paraId="3F34F156" w14:textId="77777777" w:rsidTr="002F53B7">
        <w:trPr>
          <w:trHeight w:val="290"/>
        </w:trPr>
        <w:tc>
          <w:tcPr>
            <w:tcW w:w="976" w:type="dxa"/>
            <w:tcBorders>
              <w:top w:val="nil"/>
              <w:left w:val="nil"/>
              <w:bottom w:val="nil"/>
              <w:right w:val="nil"/>
            </w:tcBorders>
            <w:shd w:val="clear" w:color="auto" w:fill="auto"/>
            <w:noWrap/>
            <w:vAlign w:val="bottom"/>
            <w:hideMark/>
          </w:tcPr>
          <w:p w14:paraId="3BC98A25" w14:textId="77777777" w:rsidR="002F53B7" w:rsidRPr="004B1265"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DC58F00" w14:textId="77777777" w:rsidR="002F53B7" w:rsidRPr="004B1265"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F0BB982" w14:textId="77777777" w:rsidR="002F53B7" w:rsidRPr="004B1265" w:rsidRDefault="002F53B7" w:rsidP="002F53B7">
            <w:pPr>
              <w:spacing w:after="0" w:line="240" w:lineRule="auto"/>
              <w:rPr>
                <w:rFonts w:eastAsia="Times New Roman" w:cs="Times New Roman"/>
                <w:sz w:val="20"/>
                <w:szCs w:val="20"/>
              </w:rPr>
            </w:pPr>
          </w:p>
        </w:tc>
        <w:tc>
          <w:tcPr>
            <w:tcW w:w="1596" w:type="dxa"/>
            <w:tcBorders>
              <w:top w:val="nil"/>
              <w:left w:val="nil"/>
              <w:bottom w:val="nil"/>
              <w:right w:val="nil"/>
            </w:tcBorders>
            <w:shd w:val="clear" w:color="auto" w:fill="auto"/>
            <w:noWrap/>
            <w:vAlign w:val="bottom"/>
            <w:hideMark/>
          </w:tcPr>
          <w:p w14:paraId="5FD88724" w14:textId="77777777" w:rsidR="002F53B7" w:rsidRPr="004B1265" w:rsidRDefault="002F53B7" w:rsidP="002F53B7">
            <w:pPr>
              <w:spacing w:after="0" w:line="240" w:lineRule="auto"/>
              <w:jc w:val="center"/>
              <w:rPr>
                <w:rFonts w:ascii="Calibri" w:eastAsia="Times New Roman" w:hAnsi="Calibri" w:cs="Calibri"/>
                <w:color w:val="000000"/>
                <w:sz w:val="22"/>
              </w:rPr>
            </w:pPr>
            <w:r w:rsidRPr="004B1265">
              <w:rPr>
                <w:rFonts w:ascii="Calibri" w:eastAsia="Times New Roman" w:hAnsi="Calibri" w:cs="Calibri"/>
                <w:color w:val="000000"/>
                <w:sz w:val="22"/>
              </w:rPr>
              <w:t>Real Output</w:t>
            </w:r>
          </w:p>
        </w:tc>
        <w:tc>
          <w:tcPr>
            <w:tcW w:w="1156" w:type="dxa"/>
            <w:tcBorders>
              <w:top w:val="nil"/>
              <w:left w:val="nil"/>
              <w:bottom w:val="nil"/>
              <w:right w:val="nil"/>
            </w:tcBorders>
            <w:shd w:val="clear" w:color="auto" w:fill="auto"/>
            <w:noWrap/>
            <w:vAlign w:val="bottom"/>
            <w:hideMark/>
          </w:tcPr>
          <w:p w14:paraId="10C564E5" w14:textId="77777777" w:rsidR="002F53B7" w:rsidRPr="004B1265" w:rsidRDefault="002F53B7" w:rsidP="002F53B7">
            <w:pPr>
              <w:spacing w:after="0" w:line="240" w:lineRule="auto"/>
              <w:jc w:val="center"/>
              <w:rPr>
                <w:rFonts w:ascii="Calibri" w:eastAsia="Times New Roman" w:hAnsi="Calibri" w:cs="Calibri"/>
                <w:color w:val="000000"/>
                <w:sz w:val="22"/>
              </w:rPr>
            </w:pPr>
            <w:r w:rsidRPr="004B1265">
              <w:rPr>
                <w:rFonts w:ascii="Calibri" w:eastAsia="Times New Roman" w:hAnsi="Calibri" w:cs="Calibri"/>
                <w:color w:val="000000"/>
                <w:sz w:val="22"/>
              </w:rPr>
              <w:t>FTE</w:t>
            </w:r>
            <w:r>
              <w:rPr>
                <w:rFonts w:ascii="Calibri" w:eastAsia="Times New Roman" w:hAnsi="Calibri" w:cs="Calibri"/>
                <w:color w:val="000000"/>
                <w:sz w:val="22"/>
              </w:rPr>
              <w:t>s</w:t>
            </w:r>
          </w:p>
        </w:tc>
        <w:tc>
          <w:tcPr>
            <w:tcW w:w="1156" w:type="dxa"/>
            <w:tcBorders>
              <w:top w:val="nil"/>
              <w:left w:val="nil"/>
              <w:bottom w:val="nil"/>
              <w:right w:val="nil"/>
            </w:tcBorders>
            <w:shd w:val="clear" w:color="auto" w:fill="auto"/>
            <w:noWrap/>
            <w:vAlign w:val="bottom"/>
            <w:hideMark/>
          </w:tcPr>
          <w:p w14:paraId="7FBC5F7B" w14:textId="77777777" w:rsidR="002F53B7" w:rsidRPr="004B1265" w:rsidRDefault="002F53B7" w:rsidP="002F53B7">
            <w:pPr>
              <w:spacing w:after="0" w:line="240" w:lineRule="auto"/>
              <w:jc w:val="center"/>
              <w:rPr>
                <w:rFonts w:ascii="Calibri" w:eastAsia="Times New Roman" w:hAnsi="Calibri" w:cs="Calibri"/>
                <w:color w:val="000000"/>
                <w:sz w:val="22"/>
              </w:rPr>
            </w:pPr>
            <w:r w:rsidRPr="004B1265">
              <w:rPr>
                <w:rFonts w:ascii="Calibri" w:eastAsia="Times New Roman" w:hAnsi="Calibri" w:cs="Calibri"/>
                <w:color w:val="000000"/>
                <w:sz w:val="22"/>
              </w:rPr>
              <w:t>Capital</w:t>
            </w:r>
          </w:p>
        </w:tc>
        <w:tc>
          <w:tcPr>
            <w:tcW w:w="976" w:type="dxa"/>
            <w:tcBorders>
              <w:top w:val="nil"/>
              <w:left w:val="nil"/>
              <w:bottom w:val="nil"/>
              <w:right w:val="nil"/>
            </w:tcBorders>
            <w:shd w:val="clear" w:color="auto" w:fill="auto"/>
            <w:noWrap/>
            <w:vAlign w:val="bottom"/>
            <w:hideMark/>
          </w:tcPr>
          <w:p w14:paraId="78A7FE05" w14:textId="77777777" w:rsidR="002F53B7" w:rsidRPr="004B1265" w:rsidRDefault="002F53B7" w:rsidP="002F53B7">
            <w:pPr>
              <w:spacing w:after="0" w:line="240" w:lineRule="auto"/>
              <w:jc w:val="center"/>
              <w:rPr>
                <w:rFonts w:ascii="Calibri" w:eastAsia="Times New Roman" w:hAnsi="Calibri" w:cs="Calibri"/>
                <w:color w:val="000000"/>
                <w:sz w:val="22"/>
              </w:rPr>
            </w:pPr>
            <w:r w:rsidRPr="004B1265">
              <w:rPr>
                <w:rFonts w:ascii="Calibri" w:eastAsia="Times New Roman" w:hAnsi="Calibri" w:cs="Calibri"/>
                <w:color w:val="000000"/>
                <w:sz w:val="22"/>
              </w:rPr>
              <w:t>LP</w:t>
            </w:r>
          </w:p>
        </w:tc>
        <w:tc>
          <w:tcPr>
            <w:tcW w:w="1236" w:type="dxa"/>
            <w:tcBorders>
              <w:top w:val="nil"/>
              <w:left w:val="nil"/>
              <w:bottom w:val="nil"/>
              <w:right w:val="nil"/>
            </w:tcBorders>
            <w:shd w:val="clear" w:color="auto" w:fill="auto"/>
            <w:noWrap/>
            <w:vAlign w:val="bottom"/>
            <w:hideMark/>
          </w:tcPr>
          <w:p w14:paraId="5FC90E42" w14:textId="77777777" w:rsidR="002F53B7" w:rsidRPr="004B1265" w:rsidRDefault="002F53B7" w:rsidP="002F53B7">
            <w:pPr>
              <w:spacing w:after="0" w:line="240" w:lineRule="auto"/>
              <w:jc w:val="center"/>
              <w:rPr>
                <w:rFonts w:ascii="Calibri" w:eastAsia="Times New Roman" w:hAnsi="Calibri" w:cs="Calibri"/>
                <w:color w:val="000000"/>
                <w:sz w:val="22"/>
              </w:rPr>
            </w:pPr>
            <w:r w:rsidRPr="004B1265">
              <w:rPr>
                <w:rFonts w:ascii="Calibri" w:eastAsia="Times New Roman" w:hAnsi="Calibri" w:cs="Calibri"/>
                <w:color w:val="000000"/>
                <w:sz w:val="22"/>
              </w:rPr>
              <w:t>TFP</w:t>
            </w:r>
          </w:p>
        </w:tc>
      </w:tr>
      <w:tr w:rsidR="002F53B7" w:rsidRPr="004B1265" w14:paraId="7B05421D" w14:textId="77777777" w:rsidTr="002F53B7">
        <w:trPr>
          <w:trHeight w:val="290"/>
        </w:trPr>
        <w:tc>
          <w:tcPr>
            <w:tcW w:w="976" w:type="dxa"/>
            <w:tcBorders>
              <w:top w:val="nil"/>
              <w:left w:val="nil"/>
              <w:bottom w:val="nil"/>
              <w:right w:val="nil"/>
            </w:tcBorders>
            <w:shd w:val="clear" w:color="auto" w:fill="auto"/>
            <w:noWrap/>
            <w:vAlign w:val="bottom"/>
            <w:hideMark/>
          </w:tcPr>
          <w:p w14:paraId="6D1B57A4" w14:textId="77777777" w:rsidR="002F53B7" w:rsidRPr="004B1265" w:rsidRDefault="002F53B7" w:rsidP="002F53B7">
            <w:pPr>
              <w:spacing w:after="0" w:line="240" w:lineRule="auto"/>
              <w:rPr>
                <w:rFonts w:ascii="Calibri" w:eastAsia="Times New Roman" w:hAnsi="Calibri" w:cs="Calibri"/>
                <w:color w:val="000000"/>
                <w:sz w:val="22"/>
              </w:rPr>
            </w:pPr>
          </w:p>
        </w:tc>
        <w:tc>
          <w:tcPr>
            <w:tcW w:w="1952" w:type="dxa"/>
            <w:gridSpan w:val="2"/>
            <w:tcBorders>
              <w:top w:val="nil"/>
              <w:left w:val="nil"/>
              <w:bottom w:val="nil"/>
              <w:right w:val="nil"/>
            </w:tcBorders>
            <w:shd w:val="clear" w:color="auto" w:fill="auto"/>
            <w:noWrap/>
            <w:vAlign w:val="bottom"/>
            <w:hideMark/>
          </w:tcPr>
          <w:p w14:paraId="4CFE21E4" w14:textId="77777777" w:rsidR="002F53B7" w:rsidRPr="004B1265" w:rsidRDefault="002F53B7" w:rsidP="002F53B7">
            <w:pPr>
              <w:spacing w:after="0" w:line="240" w:lineRule="auto"/>
              <w:rPr>
                <w:rFonts w:ascii="Calibri" w:eastAsia="Times New Roman" w:hAnsi="Calibri" w:cs="Calibri"/>
                <w:color w:val="000000"/>
                <w:sz w:val="22"/>
              </w:rPr>
            </w:pPr>
            <w:r w:rsidRPr="004B1265">
              <w:rPr>
                <w:rFonts w:ascii="Calibri" w:eastAsia="Times New Roman" w:hAnsi="Calibri" w:cs="Calibri"/>
                <w:color w:val="000000"/>
                <w:sz w:val="22"/>
              </w:rPr>
              <w:t>Nominal income</w:t>
            </w:r>
          </w:p>
        </w:tc>
        <w:tc>
          <w:tcPr>
            <w:tcW w:w="1596" w:type="dxa"/>
            <w:tcBorders>
              <w:top w:val="nil"/>
              <w:left w:val="nil"/>
              <w:bottom w:val="nil"/>
              <w:right w:val="nil"/>
            </w:tcBorders>
            <w:shd w:val="clear" w:color="auto" w:fill="auto"/>
            <w:noWrap/>
            <w:vAlign w:val="bottom"/>
            <w:hideMark/>
          </w:tcPr>
          <w:p w14:paraId="4C6716A6" w14:textId="77777777" w:rsidR="002F53B7" w:rsidRPr="004B1265" w:rsidRDefault="002F53B7" w:rsidP="002F53B7">
            <w:pPr>
              <w:spacing w:after="0" w:line="240" w:lineRule="auto"/>
              <w:rPr>
                <w:rFonts w:ascii="Calibri" w:eastAsia="Times New Roman" w:hAnsi="Calibri" w:cs="Calibri"/>
                <w:color w:val="000000"/>
                <w:sz w:val="22"/>
              </w:rPr>
            </w:pPr>
          </w:p>
        </w:tc>
        <w:tc>
          <w:tcPr>
            <w:tcW w:w="1156" w:type="dxa"/>
            <w:tcBorders>
              <w:top w:val="nil"/>
              <w:left w:val="nil"/>
              <w:bottom w:val="nil"/>
              <w:right w:val="nil"/>
            </w:tcBorders>
            <w:shd w:val="clear" w:color="auto" w:fill="auto"/>
            <w:noWrap/>
            <w:vAlign w:val="bottom"/>
            <w:hideMark/>
          </w:tcPr>
          <w:p w14:paraId="29DCAA95" w14:textId="77777777" w:rsidR="002F53B7" w:rsidRPr="004B1265" w:rsidRDefault="002F53B7" w:rsidP="002F53B7">
            <w:pPr>
              <w:spacing w:after="0" w:line="240" w:lineRule="auto"/>
              <w:rPr>
                <w:rFonts w:eastAsia="Times New Roman" w:cs="Times New Roman"/>
                <w:sz w:val="20"/>
                <w:szCs w:val="20"/>
              </w:rPr>
            </w:pPr>
          </w:p>
        </w:tc>
        <w:tc>
          <w:tcPr>
            <w:tcW w:w="1156" w:type="dxa"/>
            <w:tcBorders>
              <w:top w:val="nil"/>
              <w:left w:val="nil"/>
              <w:bottom w:val="nil"/>
              <w:right w:val="nil"/>
            </w:tcBorders>
            <w:shd w:val="clear" w:color="auto" w:fill="auto"/>
            <w:noWrap/>
            <w:vAlign w:val="bottom"/>
            <w:hideMark/>
          </w:tcPr>
          <w:p w14:paraId="1188EC86" w14:textId="77777777" w:rsidR="002F53B7" w:rsidRPr="004B1265"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CE694B7" w14:textId="77777777" w:rsidR="002F53B7" w:rsidRPr="004B1265" w:rsidRDefault="002F53B7" w:rsidP="002F53B7">
            <w:pPr>
              <w:spacing w:after="0" w:line="240" w:lineRule="auto"/>
              <w:rPr>
                <w:rFonts w:eastAsia="Times New Roman" w:cs="Times New Roman"/>
                <w:sz w:val="20"/>
                <w:szCs w:val="20"/>
              </w:rPr>
            </w:pPr>
          </w:p>
        </w:tc>
        <w:tc>
          <w:tcPr>
            <w:tcW w:w="1236" w:type="dxa"/>
            <w:tcBorders>
              <w:top w:val="nil"/>
              <w:left w:val="nil"/>
              <w:bottom w:val="nil"/>
              <w:right w:val="nil"/>
            </w:tcBorders>
            <w:shd w:val="clear" w:color="auto" w:fill="auto"/>
            <w:noWrap/>
            <w:vAlign w:val="bottom"/>
            <w:hideMark/>
          </w:tcPr>
          <w:p w14:paraId="44E4079F" w14:textId="77777777" w:rsidR="002F53B7" w:rsidRPr="004B1265" w:rsidRDefault="002F53B7" w:rsidP="002F53B7">
            <w:pPr>
              <w:spacing w:after="0" w:line="240" w:lineRule="auto"/>
              <w:rPr>
                <w:rFonts w:eastAsia="Times New Roman" w:cs="Times New Roman"/>
                <w:sz w:val="20"/>
                <w:szCs w:val="20"/>
              </w:rPr>
            </w:pPr>
          </w:p>
        </w:tc>
      </w:tr>
      <w:tr w:rsidR="002F53B7" w:rsidRPr="004B1265" w14:paraId="1A7E852D" w14:textId="77777777" w:rsidTr="002F53B7">
        <w:trPr>
          <w:trHeight w:val="290"/>
        </w:trPr>
        <w:tc>
          <w:tcPr>
            <w:tcW w:w="976" w:type="dxa"/>
            <w:tcBorders>
              <w:top w:val="nil"/>
              <w:left w:val="nil"/>
              <w:bottom w:val="nil"/>
              <w:right w:val="nil"/>
            </w:tcBorders>
            <w:shd w:val="clear" w:color="auto" w:fill="auto"/>
            <w:noWrap/>
            <w:vAlign w:val="bottom"/>
            <w:hideMark/>
          </w:tcPr>
          <w:p w14:paraId="13C64D32" w14:textId="77777777" w:rsidR="002F53B7" w:rsidRPr="004B1265"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98C37FA" w14:textId="77777777" w:rsidR="002F53B7" w:rsidRPr="004B1265"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34C503B" w14:textId="77777777" w:rsidR="002F53B7" w:rsidRPr="004B1265" w:rsidRDefault="002F53B7" w:rsidP="002F53B7">
            <w:pPr>
              <w:spacing w:after="0" w:line="240" w:lineRule="auto"/>
              <w:rPr>
                <w:rFonts w:ascii="Calibri" w:eastAsia="Times New Roman" w:hAnsi="Calibri" w:cs="Calibri"/>
                <w:color w:val="000000"/>
                <w:sz w:val="22"/>
              </w:rPr>
            </w:pPr>
            <w:r w:rsidRPr="004B1265">
              <w:rPr>
                <w:rFonts w:ascii="Calibri" w:eastAsia="Times New Roman" w:hAnsi="Calibri" w:cs="Calibri"/>
                <w:color w:val="000000"/>
                <w:sz w:val="22"/>
              </w:rPr>
              <w:t>Deflator</w:t>
            </w:r>
          </w:p>
        </w:tc>
        <w:tc>
          <w:tcPr>
            <w:tcW w:w="1596" w:type="dxa"/>
            <w:tcBorders>
              <w:top w:val="nil"/>
              <w:left w:val="nil"/>
              <w:bottom w:val="nil"/>
              <w:right w:val="nil"/>
            </w:tcBorders>
            <w:shd w:val="clear" w:color="auto" w:fill="auto"/>
            <w:noWrap/>
            <w:vAlign w:val="bottom"/>
            <w:hideMark/>
          </w:tcPr>
          <w:p w14:paraId="31AEBC2E" w14:textId="77777777" w:rsidR="002F53B7" w:rsidRPr="004B1265" w:rsidRDefault="002F53B7" w:rsidP="002F53B7">
            <w:pPr>
              <w:spacing w:after="0" w:line="240" w:lineRule="auto"/>
              <w:rPr>
                <w:rFonts w:ascii="Calibri" w:eastAsia="Times New Roman" w:hAnsi="Calibri" w:cs="Calibri"/>
                <w:color w:val="000000"/>
                <w:sz w:val="22"/>
              </w:rPr>
            </w:pPr>
          </w:p>
        </w:tc>
        <w:tc>
          <w:tcPr>
            <w:tcW w:w="1156" w:type="dxa"/>
            <w:tcBorders>
              <w:top w:val="nil"/>
              <w:left w:val="nil"/>
              <w:bottom w:val="nil"/>
              <w:right w:val="nil"/>
            </w:tcBorders>
            <w:shd w:val="clear" w:color="auto" w:fill="auto"/>
            <w:noWrap/>
            <w:vAlign w:val="bottom"/>
            <w:hideMark/>
          </w:tcPr>
          <w:p w14:paraId="1775F4E6" w14:textId="77777777" w:rsidR="002F53B7" w:rsidRPr="004B1265" w:rsidRDefault="002F53B7" w:rsidP="002F53B7">
            <w:pPr>
              <w:spacing w:after="0" w:line="240" w:lineRule="auto"/>
              <w:rPr>
                <w:rFonts w:eastAsia="Times New Roman" w:cs="Times New Roman"/>
                <w:sz w:val="20"/>
                <w:szCs w:val="20"/>
              </w:rPr>
            </w:pPr>
          </w:p>
        </w:tc>
        <w:tc>
          <w:tcPr>
            <w:tcW w:w="1156" w:type="dxa"/>
            <w:tcBorders>
              <w:top w:val="nil"/>
              <w:left w:val="nil"/>
              <w:bottom w:val="nil"/>
              <w:right w:val="nil"/>
            </w:tcBorders>
            <w:shd w:val="clear" w:color="auto" w:fill="auto"/>
            <w:noWrap/>
            <w:vAlign w:val="bottom"/>
            <w:hideMark/>
          </w:tcPr>
          <w:p w14:paraId="2340DA46" w14:textId="77777777" w:rsidR="002F53B7" w:rsidRPr="004B1265"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0A02642F" w14:textId="77777777" w:rsidR="002F53B7" w:rsidRPr="004B1265" w:rsidRDefault="002F53B7" w:rsidP="002F53B7">
            <w:pPr>
              <w:spacing w:after="0" w:line="240" w:lineRule="auto"/>
              <w:rPr>
                <w:rFonts w:eastAsia="Times New Roman" w:cs="Times New Roman"/>
                <w:sz w:val="20"/>
                <w:szCs w:val="20"/>
              </w:rPr>
            </w:pPr>
          </w:p>
        </w:tc>
        <w:tc>
          <w:tcPr>
            <w:tcW w:w="1236" w:type="dxa"/>
            <w:tcBorders>
              <w:top w:val="nil"/>
              <w:left w:val="nil"/>
              <w:bottom w:val="nil"/>
              <w:right w:val="nil"/>
            </w:tcBorders>
            <w:shd w:val="clear" w:color="auto" w:fill="auto"/>
            <w:noWrap/>
            <w:vAlign w:val="bottom"/>
            <w:hideMark/>
          </w:tcPr>
          <w:p w14:paraId="18CA0DC2" w14:textId="77777777" w:rsidR="002F53B7" w:rsidRPr="004B1265" w:rsidRDefault="002F53B7" w:rsidP="002F53B7">
            <w:pPr>
              <w:spacing w:after="0" w:line="240" w:lineRule="auto"/>
              <w:rPr>
                <w:rFonts w:eastAsia="Times New Roman" w:cs="Times New Roman"/>
                <w:sz w:val="20"/>
                <w:szCs w:val="20"/>
              </w:rPr>
            </w:pPr>
          </w:p>
        </w:tc>
      </w:tr>
      <w:tr w:rsidR="002F53B7" w:rsidRPr="004B1265" w14:paraId="2BA4B98E" w14:textId="77777777" w:rsidTr="002F53B7">
        <w:trPr>
          <w:trHeight w:val="290"/>
        </w:trPr>
        <w:tc>
          <w:tcPr>
            <w:tcW w:w="976" w:type="dxa"/>
            <w:tcBorders>
              <w:top w:val="nil"/>
              <w:left w:val="nil"/>
              <w:bottom w:val="nil"/>
              <w:right w:val="nil"/>
            </w:tcBorders>
            <w:shd w:val="clear" w:color="auto" w:fill="auto"/>
            <w:noWrap/>
            <w:vAlign w:val="bottom"/>
            <w:hideMark/>
          </w:tcPr>
          <w:p w14:paraId="02C7BD95" w14:textId="77777777" w:rsidR="002F53B7" w:rsidRPr="004B1265" w:rsidRDefault="002F53B7" w:rsidP="002F53B7">
            <w:pPr>
              <w:spacing w:after="0" w:line="240" w:lineRule="auto"/>
              <w:rPr>
                <w:rFonts w:ascii="Calibri" w:eastAsia="Times New Roman" w:hAnsi="Calibri" w:cs="Calibri"/>
                <w:color w:val="000000"/>
                <w:sz w:val="22"/>
              </w:rPr>
            </w:pPr>
            <w:r w:rsidRPr="004B1265">
              <w:rPr>
                <w:rFonts w:ascii="Calibri" w:eastAsia="Times New Roman" w:hAnsi="Calibri" w:cs="Calibri"/>
                <w:color w:val="000000"/>
                <w:sz w:val="22"/>
              </w:rPr>
              <w:t>Levels</w:t>
            </w:r>
          </w:p>
        </w:tc>
        <w:tc>
          <w:tcPr>
            <w:tcW w:w="976" w:type="dxa"/>
            <w:tcBorders>
              <w:top w:val="nil"/>
              <w:left w:val="nil"/>
              <w:bottom w:val="nil"/>
              <w:right w:val="nil"/>
            </w:tcBorders>
            <w:shd w:val="clear" w:color="auto" w:fill="auto"/>
            <w:noWrap/>
            <w:vAlign w:val="bottom"/>
            <w:hideMark/>
          </w:tcPr>
          <w:p w14:paraId="43C0B361" w14:textId="77777777" w:rsidR="002F53B7" w:rsidRPr="004B1265" w:rsidRDefault="002F53B7" w:rsidP="002F53B7">
            <w:pPr>
              <w:spacing w:after="0" w:line="240" w:lineRule="auto"/>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52AE5732" w14:textId="77777777" w:rsidR="002F53B7" w:rsidRPr="004B1265" w:rsidRDefault="002F53B7" w:rsidP="002F53B7">
            <w:pPr>
              <w:spacing w:after="0" w:line="240" w:lineRule="auto"/>
              <w:rPr>
                <w:rFonts w:eastAsia="Times New Roman" w:cs="Times New Roman"/>
                <w:sz w:val="20"/>
                <w:szCs w:val="20"/>
              </w:rPr>
            </w:pPr>
          </w:p>
        </w:tc>
        <w:tc>
          <w:tcPr>
            <w:tcW w:w="1596" w:type="dxa"/>
            <w:tcBorders>
              <w:top w:val="nil"/>
              <w:left w:val="nil"/>
              <w:bottom w:val="nil"/>
              <w:right w:val="nil"/>
            </w:tcBorders>
            <w:shd w:val="clear" w:color="auto" w:fill="auto"/>
            <w:noWrap/>
            <w:vAlign w:val="bottom"/>
            <w:hideMark/>
          </w:tcPr>
          <w:p w14:paraId="05540A89" w14:textId="77777777" w:rsidR="002F53B7" w:rsidRPr="004B1265" w:rsidRDefault="002F53B7" w:rsidP="002F53B7">
            <w:pPr>
              <w:spacing w:after="0" w:line="240" w:lineRule="auto"/>
              <w:rPr>
                <w:rFonts w:eastAsia="Times New Roman" w:cs="Times New Roman"/>
                <w:sz w:val="20"/>
                <w:szCs w:val="20"/>
              </w:rPr>
            </w:pPr>
          </w:p>
        </w:tc>
        <w:tc>
          <w:tcPr>
            <w:tcW w:w="1156" w:type="dxa"/>
            <w:tcBorders>
              <w:top w:val="nil"/>
              <w:left w:val="nil"/>
              <w:bottom w:val="nil"/>
              <w:right w:val="nil"/>
            </w:tcBorders>
            <w:shd w:val="clear" w:color="auto" w:fill="auto"/>
            <w:noWrap/>
            <w:vAlign w:val="bottom"/>
            <w:hideMark/>
          </w:tcPr>
          <w:p w14:paraId="0424D66E" w14:textId="77777777" w:rsidR="002F53B7" w:rsidRPr="004B1265" w:rsidRDefault="002F53B7" w:rsidP="002F53B7">
            <w:pPr>
              <w:spacing w:after="0" w:line="240" w:lineRule="auto"/>
              <w:rPr>
                <w:rFonts w:eastAsia="Times New Roman" w:cs="Times New Roman"/>
                <w:sz w:val="20"/>
                <w:szCs w:val="20"/>
              </w:rPr>
            </w:pPr>
          </w:p>
        </w:tc>
        <w:tc>
          <w:tcPr>
            <w:tcW w:w="1156" w:type="dxa"/>
            <w:tcBorders>
              <w:top w:val="nil"/>
              <w:left w:val="nil"/>
              <w:bottom w:val="nil"/>
              <w:right w:val="nil"/>
            </w:tcBorders>
            <w:shd w:val="clear" w:color="auto" w:fill="auto"/>
            <w:noWrap/>
            <w:vAlign w:val="bottom"/>
            <w:hideMark/>
          </w:tcPr>
          <w:p w14:paraId="1442F755" w14:textId="77777777" w:rsidR="002F53B7" w:rsidRPr="004B1265"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8172249" w14:textId="77777777" w:rsidR="002F53B7" w:rsidRPr="004B1265" w:rsidRDefault="002F53B7" w:rsidP="002F53B7">
            <w:pPr>
              <w:spacing w:after="0" w:line="240" w:lineRule="auto"/>
              <w:rPr>
                <w:rFonts w:eastAsia="Times New Roman" w:cs="Times New Roman"/>
                <w:sz w:val="20"/>
                <w:szCs w:val="20"/>
              </w:rPr>
            </w:pPr>
          </w:p>
        </w:tc>
        <w:tc>
          <w:tcPr>
            <w:tcW w:w="1236" w:type="dxa"/>
            <w:tcBorders>
              <w:top w:val="nil"/>
              <w:left w:val="nil"/>
              <w:bottom w:val="nil"/>
              <w:right w:val="nil"/>
            </w:tcBorders>
            <w:shd w:val="clear" w:color="auto" w:fill="auto"/>
            <w:noWrap/>
            <w:vAlign w:val="bottom"/>
            <w:hideMark/>
          </w:tcPr>
          <w:p w14:paraId="5A8B4361" w14:textId="77777777" w:rsidR="002F53B7" w:rsidRPr="004B1265" w:rsidRDefault="002F53B7" w:rsidP="002F53B7">
            <w:pPr>
              <w:spacing w:after="0" w:line="240" w:lineRule="auto"/>
              <w:rPr>
                <w:rFonts w:eastAsia="Times New Roman" w:cs="Times New Roman"/>
                <w:sz w:val="20"/>
                <w:szCs w:val="20"/>
              </w:rPr>
            </w:pPr>
          </w:p>
        </w:tc>
      </w:tr>
      <w:tr w:rsidR="002F53B7" w:rsidRPr="004B1265" w14:paraId="1B4E7BD7" w14:textId="77777777" w:rsidTr="002F53B7">
        <w:trPr>
          <w:trHeight w:val="290"/>
        </w:trPr>
        <w:tc>
          <w:tcPr>
            <w:tcW w:w="976" w:type="dxa"/>
            <w:tcBorders>
              <w:top w:val="nil"/>
              <w:left w:val="nil"/>
              <w:bottom w:val="nil"/>
              <w:right w:val="nil"/>
            </w:tcBorders>
            <w:shd w:val="clear" w:color="auto" w:fill="auto"/>
            <w:noWrap/>
            <w:vAlign w:val="bottom"/>
            <w:hideMark/>
          </w:tcPr>
          <w:p w14:paraId="696F43D7" w14:textId="77777777" w:rsidR="002F53B7" w:rsidRPr="004B1265" w:rsidRDefault="002F53B7" w:rsidP="002F53B7">
            <w:pPr>
              <w:spacing w:after="0" w:line="240" w:lineRule="auto"/>
              <w:jc w:val="right"/>
              <w:rPr>
                <w:rFonts w:ascii="Calibri" w:eastAsia="Times New Roman" w:hAnsi="Calibri" w:cs="Calibri"/>
                <w:color w:val="000000"/>
                <w:sz w:val="22"/>
              </w:rPr>
            </w:pPr>
            <w:r w:rsidRPr="004B1265">
              <w:rPr>
                <w:rFonts w:ascii="Calibri" w:eastAsia="Times New Roman" w:hAnsi="Calibri" w:cs="Calibri"/>
                <w:color w:val="000000"/>
                <w:sz w:val="22"/>
              </w:rPr>
              <w:t>1929</w:t>
            </w:r>
          </w:p>
        </w:tc>
        <w:tc>
          <w:tcPr>
            <w:tcW w:w="976" w:type="dxa"/>
            <w:tcBorders>
              <w:top w:val="nil"/>
              <w:left w:val="nil"/>
              <w:bottom w:val="nil"/>
              <w:right w:val="nil"/>
            </w:tcBorders>
            <w:shd w:val="clear" w:color="auto" w:fill="auto"/>
            <w:noWrap/>
            <w:vAlign w:val="bottom"/>
            <w:hideMark/>
          </w:tcPr>
          <w:p w14:paraId="6C8A8557" w14:textId="77777777" w:rsidR="002F53B7" w:rsidRPr="004B1265" w:rsidRDefault="002F53B7" w:rsidP="002F53B7">
            <w:pPr>
              <w:spacing w:after="0" w:line="240" w:lineRule="auto"/>
              <w:jc w:val="right"/>
              <w:rPr>
                <w:rFonts w:ascii="Calibri" w:eastAsia="Times New Roman" w:hAnsi="Calibri" w:cs="Calibri"/>
                <w:color w:val="000000"/>
                <w:sz w:val="22"/>
              </w:rPr>
            </w:pPr>
            <w:r w:rsidRPr="004B1265">
              <w:rPr>
                <w:rFonts w:ascii="Calibri" w:eastAsia="Times New Roman" w:hAnsi="Calibri" w:cs="Calibri"/>
                <w:color w:val="000000"/>
                <w:sz w:val="22"/>
              </w:rPr>
              <w:t>3835</w:t>
            </w:r>
          </w:p>
        </w:tc>
        <w:tc>
          <w:tcPr>
            <w:tcW w:w="976" w:type="dxa"/>
            <w:tcBorders>
              <w:top w:val="nil"/>
              <w:left w:val="nil"/>
              <w:bottom w:val="nil"/>
              <w:right w:val="nil"/>
            </w:tcBorders>
            <w:shd w:val="clear" w:color="auto" w:fill="auto"/>
            <w:noWrap/>
            <w:vAlign w:val="bottom"/>
            <w:hideMark/>
          </w:tcPr>
          <w:p w14:paraId="192A4C93" w14:textId="77777777" w:rsidR="002F53B7" w:rsidRPr="004B1265" w:rsidRDefault="002F53B7" w:rsidP="002F53B7">
            <w:pPr>
              <w:spacing w:after="0" w:line="240" w:lineRule="auto"/>
              <w:jc w:val="right"/>
              <w:rPr>
                <w:rFonts w:ascii="Calibri" w:eastAsia="Times New Roman" w:hAnsi="Calibri" w:cs="Calibri"/>
                <w:color w:val="000000"/>
                <w:sz w:val="22"/>
              </w:rPr>
            </w:pPr>
            <w:r w:rsidRPr="004B1265">
              <w:rPr>
                <w:rFonts w:ascii="Calibri" w:eastAsia="Times New Roman" w:hAnsi="Calibri" w:cs="Calibri"/>
                <w:color w:val="000000"/>
                <w:sz w:val="22"/>
              </w:rPr>
              <w:t>37.6</w:t>
            </w:r>
          </w:p>
        </w:tc>
        <w:tc>
          <w:tcPr>
            <w:tcW w:w="1596" w:type="dxa"/>
            <w:tcBorders>
              <w:top w:val="nil"/>
              <w:left w:val="nil"/>
              <w:bottom w:val="nil"/>
              <w:right w:val="nil"/>
            </w:tcBorders>
            <w:shd w:val="clear" w:color="auto" w:fill="auto"/>
            <w:noWrap/>
            <w:vAlign w:val="bottom"/>
            <w:hideMark/>
          </w:tcPr>
          <w:p w14:paraId="06C86186" w14:textId="77777777" w:rsidR="002F53B7" w:rsidRPr="004B1265" w:rsidRDefault="002F53B7" w:rsidP="002F53B7">
            <w:pPr>
              <w:spacing w:after="0" w:line="240" w:lineRule="auto"/>
              <w:jc w:val="right"/>
              <w:rPr>
                <w:rFonts w:ascii="Calibri" w:eastAsia="Times New Roman" w:hAnsi="Calibri" w:cs="Calibri"/>
                <w:color w:val="000000"/>
                <w:sz w:val="22"/>
              </w:rPr>
            </w:pPr>
            <w:r w:rsidRPr="004B1265">
              <w:rPr>
                <w:rFonts w:ascii="Calibri" w:eastAsia="Times New Roman" w:hAnsi="Calibri" w:cs="Calibri"/>
                <w:color w:val="000000"/>
                <w:sz w:val="22"/>
              </w:rPr>
              <w:t>102.0</w:t>
            </w:r>
          </w:p>
        </w:tc>
        <w:tc>
          <w:tcPr>
            <w:tcW w:w="1156" w:type="dxa"/>
            <w:tcBorders>
              <w:top w:val="nil"/>
              <w:left w:val="nil"/>
              <w:bottom w:val="nil"/>
              <w:right w:val="nil"/>
            </w:tcBorders>
            <w:shd w:val="clear" w:color="auto" w:fill="auto"/>
            <w:noWrap/>
            <w:vAlign w:val="bottom"/>
            <w:hideMark/>
          </w:tcPr>
          <w:p w14:paraId="5051F50C" w14:textId="77777777" w:rsidR="002F53B7" w:rsidRPr="004B1265" w:rsidRDefault="002F53B7" w:rsidP="002F53B7">
            <w:pPr>
              <w:spacing w:after="0" w:line="240" w:lineRule="auto"/>
              <w:jc w:val="right"/>
              <w:rPr>
                <w:rFonts w:ascii="Calibri" w:eastAsia="Times New Roman" w:hAnsi="Calibri" w:cs="Calibri"/>
                <w:color w:val="000000"/>
                <w:sz w:val="22"/>
              </w:rPr>
            </w:pPr>
            <w:r w:rsidRPr="004B1265">
              <w:rPr>
                <w:rFonts w:ascii="Calibri" w:eastAsia="Times New Roman" w:hAnsi="Calibri" w:cs="Calibri"/>
                <w:color w:val="000000"/>
                <w:sz w:val="22"/>
              </w:rPr>
              <w:t>1484</w:t>
            </w:r>
          </w:p>
        </w:tc>
        <w:tc>
          <w:tcPr>
            <w:tcW w:w="1156" w:type="dxa"/>
            <w:tcBorders>
              <w:top w:val="nil"/>
              <w:left w:val="nil"/>
              <w:bottom w:val="nil"/>
              <w:right w:val="nil"/>
            </w:tcBorders>
            <w:shd w:val="clear" w:color="auto" w:fill="auto"/>
            <w:noWrap/>
            <w:vAlign w:val="bottom"/>
            <w:hideMark/>
          </w:tcPr>
          <w:p w14:paraId="73329D01" w14:textId="77777777" w:rsidR="002F53B7" w:rsidRPr="004B1265" w:rsidRDefault="002F53B7" w:rsidP="002F53B7">
            <w:pPr>
              <w:spacing w:after="0" w:line="240" w:lineRule="auto"/>
              <w:jc w:val="right"/>
              <w:rPr>
                <w:rFonts w:ascii="Calibri" w:eastAsia="Times New Roman" w:hAnsi="Calibri" w:cs="Calibri"/>
                <w:color w:val="000000"/>
                <w:sz w:val="22"/>
              </w:rPr>
            </w:pPr>
            <w:r w:rsidRPr="004B1265">
              <w:rPr>
                <w:rFonts w:ascii="Calibri" w:eastAsia="Times New Roman" w:hAnsi="Calibri" w:cs="Calibri"/>
                <w:color w:val="000000"/>
                <w:sz w:val="22"/>
              </w:rPr>
              <w:t>7.711</w:t>
            </w:r>
          </w:p>
        </w:tc>
        <w:tc>
          <w:tcPr>
            <w:tcW w:w="976" w:type="dxa"/>
            <w:tcBorders>
              <w:top w:val="nil"/>
              <w:left w:val="nil"/>
              <w:bottom w:val="nil"/>
              <w:right w:val="nil"/>
            </w:tcBorders>
            <w:shd w:val="clear" w:color="auto" w:fill="auto"/>
            <w:noWrap/>
            <w:vAlign w:val="bottom"/>
            <w:hideMark/>
          </w:tcPr>
          <w:p w14:paraId="77BE32C9" w14:textId="77777777" w:rsidR="002F53B7" w:rsidRPr="004B1265" w:rsidRDefault="002F53B7" w:rsidP="002F53B7">
            <w:pPr>
              <w:spacing w:after="0" w:line="240" w:lineRule="auto"/>
              <w:jc w:val="right"/>
              <w:rPr>
                <w:rFonts w:ascii="Calibri" w:eastAsia="Times New Roman" w:hAnsi="Calibri" w:cs="Calibri"/>
                <w:color w:val="000000"/>
                <w:sz w:val="22"/>
              </w:rPr>
            </w:pPr>
          </w:p>
        </w:tc>
        <w:tc>
          <w:tcPr>
            <w:tcW w:w="1236" w:type="dxa"/>
            <w:tcBorders>
              <w:top w:val="nil"/>
              <w:left w:val="nil"/>
              <w:bottom w:val="nil"/>
              <w:right w:val="nil"/>
            </w:tcBorders>
            <w:shd w:val="clear" w:color="auto" w:fill="auto"/>
            <w:noWrap/>
            <w:vAlign w:val="bottom"/>
            <w:hideMark/>
          </w:tcPr>
          <w:p w14:paraId="56AF39EF" w14:textId="77777777" w:rsidR="002F53B7" w:rsidRPr="004B1265" w:rsidRDefault="002F53B7" w:rsidP="002F53B7">
            <w:pPr>
              <w:spacing w:after="0" w:line="240" w:lineRule="auto"/>
              <w:rPr>
                <w:rFonts w:eastAsia="Times New Roman" w:cs="Times New Roman"/>
                <w:sz w:val="20"/>
                <w:szCs w:val="20"/>
              </w:rPr>
            </w:pPr>
          </w:p>
        </w:tc>
      </w:tr>
      <w:tr w:rsidR="002F53B7" w:rsidRPr="004B1265" w14:paraId="6CD24D6F" w14:textId="77777777" w:rsidTr="002F53B7">
        <w:trPr>
          <w:trHeight w:val="290"/>
        </w:trPr>
        <w:tc>
          <w:tcPr>
            <w:tcW w:w="976" w:type="dxa"/>
            <w:tcBorders>
              <w:top w:val="nil"/>
              <w:left w:val="nil"/>
              <w:bottom w:val="nil"/>
              <w:right w:val="nil"/>
            </w:tcBorders>
            <w:shd w:val="clear" w:color="auto" w:fill="auto"/>
            <w:noWrap/>
            <w:vAlign w:val="bottom"/>
            <w:hideMark/>
          </w:tcPr>
          <w:p w14:paraId="2CF19DCE" w14:textId="77777777" w:rsidR="002F53B7" w:rsidRPr="004B1265" w:rsidRDefault="002F53B7" w:rsidP="002F53B7">
            <w:pPr>
              <w:spacing w:after="0" w:line="240" w:lineRule="auto"/>
              <w:jc w:val="right"/>
              <w:rPr>
                <w:rFonts w:ascii="Calibri" w:eastAsia="Times New Roman" w:hAnsi="Calibri" w:cs="Calibri"/>
                <w:color w:val="000000"/>
                <w:sz w:val="22"/>
              </w:rPr>
            </w:pPr>
            <w:r w:rsidRPr="004B1265">
              <w:rPr>
                <w:rFonts w:ascii="Calibri" w:eastAsia="Times New Roman" w:hAnsi="Calibri" w:cs="Calibri"/>
                <w:color w:val="000000"/>
                <w:sz w:val="22"/>
              </w:rPr>
              <w:t>1941</w:t>
            </w:r>
          </w:p>
        </w:tc>
        <w:tc>
          <w:tcPr>
            <w:tcW w:w="976" w:type="dxa"/>
            <w:tcBorders>
              <w:top w:val="nil"/>
              <w:left w:val="nil"/>
              <w:bottom w:val="nil"/>
              <w:right w:val="nil"/>
            </w:tcBorders>
            <w:shd w:val="clear" w:color="auto" w:fill="auto"/>
            <w:noWrap/>
            <w:vAlign w:val="bottom"/>
            <w:hideMark/>
          </w:tcPr>
          <w:p w14:paraId="4C3FB23D" w14:textId="77777777" w:rsidR="002F53B7" w:rsidRPr="004B1265" w:rsidRDefault="002F53B7" w:rsidP="002F53B7">
            <w:pPr>
              <w:spacing w:after="0" w:line="240" w:lineRule="auto"/>
              <w:jc w:val="right"/>
              <w:rPr>
                <w:rFonts w:ascii="Calibri" w:eastAsia="Times New Roman" w:hAnsi="Calibri" w:cs="Calibri"/>
                <w:color w:val="000000"/>
                <w:sz w:val="22"/>
              </w:rPr>
            </w:pPr>
            <w:r w:rsidRPr="004B1265">
              <w:rPr>
                <w:rFonts w:ascii="Calibri" w:eastAsia="Times New Roman" w:hAnsi="Calibri" w:cs="Calibri"/>
                <w:color w:val="000000"/>
                <w:sz w:val="22"/>
              </w:rPr>
              <w:t>4219</w:t>
            </w:r>
          </w:p>
        </w:tc>
        <w:tc>
          <w:tcPr>
            <w:tcW w:w="976" w:type="dxa"/>
            <w:tcBorders>
              <w:top w:val="nil"/>
              <w:left w:val="nil"/>
              <w:bottom w:val="nil"/>
              <w:right w:val="nil"/>
            </w:tcBorders>
            <w:shd w:val="clear" w:color="auto" w:fill="auto"/>
            <w:noWrap/>
            <w:vAlign w:val="bottom"/>
            <w:hideMark/>
          </w:tcPr>
          <w:p w14:paraId="42A5B629" w14:textId="77777777" w:rsidR="002F53B7" w:rsidRPr="004B1265" w:rsidRDefault="002F53B7" w:rsidP="002F53B7">
            <w:pPr>
              <w:spacing w:after="0" w:line="240" w:lineRule="auto"/>
              <w:jc w:val="right"/>
              <w:rPr>
                <w:rFonts w:ascii="Calibri" w:eastAsia="Times New Roman" w:hAnsi="Calibri" w:cs="Calibri"/>
                <w:color w:val="000000"/>
                <w:sz w:val="22"/>
              </w:rPr>
            </w:pPr>
            <w:r w:rsidRPr="004B1265">
              <w:rPr>
                <w:rFonts w:ascii="Calibri" w:eastAsia="Times New Roman" w:hAnsi="Calibri" w:cs="Calibri"/>
                <w:color w:val="000000"/>
                <w:sz w:val="22"/>
              </w:rPr>
              <w:t>38.6</w:t>
            </w:r>
          </w:p>
        </w:tc>
        <w:tc>
          <w:tcPr>
            <w:tcW w:w="1596" w:type="dxa"/>
            <w:tcBorders>
              <w:top w:val="nil"/>
              <w:left w:val="nil"/>
              <w:bottom w:val="nil"/>
              <w:right w:val="nil"/>
            </w:tcBorders>
            <w:shd w:val="clear" w:color="auto" w:fill="auto"/>
            <w:noWrap/>
            <w:vAlign w:val="bottom"/>
            <w:hideMark/>
          </w:tcPr>
          <w:p w14:paraId="6A4A213A" w14:textId="77777777" w:rsidR="002F53B7" w:rsidRPr="004B1265" w:rsidRDefault="002F53B7" w:rsidP="002F53B7">
            <w:pPr>
              <w:spacing w:after="0" w:line="240" w:lineRule="auto"/>
              <w:jc w:val="right"/>
              <w:rPr>
                <w:rFonts w:ascii="Calibri" w:eastAsia="Times New Roman" w:hAnsi="Calibri" w:cs="Calibri"/>
                <w:color w:val="000000"/>
                <w:sz w:val="22"/>
              </w:rPr>
            </w:pPr>
            <w:r w:rsidRPr="004B1265">
              <w:rPr>
                <w:rFonts w:ascii="Calibri" w:eastAsia="Times New Roman" w:hAnsi="Calibri" w:cs="Calibri"/>
                <w:color w:val="000000"/>
                <w:sz w:val="22"/>
              </w:rPr>
              <w:t>109.3</w:t>
            </w:r>
          </w:p>
        </w:tc>
        <w:tc>
          <w:tcPr>
            <w:tcW w:w="1156" w:type="dxa"/>
            <w:tcBorders>
              <w:top w:val="nil"/>
              <w:left w:val="nil"/>
              <w:bottom w:val="nil"/>
              <w:right w:val="nil"/>
            </w:tcBorders>
            <w:shd w:val="clear" w:color="auto" w:fill="auto"/>
            <w:noWrap/>
            <w:vAlign w:val="bottom"/>
            <w:hideMark/>
          </w:tcPr>
          <w:p w14:paraId="38E9A236" w14:textId="77777777" w:rsidR="002F53B7" w:rsidRPr="004B1265" w:rsidRDefault="002F53B7" w:rsidP="002F53B7">
            <w:pPr>
              <w:spacing w:after="0" w:line="240" w:lineRule="auto"/>
              <w:jc w:val="right"/>
              <w:rPr>
                <w:rFonts w:ascii="Calibri" w:eastAsia="Times New Roman" w:hAnsi="Calibri" w:cs="Calibri"/>
                <w:color w:val="000000"/>
                <w:sz w:val="22"/>
              </w:rPr>
            </w:pPr>
            <w:r w:rsidRPr="004B1265">
              <w:rPr>
                <w:rFonts w:ascii="Calibri" w:eastAsia="Times New Roman" w:hAnsi="Calibri" w:cs="Calibri"/>
                <w:color w:val="000000"/>
                <w:sz w:val="22"/>
              </w:rPr>
              <w:t>1774</w:t>
            </w:r>
          </w:p>
        </w:tc>
        <w:tc>
          <w:tcPr>
            <w:tcW w:w="1156" w:type="dxa"/>
            <w:tcBorders>
              <w:top w:val="nil"/>
              <w:left w:val="nil"/>
              <w:bottom w:val="nil"/>
              <w:right w:val="nil"/>
            </w:tcBorders>
            <w:shd w:val="clear" w:color="auto" w:fill="auto"/>
            <w:noWrap/>
            <w:vAlign w:val="bottom"/>
            <w:hideMark/>
          </w:tcPr>
          <w:p w14:paraId="7600B9EC" w14:textId="77777777" w:rsidR="002F53B7" w:rsidRPr="004B1265" w:rsidRDefault="002F53B7" w:rsidP="002F53B7">
            <w:pPr>
              <w:spacing w:after="0" w:line="240" w:lineRule="auto"/>
              <w:jc w:val="right"/>
              <w:rPr>
                <w:rFonts w:ascii="Calibri" w:eastAsia="Times New Roman" w:hAnsi="Calibri" w:cs="Calibri"/>
                <w:color w:val="000000"/>
                <w:sz w:val="22"/>
              </w:rPr>
            </w:pPr>
            <w:r w:rsidRPr="004B1265">
              <w:rPr>
                <w:rFonts w:ascii="Calibri" w:eastAsia="Times New Roman" w:hAnsi="Calibri" w:cs="Calibri"/>
                <w:color w:val="000000"/>
                <w:sz w:val="22"/>
              </w:rPr>
              <w:t>8.553</w:t>
            </w:r>
          </w:p>
        </w:tc>
        <w:tc>
          <w:tcPr>
            <w:tcW w:w="976" w:type="dxa"/>
            <w:tcBorders>
              <w:top w:val="nil"/>
              <w:left w:val="nil"/>
              <w:bottom w:val="nil"/>
              <w:right w:val="nil"/>
            </w:tcBorders>
            <w:shd w:val="clear" w:color="auto" w:fill="auto"/>
            <w:noWrap/>
            <w:vAlign w:val="bottom"/>
            <w:hideMark/>
          </w:tcPr>
          <w:p w14:paraId="14E97771" w14:textId="77777777" w:rsidR="002F53B7" w:rsidRPr="004B1265" w:rsidRDefault="002F53B7" w:rsidP="002F53B7">
            <w:pPr>
              <w:spacing w:after="0" w:line="240" w:lineRule="auto"/>
              <w:jc w:val="right"/>
              <w:rPr>
                <w:rFonts w:ascii="Calibri" w:eastAsia="Times New Roman" w:hAnsi="Calibri" w:cs="Calibri"/>
                <w:color w:val="000000"/>
                <w:sz w:val="22"/>
              </w:rPr>
            </w:pPr>
          </w:p>
        </w:tc>
        <w:tc>
          <w:tcPr>
            <w:tcW w:w="1236" w:type="dxa"/>
            <w:tcBorders>
              <w:top w:val="nil"/>
              <w:left w:val="nil"/>
              <w:bottom w:val="nil"/>
              <w:right w:val="nil"/>
            </w:tcBorders>
            <w:shd w:val="clear" w:color="auto" w:fill="auto"/>
            <w:noWrap/>
            <w:vAlign w:val="bottom"/>
            <w:hideMark/>
          </w:tcPr>
          <w:p w14:paraId="5B97E252" w14:textId="77777777" w:rsidR="002F53B7" w:rsidRPr="004B1265" w:rsidRDefault="002F53B7" w:rsidP="002F53B7">
            <w:pPr>
              <w:spacing w:after="0" w:line="240" w:lineRule="auto"/>
              <w:rPr>
                <w:rFonts w:eastAsia="Times New Roman" w:cs="Times New Roman"/>
                <w:sz w:val="20"/>
                <w:szCs w:val="20"/>
              </w:rPr>
            </w:pPr>
          </w:p>
        </w:tc>
      </w:tr>
      <w:tr w:rsidR="002F53B7" w:rsidRPr="004B1265" w14:paraId="29275FAE" w14:textId="77777777" w:rsidTr="002F53B7">
        <w:trPr>
          <w:trHeight w:val="290"/>
        </w:trPr>
        <w:tc>
          <w:tcPr>
            <w:tcW w:w="976" w:type="dxa"/>
            <w:tcBorders>
              <w:top w:val="nil"/>
              <w:left w:val="nil"/>
              <w:bottom w:val="nil"/>
              <w:right w:val="nil"/>
            </w:tcBorders>
            <w:shd w:val="clear" w:color="auto" w:fill="auto"/>
            <w:noWrap/>
            <w:vAlign w:val="bottom"/>
            <w:hideMark/>
          </w:tcPr>
          <w:p w14:paraId="5AF19FDF" w14:textId="77777777" w:rsidR="002F53B7" w:rsidRPr="004B1265" w:rsidRDefault="002F53B7" w:rsidP="002F53B7">
            <w:pPr>
              <w:spacing w:after="0" w:line="240" w:lineRule="auto"/>
              <w:jc w:val="right"/>
              <w:rPr>
                <w:rFonts w:ascii="Calibri" w:eastAsia="Times New Roman" w:hAnsi="Calibri" w:cs="Calibri"/>
                <w:color w:val="000000"/>
                <w:sz w:val="22"/>
              </w:rPr>
            </w:pPr>
            <w:r w:rsidRPr="004B1265">
              <w:rPr>
                <w:rFonts w:ascii="Calibri" w:eastAsia="Times New Roman" w:hAnsi="Calibri" w:cs="Calibri"/>
                <w:color w:val="000000"/>
                <w:sz w:val="22"/>
              </w:rPr>
              <w:t>1948</w:t>
            </w:r>
          </w:p>
        </w:tc>
        <w:tc>
          <w:tcPr>
            <w:tcW w:w="976" w:type="dxa"/>
            <w:tcBorders>
              <w:top w:val="nil"/>
              <w:left w:val="nil"/>
              <w:bottom w:val="nil"/>
              <w:right w:val="nil"/>
            </w:tcBorders>
            <w:shd w:val="clear" w:color="auto" w:fill="auto"/>
            <w:noWrap/>
            <w:vAlign w:val="bottom"/>
            <w:hideMark/>
          </w:tcPr>
          <w:p w14:paraId="028F144B" w14:textId="77777777" w:rsidR="002F53B7" w:rsidRPr="004B1265" w:rsidRDefault="002F53B7" w:rsidP="002F53B7">
            <w:pPr>
              <w:spacing w:after="0" w:line="240" w:lineRule="auto"/>
              <w:jc w:val="right"/>
              <w:rPr>
                <w:rFonts w:ascii="Calibri" w:eastAsia="Times New Roman" w:hAnsi="Calibri" w:cs="Calibri"/>
                <w:color w:val="000000"/>
                <w:sz w:val="22"/>
              </w:rPr>
            </w:pPr>
            <w:r w:rsidRPr="004B1265">
              <w:rPr>
                <w:rFonts w:ascii="Calibri" w:eastAsia="Times New Roman" w:hAnsi="Calibri" w:cs="Calibri"/>
                <w:color w:val="000000"/>
                <w:sz w:val="22"/>
              </w:rPr>
              <w:t>10612</w:t>
            </w:r>
          </w:p>
        </w:tc>
        <w:tc>
          <w:tcPr>
            <w:tcW w:w="976" w:type="dxa"/>
            <w:tcBorders>
              <w:top w:val="nil"/>
              <w:left w:val="nil"/>
              <w:bottom w:val="nil"/>
              <w:right w:val="nil"/>
            </w:tcBorders>
            <w:shd w:val="clear" w:color="auto" w:fill="auto"/>
            <w:noWrap/>
            <w:vAlign w:val="bottom"/>
            <w:hideMark/>
          </w:tcPr>
          <w:p w14:paraId="460A3266" w14:textId="77777777" w:rsidR="002F53B7" w:rsidRPr="004B1265" w:rsidRDefault="002F53B7" w:rsidP="002F53B7">
            <w:pPr>
              <w:spacing w:after="0" w:line="240" w:lineRule="auto"/>
              <w:jc w:val="right"/>
              <w:rPr>
                <w:rFonts w:ascii="Calibri" w:eastAsia="Times New Roman" w:hAnsi="Calibri" w:cs="Calibri"/>
                <w:color w:val="000000"/>
                <w:sz w:val="22"/>
              </w:rPr>
            </w:pPr>
            <w:r w:rsidRPr="004B1265">
              <w:rPr>
                <w:rFonts w:ascii="Calibri" w:eastAsia="Times New Roman" w:hAnsi="Calibri" w:cs="Calibri"/>
                <w:color w:val="000000"/>
                <w:sz w:val="22"/>
              </w:rPr>
              <w:t>76.7</w:t>
            </w:r>
          </w:p>
        </w:tc>
        <w:tc>
          <w:tcPr>
            <w:tcW w:w="1596" w:type="dxa"/>
            <w:tcBorders>
              <w:top w:val="nil"/>
              <w:left w:val="nil"/>
              <w:bottom w:val="nil"/>
              <w:right w:val="nil"/>
            </w:tcBorders>
            <w:shd w:val="clear" w:color="auto" w:fill="auto"/>
            <w:noWrap/>
            <w:vAlign w:val="bottom"/>
            <w:hideMark/>
          </w:tcPr>
          <w:p w14:paraId="103C52E5" w14:textId="77777777" w:rsidR="002F53B7" w:rsidRPr="004B1265" w:rsidRDefault="002F53B7" w:rsidP="002F53B7">
            <w:pPr>
              <w:spacing w:after="0" w:line="240" w:lineRule="auto"/>
              <w:jc w:val="right"/>
              <w:rPr>
                <w:rFonts w:ascii="Calibri" w:eastAsia="Times New Roman" w:hAnsi="Calibri" w:cs="Calibri"/>
                <w:color w:val="000000"/>
                <w:sz w:val="22"/>
              </w:rPr>
            </w:pPr>
            <w:r w:rsidRPr="004B1265">
              <w:rPr>
                <w:rFonts w:ascii="Calibri" w:eastAsia="Times New Roman" w:hAnsi="Calibri" w:cs="Calibri"/>
                <w:color w:val="000000"/>
                <w:sz w:val="22"/>
              </w:rPr>
              <w:t>138.4</w:t>
            </w:r>
          </w:p>
        </w:tc>
        <w:tc>
          <w:tcPr>
            <w:tcW w:w="1156" w:type="dxa"/>
            <w:tcBorders>
              <w:top w:val="nil"/>
              <w:left w:val="nil"/>
              <w:bottom w:val="nil"/>
              <w:right w:val="nil"/>
            </w:tcBorders>
            <w:shd w:val="clear" w:color="auto" w:fill="auto"/>
            <w:noWrap/>
            <w:vAlign w:val="bottom"/>
            <w:hideMark/>
          </w:tcPr>
          <w:p w14:paraId="7544CB84" w14:textId="77777777" w:rsidR="002F53B7" w:rsidRPr="004B1265" w:rsidRDefault="002F53B7" w:rsidP="002F53B7">
            <w:pPr>
              <w:spacing w:after="0" w:line="240" w:lineRule="auto"/>
              <w:jc w:val="right"/>
              <w:rPr>
                <w:rFonts w:ascii="Calibri" w:eastAsia="Times New Roman" w:hAnsi="Calibri" w:cs="Calibri"/>
                <w:color w:val="000000"/>
                <w:sz w:val="22"/>
              </w:rPr>
            </w:pPr>
            <w:r w:rsidRPr="004B1265">
              <w:rPr>
                <w:rFonts w:ascii="Calibri" w:eastAsia="Times New Roman" w:hAnsi="Calibri" w:cs="Calibri"/>
                <w:color w:val="000000"/>
                <w:sz w:val="22"/>
              </w:rPr>
              <w:t>2278</w:t>
            </w:r>
          </w:p>
        </w:tc>
        <w:tc>
          <w:tcPr>
            <w:tcW w:w="1156" w:type="dxa"/>
            <w:tcBorders>
              <w:top w:val="nil"/>
              <w:left w:val="nil"/>
              <w:bottom w:val="nil"/>
              <w:right w:val="nil"/>
            </w:tcBorders>
            <w:shd w:val="clear" w:color="auto" w:fill="auto"/>
            <w:noWrap/>
            <w:vAlign w:val="bottom"/>
            <w:hideMark/>
          </w:tcPr>
          <w:p w14:paraId="6B408D39" w14:textId="77777777" w:rsidR="002F53B7" w:rsidRPr="004B1265" w:rsidRDefault="002F53B7" w:rsidP="002F53B7">
            <w:pPr>
              <w:spacing w:after="0" w:line="240" w:lineRule="auto"/>
              <w:jc w:val="right"/>
              <w:rPr>
                <w:rFonts w:ascii="Calibri" w:eastAsia="Times New Roman" w:hAnsi="Calibri" w:cs="Calibri"/>
                <w:color w:val="000000"/>
                <w:sz w:val="22"/>
              </w:rPr>
            </w:pPr>
            <w:r w:rsidRPr="004B1265">
              <w:rPr>
                <w:rFonts w:ascii="Calibri" w:eastAsia="Times New Roman" w:hAnsi="Calibri" w:cs="Calibri"/>
                <w:color w:val="000000"/>
                <w:sz w:val="22"/>
              </w:rPr>
              <w:t>19.699</w:t>
            </w:r>
          </w:p>
        </w:tc>
        <w:tc>
          <w:tcPr>
            <w:tcW w:w="976" w:type="dxa"/>
            <w:tcBorders>
              <w:top w:val="nil"/>
              <w:left w:val="nil"/>
              <w:bottom w:val="nil"/>
              <w:right w:val="nil"/>
            </w:tcBorders>
            <w:shd w:val="clear" w:color="auto" w:fill="auto"/>
            <w:noWrap/>
            <w:vAlign w:val="bottom"/>
            <w:hideMark/>
          </w:tcPr>
          <w:p w14:paraId="2676B0BB" w14:textId="77777777" w:rsidR="002F53B7" w:rsidRPr="004B1265" w:rsidRDefault="002F53B7" w:rsidP="002F53B7">
            <w:pPr>
              <w:spacing w:after="0" w:line="240" w:lineRule="auto"/>
              <w:jc w:val="right"/>
              <w:rPr>
                <w:rFonts w:ascii="Calibri" w:eastAsia="Times New Roman" w:hAnsi="Calibri" w:cs="Calibri"/>
                <w:color w:val="000000"/>
                <w:sz w:val="22"/>
              </w:rPr>
            </w:pPr>
          </w:p>
        </w:tc>
        <w:tc>
          <w:tcPr>
            <w:tcW w:w="1236" w:type="dxa"/>
            <w:tcBorders>
              <w:top w:val="nil"/>
              <w:left w:val="nil"/>
              <w:bottom w:val="nil"/>
              <w:right w:val="nil"/>
            </w:tcBorders>
            <w:shd w:val="clear" w:color="auto" w:fill="auto"/>
            <w:noWrap/>
            <w:vAlign w:val="bottom"/>
            <w:hideMark/>
          </w:tcPr>
          <w:p w14:paraId="3266B480" w14:textId="77777777" w:rsidR="002F53B7" w:rsidRPr="004B1265" w:rsidRDefault="002F53B7" w:rsidP="002F53B7">
            <w:pPr>
              <w:spacing w:after="0" w:line="240" w:lineRule="auto"/>
              <w:rPr>
                <w:rFonts w:eastAsia="Times New Roman" w:cs="Times New Roman"/>
                <w:sz w:val="20"/>
                <w:szCs w:val="20"/>
              </w:rPr>
            </w:pPr>
          </w:p>
        </w:tc>
      </w:tr>
      <w:tr w:rsidR="002F53B7" w:rsidRPr="004B1265" w14:paraId="12FB29CC" w14:textId="77777777" w:rsidTr="002F53B7">
        <w:trPr>
          <w:trHeight w:val="290"/>
        </w:trPr>
        <w:tc>
          <w:tcPr>
            <w:tcW w:w="976" w:type="dxa"/>
            <w:tcBorders>
              <w:top w:val="nil"/>
              <w:left w:val="nil"/>
              <w:bottom w:val="nil"/>
              <w:right w:val="nil"/>
            </w:tcBorders>
            <w:shd w:val="clear" w:color="auto" w:fill="auto"/>
            <w:noWrap/>
            <w:vAlign w:val="bottom"/>
            <w:hideMark/>
          </w:tcPr>
          <w:p w14:paraId="668E4D22" w14:textId="77777777" w:rsidR="002F53B7" w:rsidRPr="004B1265"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C31F0A8" w14:textId="77777777" w:rsidR="002F53B7" w:rsidRPr="004B1265"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2EA5F09" w14:textId="77777777" w:rsidR="002F53B7" w:rsidRPr="004B1265" w:rsidRDefault="002F53B7" w:rsidP="002F53B7">
            <w:pPr>
              <w:spacing w:after="0" w:line="240" w:lineRule="auto"/>
              <w:rPr>
                <w:rFonts w:eastAsia="Times New Roman" w:cs="Times New Roman"/>
                <w:sz w:val="20"/>
                <w:szCs w:val="20"/>
              </w:rPr>
            </w:pPr>
          </w:p>
        </w:tc>
        <w:tc>
          <w:tcPr>
            <w:tcW w:w="1596" w:type="dxa"/>
            <w:tcBorders>
              <w:top w:val="nil"/>
              <w:left w:val="nil"/>
              <w:bottom w:val="nil"/>
              <w:right w:val="nil"/>
            </w:tcBorders>
            <w:shd w:val="clear" w:color="auto" w:fill="auto"/>
            <w:noWrap/>
            <w:vAlign w:val="bottom"/>
            <w:hideMark/>
          </w:tcPr>
          <w:p w14:paraId="144C9571" w14:textId="77777777" w:rsidR="002F53B7" w:rsidRPr="004B1265" w:rsidRDefault="002F53B7" w:rsidP="002F53B7">
            <w:pPr>
              <w:spacing w:after="0" w:line="240" w:lineRule="auto"/>
              <w:rPr>
                <w:rFonts w:eastAsia="Times New Roman" w:cs="Times New Roman"/>
                <w:sz w:val="20"/>
                <w:szCs w:val="20"/>
              </w:rPr>
            </w:pPr>
          </w:p>
        </w:tc>
        <w:tc>
          <w:tcPr>
            <w:tcW w:w="1156" w:type="dxa"/>
            <w:tcBorders>
              <w:top w:val="nil"/>
              <w:left w:val="nil"/>
              <w:bottom w:val="nil"/>
              <w:right w:val="nil"/>
            </w:tcBorders>
            <w:shd w:val="clear" w:color="auto" w:fill="auto"/>
            <w:noWrap/>
            <w:vAlign w:val="bottom"/>
            <w:hideMark/>
          </w:tcPr>
          <w:p w14:paraId="590DDA3B" w14:textId="77777777" w:rsidR="002F53B7" w:rsidRPr="004B1265" w:rsidRDefault="002F53B7" w:rsidP="002F53B7">
            <w:pPr>
              <w:spacing w:after="0" w:line="240" w:lineRule="auto"/>
              <w:rPr>
                <w:rFonts w:eastAsia="Times New Roman" w:cs="Times New Roman"/>
                <w:sz w:val="20"/>
                <w:szCs w:val="20"/>
              </w:rPr>
            </w:pPr>
          </w:p>
        </w:tc>
        <w:tc>
          <w:tcPr>
            <w:tcW w:w="1156" w:type="dxa"/>
            <w:tcBorders>
              <w:top w:val="nil"/>
              <w:left w:val="nil"/>
              <w:bottom w:val="nil"/>
              <w:right w:val="nil"/>
            </w:tcBorders>
            <w:shd w:val="clear" w:color="auto" w:fill="auto"/>
            <w:noWrap/>
            <w:vAlign w:val="bottom"/>
            <w:hideMark/>
          </w:tcPr>
          <w:p w14:paraId="0379DC88" w14:textId="77777777" w:rsidR="002F53B7" w:rsidRPr="004B1265"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50E11BD" w14:textId="77777777" w:rsidR="002F53B7" w:rsidRPr="004B1265" w:rsidRDefault="002F53B7" w:rsidP="002F53B7">
            <w:pPr>
              <w:spacing w:after="0" w:line="240" w:lineRule="auto"/>
              <w:rPr>
                <w:rFonts w:eastAsia="Times New Roman" w:cs="Times New Roman"/>
                <w:sz w:val="20"/>
                <w:szCs w:val="20"/>
              </w:rPr>
            </w:pPr>
          </w:p>
        </w:tc>
        <w:tc>
          <w:tcPr>
            <w:tcW w:w="1236" w:type="dxa"/>
            <w:tcBorders>
              <w:top w:val="nil"/>
              <w:left w:val="nil"/>
              <w:bottom w:val="nil"/>
              <w:right w:val="nil"/>
            </w:tcBorders>
            <w:shd w:val="clear" w:color="auto" w:fill="auto"/>
            <w:noWrap/>
            <w:vAlign w:val="bottom"/>
            <w:hideMark/>
          </w:tcPr>
          <w:p w14:paraId="37CB72AD" w14:textId="77777777" w:rsidR="002F53B7" w:rsidRPr="004B1265" w:rsidRDefault="002F53B7" w:rsidP="002F53B7">
            <w:pPr>
              <w:spacing w:after="0" w:line="240" w:lineRule="auto"/>
              <w:rPr>
                <w:rFonts w:eastAsia="Times New Roman" w:cs="Times New Roman"/>
                <w:sz w:val="20"/>
                <w:szCs w:val="20"/>
              </w:rPr>
            </w:pPr>
          </w:p>
        </w:tc>
      </w:tr>
      <w:tr w:rsidR="002F53B7" w:rsidRPr="004B1265" w14:paraId="4AE64DB6" w14:textId="77777777" w:rsidTr="002F53B7">
        <w:trPr>
          <w:trHeight w:val="290"/>
        </w:trPr>
        <w:tc>
          <w:tcPr>
            <w:tcW w:w="1952" w:type="dxa"/>
            <w:gridSpan w:val="2"/>
            <w:tcBorders>
              <w:top w:val="nil"/>
              <w:left w:val="nil"/>
              <w:bottom w:val="nil"/>
              <w:right w:val="nil"/>
            </w:tcBorders>
            <w:shd w:val="clear" w:color="auto" w:fill="auto"/>
            <w:noWrap/>
            <w:vAlign w:val="bottom"/>
            <w:hideMark/>
          </w:tcPr>
          <w:p w14:paraId="487F2D82" w14:textId="77777777" w:rsidR="002F53B7" w:rsidRPr="004B1265" w:rsidRDefault="002F53B7" w:rsidP="002F53B7">
            <w:pPr>
              <w:spacing w:after="0" w:line="240" w:lineRule="auto"/>
              <w:rPr>
                <w:rFonts w:ascii="Calibri" w:eastAsia="Times New Roman" w:hAnsi="Calibri" w:cs="Calibri"/>
                <w:color w:val="000000"/>
                <w:sz w:val="22"/>
              </w:rPr>
            </w:pPr>
            <w:r w:rsidRPr="004B1265">
              <w:rPr>
                <w:rFonts w:ascii="Calibri" w:eastAsia="Times New Roman" w:hAnsi="Calibri" w:cs="Calibri"/>
                <w:color w:val="000000"/>
                <w:sz w:val="22"/>
              </w:rPr>
              <w:t>Rates of Growth</w:t>
            </w:r>
          </w:p>
        </w:tc>
        <w:tc>
          <w:tcPr>
            <w:tcW w:w="976" w:type="dxa"/>
            <w:tcBorders>
              <w:top w:val="nil"/>
              <w:left w:val="nil"/>
              <w:bottom w:val="nil"/>
              <w:right w:val="nil"/>
            </w:tcBorders>
            <w:shd w:val="clear" w:color="auto" w:fill="auto"/>
            <w:noWrap/>
            <w:vAlign w:val="bottom"/>
            <w:hideMark/>
          </w:tcPr>
          <w:p w14:paraId="5201A91F" w14:textId="77777777" w:rsidR="002F53B7" w:rsidRPr="004B1265" w:rsidRDefault="002F53B7" w:rsidP="002F53B7">
            <w:pPr>
              <w:spacing w:after="0" w:line="240" w:lineRule="auto"/>
              <w:rPr>
                <w:rFonts w:ascii="Calibri" w:eastAsia="Times New Roman" w:hAnsi="Calibri" w:cs="Calibri"/>
                <w:color w:val="000000"/>
                <w:sz w:val="22"/>
              </w:rPr>
            </w:pPr>
          </w:p>
        </w:tc>
        <w:tc>
          <w:tcPr>
            <w:tcW w:w="1596" w:type="dxa"/>
            <w:tcBorders>
              <w:top w:val="nil"/>
              <w:left w:val="nil"/>
              <w:bottom w:val="nil"/>
              <w:right w:val="nil"/>
            </w:tcBorders>
            <w:shd w:val="clear" w:color="auto" w:fill="auto"/>
            <w:noWrap/>
            <w:vAlign w:val="bottom"/>
            <w:hideMark/>
          </w:tcPr>
          <w:p w14:paraId="24C1DC63" w14:textId="77777777" w:rsidR="002F53B7" w:rsidRPr="004B1265" w:rsidRDefault="002F53B7" w:rsidP="002F53B7">
            <w:pPr>
              <w:spacing w:after="0" w:line="240" w:lineRule="auto"/>
              <w:rPr>
                <w:rFonts w:eastAsia="Times New Roman" w:cs="Times New Roman"/>
                <w:sz w:val="20"/>
                <w:szCs w:val="20"/>
              </w:rPr>
            </w:pPr>
          </w:p>
        </w:tc>
        <w:tc>
          <w:tcPr>
            <w:tcW w:w="1156" w:type="dxa"/>
            <w:tcBorders>
              <w:top w:val="nil"/>
              <w:left w:val="nil"/>
              <w:bottom w:val="nil"/>
              <w:right w:val="nil"/>
            </w:tcBorders>
            <w:shd w:val="clear" w:color="auto" w:fill="auto"/>
            <w:noWrap/>
            <w:vAlign w:val="bottom"/>
            <w:hideMark/>
          </w:tcPr>
          <w:p w14:paraId="3C307870" w14:textId="77777777" w:rsidR="002F53B7" w:rsidRPr="004B1265" w:rsidRDefault="002F53B7" w:rsidP="002F53B7">
            <w:pPr>
              <w:spacing w:after="0" w:line="240" w:lineRule="auto"/>
              <w:rPr>
                <w:rFonts w:eastAsia="Times New Roman" w:cs="Times New Roman"/>
                <w:sz w:val="20"/>
                <w:szCs w:val="20"/>
              </w:rPr>
            </w:pPr>
          </w:p>
        </w:tc>
        <w:tc>
          <w:tcPr>
            <w:tcW w:w="1156" w:type="dxa"/>
            <w:tcBorders>
              <w:top w:val="nil"/>
              <w:left w:val="nil"/>
              <w:bottom w:val="nil"/>
              <w:right w:val="nil"/>
            </w:tcBorders>
            <w:shd w:val="clear" w:color="auto" w:fill="auto"/>
            <w:noWrap/>
            <w:vAlign w:val="bottom"/>
            <w:hideMark/>
          </w:tcPr>
          <w:p w14:paraId="2A893C8D" w14:textId="77777777" w:rsidR="002F53B7" w:rsidRPr="004B1265"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DE4BB38" w14:textId="77777777" w:rsidR="002F53B7" w:rsidRPr="004B1265" w:rsidRDefault="002F53B7" w:rsidP="002F53B7">
            <w:pPr>
              <w:spacing w:after="0" w:line="240" w:lineRule="auto"/>
              <w:rPr>
                <w:rFonts w:eastAsia="Times New Roman" w:cs="Times New Roman"/>
                <w:sz w:val="20"/>
                <w:szCs w:val="20"/>
              </w:rPr>
            </w:pPr>
          </w:p>
        </w:tc>
        <w:tc>
          <w:tcPr>
            <w:tcW w:w="1236" w:type="dxa"/>
            <w:tcBorders>
              <w:top w:val="nil"/>
              <w:left w:val="nil"/>
              <w:bottom w:val="nil"/>
              <w:right w:val="nil"/>
            </w:tcBorders>
            <w:shd w:val="clear" w:color="auto" w:fill="auto"/>
            <w:noWrap/>
            <w:vAlign w:val="bottom"/>
            <w:hideMark/>
          </w:tcPr>
          <w:p w14:paraId="7AEF56EA" w14:textId="77777777" w:rsidR="002F53B7" w:rsidRPr="004B1265" w:rsidRDefault="002F53B7" w:rsidP="002F53B7">
            <w:pPr>
              <w:spacing w:after="0" w:line="240" w:lineRule="auto"/>
              <w:rPr>
                <w:rFonts w:eastAsia="Times New Roman" w:cs="Times New Roman"/>
                <w:sz w:val="20"/>
                <w:szCs w:val="20"/>
              </w:rPr>
            </w:pPr>
          </w:p>
        </w:tc>
      </w:tr>
      <w:tr w:rsidR="002F53B7" w:rsidRPr="004B1265" w14:paraId="556575A4" w14:textId="77777777" w:rsidTr="002F53B7">
        <w:trPr>
          <w:trHeight w:val="290"/>
        </w:trPr>
        <w:tc>
          <w:tcPr>
            <w:tcW w:w="976" w:type="dxa"/>
            <w:tcBorders>
              <w:top w:val="nil"/>
              <w:left w:val="nil"/>
              <w:bottom w:val="nil"/>
              <w:right w:val="nil"/>
            </w:tcBorders>
            <w:shd w:val="clear" w:color="auto" w:fill="auto"/>
            <w:noWrap/>
            <w:vAlign w:val="bottom"/>
            <w:hideMark/>
          </w:tcPr>
          <w:p w14:paraId="00401EF4" w14:textId="77777777" w:rsidR="002F53B7" w:rsidRPr="004B1265" w:rsidRDefault="002F53B7" w:rsidP="002F53B7">
            <w:pPr>
              <w:spacing w:after="0" w:line="240" w:lineRule="auto"/>
              <w:rPr>
                <w:rFonts w:ascii="Calibri" w:eastAsia="Times New Roman" w:hAnsi="Calibri" w:cs="Calibri"/>
                <w:color w:val="000000"/>
                <w:sz w:val="22"/>
              </w:rPr>
            </w:pPr>
            <w:r w:rsidRPr="004B1265">
              <w:rPr>
                <w:rFonts w:ascii="Calibri" w:eastAsia="Times New Roman" w:hAnsi="Calibri" w:cs="Calibri"/>
                <w:color w:val="000000"/>
                <w:sz w:val="22"/>
              </w:rPr>
              <w:t>1929-41</w:t>
            </w:r>
          </w:p>
        </w:tc>
        <w:tc>
          <w:tcPr>
            <w:tcW w:w="976" w:type="dxa"/>
            <w:tcBorders>
              <w:top w:val="nil"/>
              <w:left w:val="nil"/>
              <w:bottom w:val="nil"/>
              <w:right w:val="nil"/>
            </w:tcBorders>
            <w:shd w:val="clear" w:color="auto" w:fill="auto"/>
            <w:noWrap/>
            <w:vAlign w:val="bottom"/>
            <w:hideMark/>
          </w:tcPr>
          <w:p w14:paraId="36F03655" w14:textId="77777777" w:rsidR="002F53B7" w:rsidRPr="004B1265" w:rsidRDefault="002F53B7" w:rsidP="002F53B7">
            <w:pPr>
              <w:spacing w:after="0" w:line="240" w:lineRule="auto"/>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38611D7E" w14:textId="77777777" w:rsidR="002F53B7" w:rsidRPr="004B1265" w:rsidRDefault="002F53B7" w:rsidP="002F53B7">
            <w:pPr>
              <w:spacing w:after="0" w:line="240" w:lineRule="auto"/>
              <w:rPr>
                <w:rFonts w:eastAsia="Times New Roman" w:cs="Times New Roman"/>
                <w:sz w:val="20"/>
                <w:szCs w:val="20"/>
              </w:rPr>
            </w:pPr>
          </w:p>
        </w:tc>
        <w:tc>
          <w:tcPr>
            <w:tcW w:w="1596" w:type="dxa"/>
            <w:tcBorders>
              <w:top w:val="nil"/>
              <w:left w:val="nil"/>
              <w:bottom w:val="nil"/>
              <w:right w:val="nil"/>
            </w:tcBorders>
            <w:shd w:val="clear" w:color="auto" w:fill="auto"/>
            <w:noWrap/>
            <w:vAlign w:val="bottom"/>
            <w:hideMark/>
          </w:tcPr>
          <w:p w14:paraId="00B53EFF" w14:textId="77777777" w:rsidR="002F53B7" w:rsidRPr="004B1265" w:rsidRDefault="002F53B7" w:rsidP="002F53B7">
            <w:pPr>
              <w:spacing w:after="0" w:line="240" w:lineRule="auto"/>
              <w:jc w:val="right"/>
              <w:rPr>
                <w:rFonts w:ascii="Calibri" w:eastAsia="Times New Roman" w:hAnsi="Calibri" w:cs="Calibri"/>
                <w:color w:val="000000"/>
                <w:sz w:val="22"/>
              </w:rPr>
            </w:pPr>
            <w:r w:rsidRPr="004B1265">
              <w:rPr>
                <w:rFonts w:ascii="Calibri" w:eastAsia="Times New Roman" w:hAnsi="Calibri" w:cs="Calibri"/>
                <w:color w:val="000000"/>
                <w:sz w:val="22"/>
              </w:rPr>
              <w:t>0.0058</w:t>
            </w:r>
          </w:p>
        </w:tc>
        <w:tc>
          <w:tcPr>
            <w:tcW w:w="1156" w:type="dxa"/>
            <w:tcBorders>
              <w:top w:val="nil"/>
              <w:left w:val="nil"/>
              <w:bottom w:val="nil"/>
              <w:right w:val="nil"/>
            </w:tcBorders>
            <w:shd w:val="clear" w:color="auto" w:fill="auto"/>
            <w:noWrap/>
            <w:vAlign w:val="bottom"/>
            <w:hideMark/>
          </w:tcPr>
          <w:p w14:paraId="443E7668" w14:textId="77777777" w:rsidR="002F53B7" w:rsidRPr="004B1265" w:rsidRDefault="002F53B7" w:rsidP="002F53B7">
            <w:pPr>
              <w:spacing w:after="0" w:line="240" w:lineRule="auto"/>
              <w:jc w:val="right"/>
              <w:rPr>
                <w:rFonts w:ascii="Calibri" w:eastAsia="Times New Roman" w:hAnsi="Calibri" w:cs="Calibri"/>
                <w:color w:val="000000"/>
                <w:sz w:val="22"/>
              </w:rPr>
            </w:pPr>
            <w:r w:rsidRPr="004B1265">
              <w:rPr>
                <w:rFonts w:ascii="Calibri" w:eastAsia="Times New Roman" w:hAnsi="Calibri" w:cs="Calibri"/>
                <w:color w:val="000000"/>
                <w:sz w:val="22"/>
              </w:rPr>
              <w:t>0.0149</w:t>
            </w:r>
          </w:p>
        </w:tc>
        <w:tc>
          <w:tcPr>
            <w:tcW w:w="1156" w:type="dxa"/>
            <w:tcBorders>
              <w:top w:val="nil"/>
              <w:left w:val="nil"/>
              <w:bottom w:val="nil"/>
              <w:right w:val="nil"/>
            </w:tcBorders>
            <w:shd w:val="clear" w:color="auto" w:fill="auto"/>
            <w:noWrap/>
            <w:vAlign w:val="bottom"/>
            <w:hideMark/>
          </w:tcPr>
          <w:p w14:paraId="2B514F59" w14:textId="77777777" w:rsidR="002F53B7" w:rsidRPr="004B1265" w:rsidRDefault="002F53B7" w:rsidP="002F53B7">
            <w:pPr>
              <w:spacing w:after="0" w:line="240" w:lineRule="auto"/>
              <w:jc w:val="right"/>
              <w:rPr>
                <w:rFonts w:ascii="Calibri" w:eastAsia="Times New Roman" w:hAnsi="Calibri" w:cs="Calibri"/>
                <w:color w:val="000000"/>
                <w:sz w:val="22"/>
              </w:rPr>
            </w:pPr>
            <w:r w:rsidRPr="004B1265">
              <w:rPr>
                <w:rFonts w:ascii="Calibri" w:eastAsia="Times New Roman" w:hAnsi="Calibri" w:cs="Calibri"/>
                <w:color w:val="000000"/>
                <w:sz w:val="22"/>
              </w:rPr>
              <w:t>0.0086</w:t>
            </w:r>
          </w:p>
        </w:tc>
        <w:tc>
          <w:tcPr>
            <w:tcW w:w="976" w:type="dxa"/>
            <w:tcBorders>
              <w:top w:val="nil"/>
              <w:left w:val="nil"/>
              <w:bottom w:val="nil"/>
              <w:right w:val="nil"/>
            </w:tcBorders>
            <w:shd w:val="clear" w:color="auto" w:fill="auto"/>
            <w:noWrap/>
            <w:vAlign w:val="bottom"/>
            <w:hideMark/>
          </w:tcPr>
          <w:p w14:paraId="695DC6EC" w14:textId="77777777" w:rsidR="002F53B7" w:rsidRPr="004B1265" w:rsidRDefault="002F53B7" w:rsidP="002F53B7">
            <w:pPr>
              <w:spacing w:after="0" w:line="240" w:lineRule="auto"/>
              <w:jc w:val="right"/>
              <w:rPr>
                <w:rFonts w:ascii="Calibri" w:eastAsia="Times New Roman" w:hAnsi="Calibri" w:cs="Calibri"/>
                <w:color w:val="000000"/>
                <w:sz w:val="22"/>
              </w:rPr>
            </w:pPr>
            <w:r w:rsidRPr="004B1265">
              <w:rPr>
                <w:rFonts w:ascii="Calibri" w:eastAsia="Times New Roman" w:hAnsi="Calibri" w:cs="Calibri"/>
                <w:color w:val="000000"/>
                <w:sz w:val="22"/>
              </w:rPr>
              <w:t>-0.0091</w:t>
            </w:r>
          </w:p>
        </w:tc>
        <w:tc>
          <w:tcPr>
            <w:tcW w:w="1236" w:type="dxa"/>
            <w:tcBorders>
              <w:top w:val="nil"/>
              <w:left w:val="nil"/>
              <w:bottom w:val="nil"/>
              <w:right w:val="nil"/>
            </w:tcBorders>
            <w:shd w:val="clear" w:color="auto" w:fill="auto"/>
            <w:noWrap/>
            <w:vAlign w:val="bottom"/>
            <w:hideMark/>
          </w:tcPr>
          <w:p w14:paraId="4DA53169" w14:textId="77777777" w:rsidR="002F53B7" w:rsidRPr="00FA6DE8" w:rsidRDefault="002F53B7" w:rsidP="002F53B7">
            <w:pPr>
              <w:spacing w:after="0" w:line="240" w:lineRule="auto"/>
              <w:jc w:val="right"/>
              <w:rPr>
                <w:rFonts w:ascii="Calibri" w:eastAsia="Times New Roman" w:hAnsi="Calibri" w:cs="Calibri"/>
                <w:b/>
                <w:color w:val="000000"/>
                <w:sz w:val="22"/>
              </w:rPr>
            </w:pPr>
            <w:r w:rsidRPr="00FA6DE8">
              <w:rPr>
                <w:rFonts w:ascii="Calibri" w:eastAsia="Times New Roman" w:hAnsi="Calibri" w:cs="Calibri"/>
                <w:b/>
                <w:color w:val="000000"/>
                <w:sz w:val="22"/>
              </w:rPr>
              <w:t>-0.0072</w:t>
            </w:r>
          </w:p>
        </w:tc>
      </w:tr>
      <w:tr w:rsidR="002F53B7" w:rsidRPr="004B1265" w14:paraId="0E032C1B" w14:textId="77777777" w:rsidTr="002F53B7">
        <w:trPr>
          <w:trHeight w:val="290"/>
        </w:trPr>
        <w:tc>
          <w:tcPr>
            <w:tcW w:w="976" w:type="dxa"/>
            <w:tcBorders>
              <w:top w:val="nil"/>
              <w:left w:val="nil"/>
              <w:bottom w:val="nil"/>
              <w:right w:val="nil"/>
            </w:tcBorders>
            <w:shd w:val="clear" w:color="auto" w:fill="auto"/>
            <w:noWrap/>
            <w:vAlign w:val="bottom"/>
            <w:hideMark/>
          </w:tcPr>
          <w:p w14:paraId="305EEF05" w14:textId="77777777" w:rsidR="002F53B7" w:rsidRPr="004B1265" w:rsidRDefault="002F53B7" w:rsidP="002F53B7">
            <w:pPr>
              <w:spacing w:after="0" w:line="240" w:lineRule="auto"/>
              <w:rPr>
                <w:rFonts w:ascii="Calibri" w:eastAsia="Times New Roman" w:hAnsi="Calibri" w:cs="Calibri"/>
                <w:color w:val="000000"/>
                <w:sz w:val="22"/>
              </w:rPr>
            </w:pPr>
            <w:r w:rsidRPr="004B1265">
              <w:rPr>
                <w:rFonts w:ascii="Calibri" w:eastAsia="Times New Roman" w:hAnsi="Calibri" w:cs="Calibri"/>
                <w:color w:val="000000"/>
                <w:sz w:val="22"/>
              </w:rPr>
              <w:t>1941-48</w:t>
            </w:r>
          </w:p>
        </w:tc>
        <w:tc>
          <w:tcPr>
            <w:tcW w:w="976" w:type="dxa"/>
            <w:tcBorders>
              <w:top w:val="nil"/>
              <w:left w:val="nil"/>
              <w:bottom w:val="nil"/>
              <w:right w:val="nil"/>
            </w:tcBorders>
            <w:shd w:val="clear" w:color="auto" w:fill="auto"/>
            <w:noWrap/>
            <w:vAlign w:val="bottom"/>
            <w:hideMark/>
          </w:tcPr>
          <w:p w14:paraId="45044F82" w14:textId="77777777" w:rsidR="002F53B7" w:rsidRPr="004B1265" w:rsidRDefault="002F53B7" w:rsidP="002F53B7">
            <w:pPr>
              <w:spacing w:after="0" w:line="240" w:lineRule="auto"/>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516B0D03" w14:textId="77777777" w:rsidR="002F53B7" w:rsidRPr="004B1265" w:rsidRDefault="002F53B7" w:rsidP="002F53B7">
            <w:pPr>
              <w:spacing w:after="0" w:line="240" w:lineRule="auto"/>
              <w:rPr>
                <w:rFonts w:eastAsia="Times New Roman" w:cs="Times New Roman"/>
                <w:sz w:val="20"/>
                <w:szCs w:val="20"/>
              </w:rPr>
            </w:pPr>
          </w:p>
        </w:tc>
        <w:tc>
          <w:tcPr>
            <w:tcW w:w="1596" w:type="dxa"/>
            <w:tcBorders>
              <w:top w:val="nil"/>
              <w:left w:val="nil"/>
              <w:bottom w:val="nil"/>
              <w:right w:val="nil"/>
            </w:tcBorders>
            <w:shd w:val="clear" w:color="auto" w:fill="auto"/>
            <w:noWrap/>
            <w:vAlign w:val="bottom"/>
            <w:hideMark/>
          </w:tcPr>
          <w:p w14:paraId="12DEFD51" w14:textId="77777777" w:rsidR="002F53B7" w:rsidRPr="004B1265" w:rsidRDefault="002F53B7" w:rsidP="002F53B7">
            <w:pPr>
              <w:spacing w:after="0" w:line="240" w:lineRule="auto"/>
              <w:jc w:val="right"/>
              <w:rPr>
                <w:rFonts w:ascii="Calibri" w:eastAsia="Times New Roman" w:hAnsi="Calibri" w:cs="Calibri"/>
                <w:color w:val="000000"/>
                <w:sz w:val="22"/>
              </w:rPr>
            </w:pPr>
            <w:r w:rsidRPr="004B1265">
              <w:rPr>
                <w:rFonts w:ascii="Calibri" w:eastAsia="Times New Roman" w:hAnsi="Calibri" w:cs="Calibri"/>
                <w:color w:val="000000"/>
                <w:sz w:val="22"/>
              </w:rPr>
              <w:t>0.0337</w:t>
            </w:r>
          </w:p>
        </w:tc>
        <w:tc>
          <w:tcPr>
            <w:tcW w:w="1156" w:type="dxa"/>
            <w:tcBorders>
              <w:top w:val="nil"/>
              <w:left w:val="nil"/>
              <w:bottom w:val="nil"/>
              <w:right w:val="nil"/>
            </w:tcBorders>
            <w:shd w:val="clear" w:color="auto" w:fill="auto"/>
            <w:noWrap/>
            <w:vAlign w:val="bottom"/>
            <w:hideMark/>
          </w:tcPr>
          <w:p w14:paraId="0FA8BC02" w14:textId="77777777" w:rsidR="002F53B7" w:rsidRPr="004B1265" w:rsidRDefault="002F53B7" w:rsidP="002F53B7">
            <w:pPr>
              <w:spacing w:after="0" w:line="240" w:lineRule="auto"/>
              <w:jc w:val="right"/>
              <w:rPr>
                <w:rFonts w:ascii="Calibri" w:eastAsia="Times New Roman" w:hAnsi="Calibri" w:cs="Calibri"/>
                <w:color w:val="000000"/>
                <w:sz w:val="22"/>
              </w:rPr>
            </w:pPr>
            <w:r w:rsidRPr="004B1265">
              <w:rPr>
                <w:rFonts w:ascii="Calibri" w:eastAsia="Times New Roman" w:hAnsi="Calibri" w:cs="Calibri"/>
                <w:color w:val="000000"/>
                <w:sz w:val="22"/>
              </w:rPr>
              <w:t>0.0357</w:t>
            </w:r>
          </w:p>
        </w:tc>
        <w:tc>
          <w:tcPr>
            <w:tcW w:w="1156" w:type="dxa"/>
            <w:tcBorders>
              <w:top w:val="nil"/>
              <w:left w:val="nil"/>
              <w:bottom w:val="nil"/>
              <w:right w:val="nil"/>
            </w:tcBorders>
            <w:shd w:val="clear" w:color="auto" w:fill="auto"/>
            <w:noWrap/>
            <w:vAlign w:val="bottom"/>
            <w:hideMark/>
          </w:tcPr>
          <w:p w14:paraId="57415950" w14:textId="77777777" w:rsidR="002F53B7" w:rsidRPr="004B1265" w:rsidRDefault="002F53B7" w:rsidP="002F53B7">
            <w:pPr>
              <w:spacing w:after="0" w:line="240" w:lineRule="auto"/>
              <w:jc w:val="right"/>
              <w:rPr>
                <w:rFonts w:ascii="Calibri" w:eastAsia="Times New Roman" w:hAnsi="Calibri" w:cs="Calibri"/>
                <w:color w:val="000000"/>
                <w:sz w:val="22"/>
              </w:rPr>
            </w:pPr>
            <w:r w:rsidRPr="004B1265">
              <w:rPr>
                <w:rFonts w:ascii="Calibri" w:eastAsia="Times New Roman" w:hAnsi="Calibri" w:cs="Calibri"/>
                <w:color w:val="000000"/>
                <w:sz w:val="22"/>
              </w:rPr>
              <w:t>0.1192</w:t>
            </w:r>
          </w:p>
        </w:tc>
        <w:tc>
          <w:tcPr>
            <w:tcW w:w="976" w:type="dxa"/>
            <w:tcBorders>
              <w:top w:val="nil"/>
              <w:left w:val="nil"/>
              <w:bottom w:val="nil"/>
              <w:right w:val="nil"/>
            </w:tcBorders>
            <w:shd w:val="clear" w:color="auto" w:fill="auto"/>
            <w:noWrap/>
            <w:vAlign w:val="bottom"/>
            <w:hideMark/>
          </w:tcPr>
          <w:p w14:paraId="010C41EF" w14:textId="77777777" w:rsidR="002F53B7" w:rsidRPr="004B1265" w:rsidRDefault="002F53B7" w:rsidP="002F53B7">
            <w:pPr>
              <w:spacing w:after="0" w:line="240" w:lineRule="auto"/>
              <w:jc w:val="right"/>
              <w:rPr>
                <w:rFonts w:ascii="Calibri" w:eastAsia="Times New Roman" w:hAnsi="Calibri" w:cs="Calibri"/>
                <w:color w:val="000000"/>
                <w:sz w:val="22"/>
              </w:rPr>
            </w:pPr>
            <w:r w:rsidRPr="004B1265">
              <w:rPr>
                <w:rFonts w:ascii="Calibri" w:eastAsia="Times New Roman" w:hAnsi="Calibri" w:cs="Calibri"/>
                <w:color w:val="000000"/>
                <w:sz w:val="22"/>
              </w:rPr>
              <w:t>-0.0020</w:t>
            </w:r>
          </w:p>
        </w:tc>
        <w:tc>
          <w:tcPr>
            <w:tcW w:w="1236" w:type="dxa"/>
            <w:tcBorders>
              <w:top w:val="nil"/>
              <w:left w:val="nil"/>
              <w:bottom w:val="nil"/>
              <w:right w:val="nil"/>
            </w:tcBorders>
            <w:shd w:val="clear" w:color="auto" w:fill="auto"/>
            <w:noWrap/>
            <w:vAlign w:val="bottom"/>
            <w:hideMark/>
          </w:tcPr>
          <w:p w14:paraId="4E4A2891" w14:textId="77777777" w:rsidR="002F53B7" w:rsidRPr="00FA6DE8" w:rsidRDefault="002F53B7" w:rsidP="002F53B7">
            <w:pPr>
              <w:spacing w:after="0" w:line="240" w:lineRule="auto"/>
              <w:jc w:val="right"/>
              <w:rPr>
                <w:rFonts w:ascii="Calibri" w:eastAsia="Times New Roman" w:hAnsi="Calibri" w:cs="Calibri"/>
                <w:b/>
                <w:color w:val="000000"/>
                <w:sz w:val="22"/>
              </w:rPr>
            </w:pPr>
            <w:r w:rsidRPr="00FA6DE8">
              <w:rPr>
                <w:rFonts w:ascii="Calibri" w:eastAsia="Times New Roman" w:hAnsi="Calibri" w:cs="Calibri"/>
                <w:b/>
                <w:color w:val="000000"/>
                <w:sz w:val="22"/>
              </w:rPr>
              <w:t>-0.0271</w:t>
            </w:r>
          </w:p>
        </w:tc>
      </w:tr>
      <w:tr w:rsidR="002F53B7" w:rsidRPr="004B1265" w14:paraId="11591B16" w14:textId="77777777" w:rsidTr="002F53B7">
        <w:trPr>
          <w:trHeight w:val="290"/>
        </w:trPr>
        <w:tc>
          <w:tcPr>
            <w:tcW w:w="976" w:type="dxa"/>
            <w:tcBorders>
              <w:top w:val="nil"/>
              <w:left w:val="nil"/>
              <w:bottom w:val="nil"/>
              <w:right w:val="nil"/>
            </w:tcBorders>
            <w:shd w:val="clear" w:color="auto" w:fill="auto"/>
            <w:noWrap/>
            <w:vAlign w:val="bottom"/>
            <w:hideMark/>
          </w:tcPr>
          <w:p w14:paraId="2ABFB631" w14:textId="77777777" w:rsidR="002F53B7" w:rsidRPr="004B1265"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17BD39FD" w14:textId="77777777" w:rsidR="002F53B7" w:rsidRPr="004B1265"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1665DA0" w14:textId="77777777" w:rsidR="002F53B7" w:rsidRPr="004B1265" w:rsidRDefault="002F53B7" w:rsidP="002F53B7">
            <w:pPr>
              <w:spacing w:after="0" w:line="240" w:lineRule="auto"/>
              <w:rPr>
                <w:rFonts w:eastAsia="Times New Roman" w:cs="Times New Roman"/>
                <w:sz w:val="20"/>
                <w:szCs w:val="20"/>
              </w:rPr>
            </w:pPr>
          </w:p>
        </w:tc>
        <w:tc>
          <w:tcPr>
            <w:tcW w:w="1596" w:type="dxa"/>
            <w:tcBorders>
              <w:top w:val="nil"/>
              <w:left w:val="nil"/>
              <w:bottom w:val="nil"/>
              <w:right w:val="nil"/>
            </w:tcBorders>
            <w:shd w:val="clear" w:color="auto" w:fill="auto"/>
            <w:noWrap/>
            <w:vAlign w:val="bottom"/>
            <w:hideMark/>
          </w:tcPr>
          <w:p w14:paraId="5F229E3C" w14:textId="77777777" w:rsidR="002F53B7" w:rsidRPr="004B1265" w:rsidRDefault="002F53B7" w:rsidP="002F53B7">
            <w:pPr>
              <w:spacing w:after="0" w:line="240" w:lineRule="auto"/>
              <w:rPr>
                <w:rFonts w:eastAsia="Times New Roman" w:cs="Times New Roman"/>
                <w:sz w:val="20"/>
                <w:szCs w:val="20"/>
              </w:rPr>
            </w:pPr>
          </w:p>
        </w:tc>
        <w:tc>
          <w:tcPr>
            <w:tcW w:w="1156" w:type="dxa"/>
            <w:tcBorders>
              <w:top w:val="nil"/>
              <w:left w:val="nil"/>
              <w:bottom w:val="nil"/>
              <w:right w:val="nil"/>
            </w:tcBorders>
            <w:shd w:val="clear" w:color="auto" w:fill="auto"/>
            <w:noWrap/>
            <w:vAlign w:val="bottom"/>
            <w:hideMark/>
          </w:tcPr>
          <w:p w14:paraId="4E1D5F34" w14:textId="77777777" w:rsidR="002F53B7" w:rsidRPr="004B1265" w:rsidRDefault="002F53B7" w:rsidP="002F53B7">
            <w:pPr>
              <w:spacing w:after="0" w:line="240" w:lineRule="auto"/>
              <w:rPr>
                <w:rFonts w:eastAsia="Times New Roman" w:cs="Times New Roman"/>
                <w:sz w:val="20"/>
                <w:szCs w:val="20"/>
              </w:rPr>
            </w:pPr>
          </w:p>
        </w:tc>
        <w:tc>
          <w:tcPr>
            <w:tcW w:w="1156" w:type="dxa"/>
            <w:tcBorders>
              <w:top w:val="nil"/>
              <w:left w:val="nil"/>
              <w:bottom w:val="nil"/>
              <w:right w:val="nil"/>
            </w:tcBorders>
            <w:shd w:val="clear" w:color="auto" w:fill="auto"/>
            <w:noWrap/>
            <w:vAlign w:val="bottom"/>
            <w:hideMark/>
          </w:tcPr>
          <w:p w14:paraId="57DA2DF3" w14:textId="77777777" w:rsidR="002F53B7" w:rsidRPr="004B1265"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82197DF" w14:textId="77777777" w:rsidR="002F53B7" w:rsidRPr="004B1265" w:rsidRDefault="002F53B7" w:rsidP="002F53B7">
            <w:pPr>
              <w:spacing w:after="0" w:line="240" w:lineRule="auto"/>
              <w:rPr>
                <w:rFonts w:eastAsia="Times New Roman" w:cs="Times New Roman"/>
                <w:sz w:val="20"/>
                <w:szCs w:val="20"/>
              </w:rPr>
            </w:pPr>
          </w:p>
        </w:tc>
        <w:tc>
          <w:tcPr>
            <w:tcW w:w="1236" w:type="dxa"/>
            <w:tcBorders>
              <w:top w:val="nil"/>
              <w:left w:val="nil"/>
              <w:bottom w:val="nil"/>
              <w:right w:val="nil"/>
            </w:tcBorders>
            <w:shd w:val="clear" w:color="auto" w:fill="auto"/>
            <w:noWrap/>
            <w:vAlign w:val="bottom"/>
            <w:hideMark/>
          </w:tcPr>
          <w:p w14:paraId="6BCC229F" w14:textId="77777777" w:rsidR="002F53B7" w:rsidRPr="004B1265" w:rsidRDefault="002F53B7" w:rsidP="002F53B7">
            <w:pPr>
              <w:spacing w:after="0" w:line="240" w:lineRule="auto"/>
              <w:rPr>
                <w:rFonts w:eastAsia="Times New Roman" w:cs="Times New Roman"/>
                <w:sz w:val="20"/>
                <w:szCs w:val="20"/>
              </w:rPr>
            </w:pPr>
          </w:p>
        </w:tc>
      </w:tr>
      <w:tr w:rsidR="002F53B7" w:rsidRPr="004B1265" w14:paraId="57D10C46" w14:textId="77777777" w:rsidTr="002F53B7">
        <w:trPr>
          <w:trHeight w:val="290"/>
        </w:trPr>
        <w:tc>
          <w:tcPr>
            <w:tcW w:w="976" w:type="dxa"/>
            <w:tcBorders>
              <w:top w:val="nil"/>
              <w:left w:val="nil"/>
              <w:bottom w:val="nil"/>
              <w:right w:val="nil"/>
            </w:tcBorders>
            <w:shd w:val="clear" w:color="auto" w:fill="auto"/>
            <w:noWrap/>
            <w:vAlign w:val="bottom"/>
            <w:hideMark/>
          </w:tcPr>
          <w:p w14:paraId="2270CF12" w14:textId="77777777" w:rsidR="002F53B7" w:rsidRPr="004B1265"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CC4A23B" w14:textId="77777777" w:rsidR="002F53B7" w:rsidRPr="004B1265"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E909037" w14:textId="77777777" w:rsidR="002F53B7" w:rsidRPr="004B1265" w:rsidRDefault="002F53B7" w:rsidP="002F53B7">
            <w:pPr>
              <w:spacing w:after="0" w:line="240" w:lineRule="auto"/>
              <w:rPr>
                <w:rFonts w:eastAsia="Times New Roman" w:cs="Times New Roman"/>
                <w:sz w:val="20"/>
                <w:szCs w:val="20"/>
              </w:rPr>
            </w:pPr>
          </w:p>
        </w:tc>
        <w:tc>
          <w:tcPr>
            <w:tcW w:w="1596" w:type="dxa"/>
            <w:tcBorders>
              <w:top w:val="nil"/>
              <w:left w:val="nil"/>
              <w:bottom w:val="nil"/>
              <w:right w:val="nil"/>
            </w:tcBorders>
            <w:shd w:val="clear" w:color="auto" w:fill="auto"/>
            <w:noWrap/>
            <w:vAlign w:val="bottom"/>
            <w:hideMark/>
          </w:tcPr>
          <w:p w14:paraId="0AF98592" w14:textId="77777777" w:rsidR="002F53B7" w:rsidRPr="004B1265" w:rsidRDefault="002F53B7" w:rsidP="002F53B7">
            <w:pPr>
              <w:spacing w:after="0" w:line="240" w:lineRule="auto"/>
              <w:rPr>
                <w:rFonts w:eastAsia="Times New Roman" w:cs="Times New Roman"/>
                <w:sz w:val="20"/>
                <w:szCs w:val="20"/>
              </w:rPr>
            </w:pPr>
          </w:p>
        </w:tc>
        <w:tc>
          <w:tcPr>
            <w:tcW w:w="1156" w:type="dxa"/>
            <w:tcBorders>
              <w:top w:val="nil"/>
              <w:left w:val="nil"/>
              <w:bottom w:val="nil"/>
              <w:right w:val="nil"/>
            </w:tcBorders>
            <w:shd w:val="clear" w:color="auto" w:fill="auto"/>
            <w:noWrap/>
            <w:vAlign w:val="bottom"/>
            <w:hideMark/>
          </w:tcPr>
          <w:p w14:paraId="2185E19F" w14:textId="77777777" w:rsidR="002F53B7" w:rsidRPr="004B1265" w:rsidRDefault="002F53B7" w:rsidP="002F53B7">
            <w:pPr>
              <w:spacing w:after="0" w:line="240" w:lineRule="auto"/>
              <w:rPr>
                <w:rFonts w:eastAsia="Times New Roman" w:cs="Times New Roman"/>
                <w:sz w:val="20"/>
                <w:szCs w:val="20"/>
              </w:rPr>
            </w:pPr>
          </w:p>
        </w:tc>
        <w:tc>
          <w:tcPr>
            <w:tcW w:w="1156" w:type="dxa"/>
            <w:tcBorders>
              <w:top w:val="nil"/>
              <w:left w:val="nil"/>
              <w:bottom w:val="nil"/>
              <w:right w:val="nil"/>
            </w:tcBorders>
            <w:shd w:val="clear" w:color="auto" w:fill="auto"/>
            <w:noWrap/>
            <w:vAlign w:val="bottom"/>
            <w:hideMark/>
          </w:tcPr>
          <w:p w14:paraId="282D515A" w14:textId="77777777" w:rsidR="002F53B7" w:rsidRPr="004B1265"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D96B333" w14:textId="77777777" w:rsidR="002F53B7" w:rsidRPr="004B1265" w:rsidRDefault="002F53B7" w:rsidP="002F53B7">
            <w:pPr>
              <w:spacing w:after="0" w:line="240" w:lineRule="auto"/>
              <w:rPr>
                <w:rFonts w:eastAsia="Times New Roman" w:cs="Times New Roman"/>
                <w:sz w:val="20"/>
                <w:szCs w:val="20"/>
              </w:rPr>
            </w:pPr>
          </w:p>
        </w:tc>
        <w:tc>
          <w:tcPr>
            <w:tcW w:w="1236" w:type="dxa"/>
            <w:tcBorders>
              <w:top w:val="nil"/>
              <w:left w:val="nil"/>
              <w:bottom w:val="nil"/>
              <w:right w:val="nil"/>
            </w:tcBorders>
            <w:shd w:val="clear" w:color="auto" w:fill="auto"/>
            <w:noWrap/>
            <w:vAlign w:val="bottom"/>
            <w:hideMark/>
          </w:tcPr>
          <w:p w14:paraId="49658CA2" w14:textId="77777777" w:rsidR="002F53B7" w:rsidRPr="004B1265" w:rsidRDefault="002F53B7" w:rsidP="002F53B7">
            <w:pPr>
              <w:spacing w:after="0" w:line="240" w:lineRule="auto"/>
              <w:rPr>
                <w:rFonts w:eastAsia="Times New Roman" w:cs="Times New Roman"/>
                <w:sz w:val="20"/>
                <w:szCs w:val="20"/>
              </w:rPr>
            </w:pPr>
          </w:p>
        </w:tc>
      </w:tr>
      <w:tr w:rsidR="002F53B7" w:rsidRPr="004B1265" w14:paraId="1123F1FD" w14:textId="77777777" w:rsidTr="002F53B7">
        <w:trPr>
          <w:trHeight w:val="290"/>
        </w:trPr>
        <w:tc>
          <w:tcPr>
            <w:tcW w:w="976" w:type="dxa"/>
            <w:tcBorders>
              <w:top w:val="nil"/>
              <w:left w:val="nil"/>
              <w:bottom w:val="nil"/>
              <w:right w:val="nil"/>
            </w:tcBorders>
            <w:shd w:val="clear" w:color="auto" w:fill="auto"/>
            <w:noWrap/>
            <w:vAlign w:val="bottom"/>
            <w:hideMark/>
          </w:tcPr>
          <w:p w14:paraId="09D0C914" w14:textId="77777777" w:rsidR="002F53B7" w:rsidRPr="004B1265" w:rsidRDefault="002F53B7" w:rsidP="002F53B7">
            <w:pPr>
              <w:spacing w:after="0" w:line="240" w:lineRule="auto"/>
              <w:rPr>
                <w:rFonts w:ascii="Calibri" w:eastAsia="Times New Roman" w:hAnsi="Calibri" w:cs="Calibri"/>
                <w:color w:val="000000"/>
                <w:sz w:val="22"/>
              </w:rPr>
            </w:pPr>
            <w:r w:rsidRPr="004B1265">
              <w:rPr>
                <w:rFonts w:ascii="Calibri" w:eastAsia="Times New Roman" w:hAnsi="Calibri" w:cs="Calibri"/>
                <w:color w:val="000000"/>
                <w:sz w:val="22"/>
              </w:rPr>
              <w:t>Sources:</w:t>
            </w:r>
          </w:p>
        </w:tc>
        <w:tc>
          <w:tcPr>
            <w:tcW w:w="976" w:type="dxa"/>
            <w:tcBorders>
              <w:top w:val="nil"/>
              <w:left w:val="nil"/>
              <w:bottom w:val="nil"/>
              <w:right w:val="nil"/>
            </w:tcBorders>
            <w:shd w:val="clear" w:color="auto" w:fill="auto"/>
            <w:noWrap/>
            <w:vAlign w:val="bottom"/>
            <w:hideMark/>
          </w:tcPr>
          <w:p w14:paraId="29BEAA1B" w14:textId="77777777" w:rsidR="002F53B7" w:rsidRPr="004B1265" w:rsidRDefault="002F53B7" w:rsidP="002F53B7">
            <w:pPr>
              <w:spacing w:after="0" w:line="240" w:lineRule="auto"/>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12909D3C" w14:textId="77777777" w:rsidR="002F53B7" w:rsidRPr="004B1265" w:rsidRDefault="002F53B7" w:rsidP="002F53B7">
            <w:pPr>
              <w:spacing w:after="0" w:line="240" w:lineRule="auto"/>
              <w:rPr>
                <w:rFonts w:eastAsia="Times New Roman" w:cs="Times New Roman"/>
                <w:sz w:val="20"/>
                <w:szCs w:val="20"/>
              </w:rPr>
            </w:pPr>
          </w:p>
        </w:tc>
        <w:tc>
          <w:tcPr>
            <w:tcW w:w="1596" w:type="dxa"/>
            <w:tcBorders>
              <w:top w:val="nil"/>
              <w:left w:val="nil"/>
              <w:bottom w:val="nil"/>
              <w:right w:val="nil"/>
            </w:tcBorders>
            <w:shd w:val="clear" w:color="auto" w:fill="auto"/>
            <w:noWrap/>
            <w:vAlign w:val="bottom"/>
            <w:hideMark/>
          </w:tcPr>
          <w:p w14:paraId="50ECCEF4" w14:textId="77777777" w:rsidR="002F53B7" w:rsidRPr="004B1265" w:rsidRDefault="002F53B7" w:rsidP="002F53B7">
            <w:pPr>
              <w:spacing w:after="0" w:line="240" w:lineRule="auto"/>
              <w:rPr>
                <w:rFonts w:eastAsia="Times New Roman" w:cs="Times New Roman"/>
                <w:sz w:val="20"/>
                <w:szCs w:val="20"/>
              </w:rPr>
            </w:pPr>
          </w:p>
        </w:tc>
        <w:tc>
          <w:tcPr>
            <w:tcW w:w="1156" w:type="dxa"/>
            <w:tcBorders>
              <w:top w:val="nil"/>
              <w:left w:val="nil"/>
              <w:bottom w:val="nil"/>
              <w:right w:val="nil"/>
            </w:tcBorders>
            <w:shd w:val="clear" w:color="auto" w:fill="auto"/>
            <w:noWrap/>
            <w:vAlign w:val="bottom"/>
            <w:hideMark/>
          </w:tcPr>
          <w:p w14:paraId="27CC3D69" w14:textId="77777777" w:rsidR="002F53B7" w:rsidRPr="004B1265" w:rsidRDefault="002F53B7" w:rsidP="002F53B7">
            <w:pPr>
              <w:spacing w:after="0" w:line="240" w:lineRule="auto"/>
              <w:rPr>
                <w:rFonts w:eastAsia="Times New Roman" w:cs="Times New Roman"/>
                <w:sz w:val="20"/>
                <w:szCs w:val="20"/>
              </w:rPr>
            </w:pPr>
          </w:p>
        </w:tc>
        <w:tc>
          <w:tcPr>
            <w:tcW w:w="1156" w:type="dxa"/>
            <w:tcBorders>
              <w:top w:val="nil"/>
              <w:left w:val="nil"/>
              <w:bottom w:val="nil"/>
              <w:right w:val="nil"/>
            </w:tcBorders>
            <w:shd w:val="clear" w:color="auto" w:fill="auto"/>
            <w:noWrap/>
            <w:vAlign w:val="bottom"/>
            <w:hideMark/>
          </w:tcPr>
          <w:p w14:paraId="615CA5A8" w14:textId="77777777" w:rsidR="002F53B7" w:rsidRPr="004B1265"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A4C06EE" w14:textId="77777777" w:rsidR="002F53B7" w:rsidRPr="004B1265" w:rsidRDefault="002F53B7" w:rsidP="002F53B7">
            <w:pPr>
              <w:spacing w:after="0" w:line="240" w:lineRule="auto"/>
              <w:rPr>
                <w:rFonts w:eastAsia="Times New Roman" w:cs="Times New Roman"/>
                <w:sz w:val="20"/>
                <w:szCs w:val="20"/>
              </w:rPr>
            </w:pPr>
          </w:p>
        </w:tc>
        <w:tc>
          <w:tcPr>
            <w:tcW w:w="1236" w:type="dxa"/>
            <w:tcBorders>
              <w:top w:val="nil"/>
              <w:left w:val="nil"/>
              <w:bottom w:val="nil"/>
              <w:right w:val="nil"/>
            </w:tcBorders>
            <w:shd w:val="clear" w:color="auto" w:fill="auto"/>
            <w:noWrap/>
            <w:vAlign w:val="bottom"/>
            <w:hideMark/>
          </w:tcPr>
          <w:p w14:paraId="11B2BDB1" w14:textId="77777777" w:rsidR="002F53B7" w:rsidRPr="004B1265" w:rsidRDefault="002F53B7" w:rsidP="002F53B7">
            <w:pPr>
              <w:spacing w:after="0" w:line="240" w:lineRule="auto"/>
              <w:rPr>
                <w:rFonts w:eastAsia="Times New Roman" w:cs="Times New Roman"/>
                <w:sz w:val="20"/>
                <w:szCs w:val="20"/>
              </w:rPr>
            </w:pPr>
          </w:p>
        </w:tc>
      </w:tr>
      <w:tr w:rsidR="002F53B7" w:rsidRPr="004B1265" w14:paraId="34C94C12" w14:textId="77777777" w:rsidTr="002F53B7">
        <w:trPr>
          <w:trHeight w:val="290"/>
        </w:trPr>
        <w:tc>
          <w:tcPr>
            <w:tcW w:w="6836" w:type="dxa"/>
            <w:gridSpan w:val="6"/>
            <w:tcBorders>
              <w:top w:val="nil"/>
              <w:left w:val="nil"/>
              <w:bottom w:val="nil"/>
              <w:right w:val="nil"/>
            </w:tcBorders>
            <w:shd w:val="clear" w:color="auto" w:fill="auto"/>
            <w:noWrap/>
            <w:vAlign w:val="bottom"/>
            <w:hideMark/>
          </w:tcPr>
          <w:p w14:paraId="2B0743B7" w14:textId="77777777" w:rsidR="002F53B7" w:rsidRPr="004B1265" w:rsidRDefault="002F53B7" w:rsidP="002F53B7">
            <w:pPr>
              <w:spacing w:after="0" w:line="240" w:lineRule="auto"/>
              <w:rPr>
                <w:rFonts w:ascii="Calibri" w:eastAsia="Times New Roman" w:hAnsi="Calibri" w:cs="Calibri"/>
                <w:color w:val="000000"/>
                <w:sz w:val="22"/>
              </w:rPr>
            </w:pPr>
            <w:r>
              <w:rPr>
                <w:rFonts w:ascii="Calibri" w:eastAsia="Times New Roman" w:hAnsi="Calibri" w:cs="Calibri"/>
                <w:color w:val="000000"/>
                <w:sz w:val="22"/>
              </w:rPr>
              <w:t>Nominal Income:  US D</w:t>
            </w:r>
            <w:r w:rsidRPr="004B1265">
              <w:rPr>
                <w:rFonts w:ascii="Calibri" w:eastAsia="Times New Roman" w:hAnsi="Calibri" w:cs="Calibri"/>
                <w:color w:val="000000"/>
                <w:sz w:val="22"/>
              </w:rPr>
              <w:t>epartment of Commerce, 1966, table 1.12</w:t>
            </w:r>
          </w:p>
        </w:tc>
        <w:tc>
          <w:tcPr>
            <w:tcW w:w="976" w:type="dxa"/>
            <w:tcBorders>
              <w:top w:val="nil"/>
              <w:left w:val="nil"/>
              <w:bottom w:val="nil"/>
              <w:right w:val="nil"/>
            </w:tcBorders>
            <w:shd w:val="clear" w:color="auto" w:fill="auto"/>
            <w:noWrap/>
            <w:vAlign w:val="bottom"/>
            <w:hideMark/>
          </w:tcPr>
          <w:p w14:paraId="50BD7DED" w14:textId="77777777" w:rsidR="002F53B7" w:rsidRPr="004B1265" w:rsidRDefault="002F53B7" w:rsidP="002F53B7">
            <w:pPr>
              <w:spacing w:after="0" w:line="240" w:lineRule="auto"/>
              <w:rPr>
                <w:rFonts w:ascii="Calibri" w:eastAsia="Times New Roman" w:hAnsi="Calibri" w:cs="Calibri"/>
                <w:color w:val="000000"/>
                <w:sz w:val="22"/>
              </w:rPr>
            </w:pPr>
          </w:p>
        </w:tc>
        <w:tc>
          <w:tcPr>
            <w:tcW w:w="1236" w:type="dxa"/>
            <w:tcBorders>
              <w:top w:val="nil"/>
              <w:left w:val="nil"/>
              <w:bottom w:val="nil"/>
              <w:right w:val="nil"/>
            </w:tcBorders>
            <w:shd w:val="clear" w:color="auto" w:fill="auto"/>
            <w:noWrap/>
            <w:vAlign w:val="bottom"/>
            <w:hideMark/>
          </w:tcPr>
          <w:p w14:paraId="1094BAA7" w14:textId="77777777" w:rsidR="002F53B7" w:rsidRPr="004B1265" w:rsidRDefault="002F53B7" w:rsidP="002F53B7">
            <w:pPr>
              <w:spacing w:after="0" w:line="240" w:lineRule="auto"/>
              <w:rPr>
                <w:rFonts w:eastAsia="Times New Roman" w:cs="Times New Roman"/>
                <w:sz w:val="20"/>
                <w:szCs w:val="20"/>
              </w:rPr>
            </w:pPr>
          </w:p>
        </w:tc>
      </w:tr>
      <w:tr w:rsidR="002F53B7" w:rsidRPr="004B1265" w14:paraId="1CCB501F" w14:textId="77777777" w:rsidTr="002F53B7">
        <w:trPr>
          <w:trHeight w:val="290"/>
        </w:trPr>
        <w:tc>
          <w:tcPr>
            <w:tcW w:w="7812" w:type="dxa"/>
            <w:gridSpan w:val="7"/>
            <w:tcBorders>
              <w:top w:val="nil"/>
              <w:left w:val="nil"/>
              <w:bottom w:val="nil"/>
              <w:right w:val="nil"/>
            </w:tcBorders>
            <w:shd w:val="clear" w:color="auto" w:fill="auto"/>
            <w:noWrap/>
            <w:vAlign w:val="bottom"/>
            <w:hideMark/>
          </w:tcPr>
          <w:p w14:paraId="2978193F" w14:textId="77777777" w:rsidR="002F53B7" w:rsidRPr="004B1265" w:rsidRDefault="002F53B7" w:rsidP="002F53B7">
            <w:pPr>
              <w:spacing w:after="0" w:line="240" w:lineRule="auto"/>
              <w:rPr>
                <w:rFonts w:ascii="Calibri" w:eastAsia="Times New Roman" w:hAnsi="Calibri" w:cs="Calibri"/>
                <w:color w:val="000000"/>
                <w:sz w:val="22"/>
              </w:rPr>
            </w:pPr>
            <w:r w:rsidRPr="004B1265">
              <w:rPr>
                <w:rFonts w:ascii="Calibri" w:eastAsia="Times New Roman" w:hAnsi="Calibri" w:cs="Calibri"/>
                <w:color w:val="000000"/>
                <w:sz w:val="22"/>
              </w:rPr>
              <w:t xml:space="preserve">Deflator for Total Structures:  US Department of Commerce, </w:t>
            </w:r>
            <w:r>
              <w:rPr>
                <w:rFonts w:ascii="Calibri" w:eastAsia="Times New Roman" w:hAnsi="Calibri" w:cs="Calibri"/>
                <w:color w:val="000000"/>
                <w:sz w:val="22"/>
              </w:rPr>
              <w:t xml:space="preserve">1966, </w:t>
            </w:r>
            <w:r w:rsidRPr="004B1265">
              <w:rPr>
                <w:rFonts w:ascii="Calibri" w:eastAsia="Times New Roman" w:hAnsi="Calibri" w:cs="Calibri"/>
                <w:color w:val="000000"/>
                <w:sz w:val="22"/>
              </w:rPr>
              <w:t>table 8.7, p. 165</w:t>
            </w:r>
          </w:p>
        </w:tc>
        <w:tc>
          <w:tcPr>
            <w:tcW w:w="1236" w:type="dxa"/>
            <w:tcBorders>
              <w:top w:val="nil"/>
              <w:left w:val="nil"/>
              <w:bottom w:val="nil"/>
              <w:right w:val="nil"/>
            </w:tcBorders>
            <w:shd w:val="clear" w:color="auto" w:fill="auto"/>
            <w:noWrap/>
            <w:vAlign w:val="bottom"/>
            <w:hideMark/>
          </w:tcPr>
          <w:p w14:paraId="7F6D3D08" w14:textId="77777777" w:rsidR="002F53B7" w:rsidRPr="004B1265" w:rsidRDefault="002F53B7" w:rsidP="002F53B7">
            <w:pPr>
              <w:spacing w:after="0" w:line="240" w:lineRule="auto"/>
              <w:rPr>
                <w:rFonts w:ascii="Calibri" w:eastAsia="Times New Roman" w:hAnsi="Calibri" w:cs="Calibri"/>
                <w:color w:val="000000"/>
                <w:sz w:val="22"/>
              </w:rPr>
            </w:pPr>
          </w:p>
        </w:tc>
      </w:tr>
      <w:tr w:rsidR="002F53B7" w:rsidRPr="004B1265" w14:paraId="5B06B122" w14:textId="77777777" w:rsidTr="002F53B7">
        <w:trPr>
          <w:trHeight w:val="290"/>
        </w:trPr>
        <w:tc>
          <w:tcPr>
            <w:tcW w:w="5680" w:type="dxa"/>
            <w:gridSpan w:val="5"/>
            <w:tcBorders>
              <w:top w:val="nil"/>
              <w:left w:val="nil"/>
              <w:bottom w:val="nil"/>
              <w:right w:val="nil"/>
            </w:tcBorders>
            <w:shd w:val="clear" w:color="auto" w:fill="auto"/>
            <w:noWrap/>
            <w:vAlign w:val="bottom"/>
            <w:hideMark/>
          </w:tcPr>
          <w:p w14:paraId="3ECD849C" w14:textId="77777777" w:rsidR="002F53B7" w:rsidRPr="004B1265" w:rsidRDefault="002F53B7" w:rsidP="002F53B7">
            <w:pPr>
              <w:spacing w:after="0" w:line="240" w:lineRule="auto"/>
              <w:rPr>
                <w:rFonts w:ascii="Calibri" w:eastAsia="Times New Roman" w:hAnsi="Calibri" w:cs="Calibri"/>
                <w:color w:val="000000"/>
                <w:sz w:val="22"/>
              </w:rPr>
            </w:pPr>
            <w:r w:rsidRPr="004B1265">
              <w:rPr>
                <w:rFonts w:ascii="Calibri" w:eastAsia="Times New Roman" w:hAnsi="Calibri" w:cs="Calibri"/>
                <w:color w:val="000000"/>
                <w:sz w:val="22"/>
              </w:rPr>
              <w:t>FTEs:  US Department of Commerce, 1966, table 6.4.</w:t>
            </w:r>
          </w:p>
        </w:tc>
        <w:tc>
          <w:tcPr>
            <w:tcW w:w="1156" w:type="dxa"/>
            <w:tcBorders>
              <w:top w:val="nil"/>
              <w:left w:val="nil"/>
              <w:bottom w:val="nil"/>
              <w:right w:val="nil"/>
            </w:tcBorders>
            <w:shd w:val="clear" w:color="auto" w:fill="auto"/>
            <w:noWrap/>
            <w:vAlign w:val="bottom"/>
            <w:hideMark/>
          </w:tcPr>
          <w:p w14:paraId="6D653C38" w14:textId="77777777" w:rsidR="002F53B7" w:rsidRPr="004B1265" w:rsidRDefault="002F53B7" w:rsidP="002F53B7">
            <w:pPr>
              <w:spacing w:after="0" w:line="240" w:lineRule="auto"/>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5FC43198" w14:textId="77777777" w:rsidR="002F53B7" w:rsidRPr="004B1265" w:rsidRDefault="002F53B7" w:rsidP="002F53B7">
            <w:pPr>
              <w:spacing w:after="0" w:line="240" w:lineRule="auto"/>
              <w:rPr>
                <w:rFonts w:eastAsia="Times New Roman" w:cs="Times New Roman"/>
                <w:sz w:val="20"/>
                <w:szCs w:val="20"/>
              </w:rPr>
            </w:pPr>
          </w:p>
        </w:tc>
        <w:tc>
          <w:tcPr>
            <w:tcW w:w="1236" w:type="dxa"/>
            <w:tcBorders>
              <w:top w:val="nil"/>
              <w:left w:val="nil"/>
              <w:bottom w:val="nil"/>
              <w:right w:val="nil"/>
            </w:tcBorders>
            <w:shd w:val="clear" w:color="auto" w:fill="auto"/>
            <w:noWrap/>
            <w:vAlign w:val="bottom"/>
            <w:hideMark/>
          </w:tcPr>
          <w:p w14:paraId="04AF7ACD" w14:textId="77777777" w:rsidR="002F53B7" w:rsidRPr="004B1265" w:rsidRDefault="002F53B7" w:rsidP="002F53B7">
            <w:pPr>
              <w:spacing w:after="0" w:line="240" w:lineRule="auto"/>
              <w:rPr>
                <w:rFonts w:eastAsia="Times New Roman" w:cs="Times New Roman"/>
                <w:sz w:val="20"/>
                <w:szCs w:val="20"/>
              </w:rPr>
            </w:pPr>
          </w:p>
        </w:tc>
      </w:tr>
      <w:tr w:rsidR="002F53B7" w:rsidRPr="004B1265" w14:paraId="07F391F9" w14:textId="77777777" w:rsidTr="002F53B7">
        <w:trPr>
          <w:trHeight w:val="290"/>
        </w:trPr>
        <w:tc>
          <w:tcPr>
            <w:tcW w:w="5680" w:type="dxa"/>
            <w:gridSpan w:val="5"/>
            <w:tcBorders>
              <w:top w:val="nil"/>
              <w:left w:val="nil"/>
              <w:bottom w:val="nil"/>
              <w:right w:val="nil"/>
            </w:tcBorders>
            <w:shd w:val="clear" w:color="auto" w:fill="auto"/>
            <w:noWrap/>
            <w:vAlign w:val="bottom"/>
            <w:hideMark/>
          </w:tcPr>
          <w:p w14:paraId="2AC65B11" w14:textId="77777777" w:rsidR="002F53B7" w:rsidRPr="004B1265" w:rsidRDefault="002F53B7" w:rsidP="002F53B7">
            <w:pPr>
              <w:spacing w:after="0" w:line="240" w:lineRule="auto"/>
              <w:rPr>
                <w:rFonts w:ascii="Calibri" w:eastAsia="Times New Roman" w:hAnsi="Calibri" w:cs="Calibri"/>
                <w:color w:val="000000"/>
                <w:sz w:val="22"/>
              </w:rPr>
            </w:pPr>
            <w:r w:rsidRPr="004B1265">
              <w:rPr>
                <w:rFonts w:ascii="Calibri" w:eastAsia="Times New Roman" w:hAnsi="Calibri" w:cs="Calibri"/>
                <w:color w:val="000000"/>
                <w:sz w:val="22"/>
              </w:rPr>
              <w:t>Capital:  BEA FAT table 2.2, line 29, Cons</w:t>
            </w:r>
            <w:r>
              <w:rPr>
                <w:rFonts w:ascii="Calibri" w:eastAsia="Times New Roman" w:hAnsi="Calibri" w:cs="Calibri"/>
                <w:color w:val="000000"/>
                <w:sz w:val="22"/>
              </w:rPr>
              <w:t>t</w:t>
            </w:r>
            <w:r w:rsidRPr="004B1265">
              <w:rPr>
                <w:rFonts w:ascii="Calibri" w:eastAsia="Times New Roman" w:hAnsi="Calibri" w:cs="Calibri"/>
                <w:color w:val="000000"/>
                <w:sz w:val="22"/>
              </w:rPr>
              <w:t>ruction Machinery</w:t>
            </w:r>
          </w:p>
        </w:tc>
        <w:tc>
          <w:tcPr>
            <w:tcW w:w="1156" w:type="dxa"/>
            <w:tcBorders>
              <w:top w:val="nil"/>
              <w:left w:val="nil"/>
              <w:bottom w:val="nil"/>
              <w:right w:val="nil"/>
            </w:tcBorders>
            <w:shd w:val="clear" w:color="auto" w:fill="auto"/>
            <w:noWrap/>
            <w:vAlign w:val="bottom"/>
            <w:hideMark/>
          </w:tcPr>
          <w:p w14:paraId="16A05C5E" w14:textId="77777777" w:rsidR="002F53B7" w:rsidRPr="004B1265" w:rsidRDefault="002F53B7" w:rsidP="002F53B7">
            <w:pPr>
              <w:spacing w:after="0" w:line="240" w:lineRule="auto"/>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210436AD" w14:textId="77777777" w:rsidR="002F53B7" w:rsidRPr="004B1265" w:rsidRDefault="002F53B7" w:rsidP="002F53B7">
            <w:pPr>
              <w:spacing w:after="0" w:line="240" w:lineRule="auto"/>
              <w:rPr>
                <w:rFonts w:eastAsia="Times New Roman" w:cs="Times New Roman"/>
                <w:sz w:val="20"/>
                <w:szCs w:val="20"/>
              </w:rPr>
            </w:pPr>
          </w:p>
        </w:tc>
        <w:tc>
          <w:tcPr>
            <w:tcW w:w="1236" w:type="dxa"/>
            <w:tcBorders>
              <w:top w:val="nil"/>
              <w:left w:val="nil"/>
              <w:bottom w:val="nil"/>
              <w:right w:val="nil"/>
            </w:tcBorders>
            <w:shd w:val="clear" w:color="auto" w:fill="auto"/>
            <w:noWrap/>
            <w:vAlign w:val="bottom"/>
            <w:hideMark/>
          </w:tcPr>
          <w:p w14:paraId="39B24AFD" w14:textId="77777777" w:rsidR="002F53B7" w:rsidRPr="004B1265" w:rsidRDefault="002F53B7" w:rsidP="002F53B7">
            <w:pPr>
              <w:spacing w:after="0" w:line="240" w:lineRule="auto"/>
              <w:rPr>
                <w:rFonts w:eastAsia="Times New Roman" w:cs="Times New Roman"/>
                <w:sz w:val="20"/>
                <w:szCs w:val="20"/>
              </w:rPr>
            </w:pPr>
          </w:p>
        </w:tc>
      </w:tr>
    </w:tbl>
    <w:p w14:paraId="2633AA91" w14:textId="77777777" w:rsidR="002F53B7" w:rsidRDefault="002F53B7" w:rsidP="002F53B7"/>
    <w:p w14:paraId="27233D7E" w14:textId="77777777" w:rsidR="002F53B7" w:rsidRDefault="002F53B7" w:rsidP="002F53B7"/>
    <w:p w14:paraId="0DFAC2D3" w14:textId="77777777" w:rsidR="002F53B7" w:rsidRDefault="002F53B7" w:rsidP="002F53B7">
      <w:r>
        <w:br w:type="page"/>
      </w:r>
    </w:p>
    <w:tbl>
      <w:tblPr>
        <w:tblpPr w:leftFromText="180" w:rightFromText="180" w:horzAnchor="page" w:tblpX="939" w:tblpY="-830"/>
        <w:tblW w:w="14914" w:type="dxa"/>
        <w:tblLook w:val="04A0" w:firstRow="1" w:lastRow="0" w:firstColumn="1" w:lastColumn="0" w:noHBand="0" w:noVBand="1"/>
      </w:tblPr>
      <w:tblGrid>
        <w:gridCol w:w="1042"/>
        <w:gridCol w:w="976"/>
        <w:gridCol w:w="976"/>
        <w:gridCol w:w="976"/>
        <w:gridCol w:w="976"/>
        <w:gridCol w:w="1396"/>
        <w:gridCol w:w="1296"/>
        <w:gridCol w:w="1436"/>
        <w:gridCol w:w="1236"/>
        <w:gridCol w:w="1376"/>
        <w:gridCol w:w="1276"/>
        <w:gridCol w:w="976"/>
        <w:gridCol w:w="976"/>
      </w:tblGrid>
      <w:tr w:rsidR="002F53B7" w:rsidRPr="000A1858" w14:paraId="26A93D60" w14:textId="77777777" w:rsidTr="002F53B7">
        <w:trPr>
          <w:trHeight w:val="290"/>
        </w:trPr>
        <w:tc>
          <w:tcPr>
            <w:tcW w:w="1042" w:type="dxa"/>
            <w:tcBorders>
              <w:top w:val="nil"/>
              <w:left w:val="nil"/>
              <w:bottom w:val="nil"/>
              <w:right w:val="nil"/>
            </w:tcBorders>
            <w:shd w:val="clear" w:color="auto" w:fill="auto"/>
            <w:noWrap/>
            <w:vAlign w:val="bottom"/>
            <w:hideMark/>
          </w:tcPr>
          <w:p w14:paraId="6810C708" w14:textId="77777777" w:rsidR="002F53B7" w:rsidRPr="000A1858" w:rsidRDefault="002F53B7" w:rsidP="002F53B7">
            <w:pPr>
              <w:spacing w:after="0" w:line="240" w:lineRule="auto"/>
              <w:rPr>
                <w:rFonts w:eastAsia="Times New Roman" w:cs="Times New Roman"/>
                <w:sz w:val="20"/>
                <w:szCs w:val="24"/>
              </w:rPr>
            </w:pPr>
          </w:p>
        </w:tc>
        <w:tc>
          <w:tcPr>
            <w:tcW w:w="976" w:type="dxa"/>
            <w:tcBorders>
              <w:top w:val="nil"/>
              <w:left w:val="nil"/>
              <w:bottom w:val="nil"/>
              <w:right w:val="nil"/>
            </w:tcBorders>
            <w:shd w:val="clear" w:color="auto" w:fill="auto"/>
            <w:noWrap/>
            <w:vAlign w:val="bottom"/>
            <w:hideMark/>
          </w:tcPr>
          <w:p w14:paraId="66B06874"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8A40F39"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8E8B274"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213078C" w14:textId="77777777" w:rsidR="002F53B7" w:rsidRPr="000A1858" w:rsidRDefault="002F53B7" w:rsidP="002F53B7">
            <w:pPr>
              <w:spacing w:after="0" w:line="240" w:lineRule="auto"/>
              <w:rPr>
                <w:rFonts w:eastAsia="Times New Roman" w:cs="Times New Roman"/>
                <w:sz w:val="20"/>
                <w:szCs w:val="20"/>
              </w:rPr>
            </w:pPr>
          </w:p>
        </w:tc>
        <w:tc>
          <w:tcPr>
            <w:tcW w:w="1396" w:type="dxa"/>
            <w:tcBorders>
              <w:top w:val="nil"/>
              <w:left w:val="nil"/>
              <w:bottom w:val="nil"/>
              <w:right w:val="nil"/>
            </w:tcBorders>
            <w:shd w:val="clear" w:color="auto" w:fill="auto"/>
            <w:noWrap/>
            <w:vAlign w:val="bottom"/>
            <w:hideMark/>
          </w:tcPr>
          <w:p w14:paraId="6F1565EA" w14:textId="77777777" w:rsidR="002F53B7" w:rsidRPr="000A1858" w:rsidRDefault="002F53B7" w:rsidP="002F53B7">
            <w:pPr>
              <w:spacing w:after="0" w:line="240" w:lineRule="auto"/>
              <w:rPr>
                <w:rFonts w:eastAsia="Times New Roman" w:cs="Times New Roman"/>
                <w:sz w:val="20"/>
                <w:szCs w:val="20"/>
              </w:rPr>
            </w:pPr>
          </w:p>
        </w:tc>
        <w:tc>
          <w:tcPr>
            <w:tcW w:w="1296" w:type="dxa"/>
            <w:tcBorders>
              <w:top w:val="nil"/>
              <w:left w:val="nil"/>
              <w:bottom w:val="nil"/>
              <w:right w:val="nil"/>
            </w:tcBorders>
            <w:shd w:val="clear" w:color="auto" w:fill="auto"/>
            <w:noWrap/>
            <w:vAlign w:val="bottom"/>
            <w:hideMark/>
          </w:tcPr>
          <w:p w14:paraId="22F3BCF8" w14:textId="77777777" w:rsidR="002F53B7" w:rsidRPr="000A1858" w:rsidRDefault="002F53B7" w:rsidP="002F53B7">
            <w:pPr>
              <w:spacing w:after="0" w:line="240" w:lineRule="auto"/>
              <w:rPr>
                <w:rFonts w:ascii="Calibri" w:eastAsia="Times New Roman" w:hAnsi="Calibri" w:cs="Calibri"/>
                <w:color w:val="000000"/>
                <w:sz w:val="22"/>
              </w:rPr>
            </w:pPr>
            <w:r w:rsidRPr="000A1858">
              <w:rPr>
                <w:rFonts w:ascii="Calibri" w:eastAsia="Times New Roman" w:hAnsi="Calibri" w:cs="Calibri"/>
                <w:color w:val="000000"/>
                <w:sz w:val="22"/>
              </w:rPr>
              <w:t xml:space="preserve">Table </w:t>
            </w:r>
            <w:r>
              <w:rPr>
                <w:rFonts w:ascii="Calibri" w:eastAsia="Times New Roman" w:hAnsi="Calibri" w:cs="Calibri"/>
                <w:color w:val="000000"/>
                <w:sz w:val="22"/>
              </w:rPr>
              <w:t>8</w:t>
            </w:r>
          </w:p>
        </w:tc>
        <w:tc>
          <w:tcPr>
            <w:tcW w:w="1436" w:type="dxa"/>
            <w:tcBorders>
              <w:top w:val="nil"/>
              <w:left w:val="nil"/>
              <w:bottom w:val="nil"/>
              <w:right w:val="nil"/>
            </w:tcBorders>
            <w:shd w:val="clear" w:color="auto" w:fill="auto"/>
            <w:noWrap/>
            <w:vAlign w:val="bottom"/>
            <w:hideMark/>
          </w:tcPr>
          <w:p w14:paraId="7BA52C6A" w14:textId="77777777" w:rsidR="002F53B7" w:rsidRPr="000A1858" w:rsidRDefault="002F53B7" w:rsidP="002F53B7">
            <w:pPr>
              <w:spacing w:after="0" w:line="240" w:lineRule="auto"/>
              <w:rPr>
                <w:rFonts w:ascii="Calibri" w:eastAsia="Times New Roman" w:hAnsi="Calibri" w:cs="Calibri"/>
                <w:color w:val="000000"/>
                <w:sz w:val="22"/>
              </w:rPr>
            </w:pPr>
          </w:p>
        </w:tc>
        <w:tc>
          <w:tcPr>
            <w:tcW w:w="1236" w:type="dxa"/>
            <w:tcBorders>
              <w:top w:val="nil"/>
              <w:left w:val="nil"/>
              <w:bottom w:val="nil"/>
              <w:right w:val="nil"/>
            </w:tcBorders>
            <w:shd w:val="clear" w:color="auto" w:fill="auto"/>
            <w:noWrap/>
            <w:vAlign w:val="bottom"/>
            <w:hideMark/>
          </w:tcPr>
          <w:p w14:paraId="0AA5D2CD" w14:textId="77777777" w:rsidR="002F53B7" w:rsidRPr="000A1858" w:rsidRDefault="002F53B7" w:rsidP="002F53B7">
            <w:pPr>
              <w:spacing w:after="0" w:line="240" w:lineRule="auto"/>
              <w:rPr>
                <w:rFonts w:eastAsia="Times New Roman" w:cs="Times New Roman"/>
                <w:sz w:val="20"/>
                <w:szCs w:val="20"/>
              </w:rPr>
            </w:pPr>
          </w:p>
        </w:tc>
        <w:tc>
          <w:tcPr>
            <w:tcW w:w="1376" w:type="dxa"/>
            <w:tcBorders>
              <w:top w:val="nil"/>
              <w:left w:val="nil"/>
              <w:bottom w:val="nil"/>
              <w:right w:val="nil"/>
            </w:tcBorders>
            <w:shd w:val="clear" w:color="auto" w:fill="auto"/>
            <w:noWrap/>
            <w:vAlign w:val="bottom"/>
            <w:hideMark/>
          </w:tcPr>
          <w:p w14:paraId="1694B25B" w14:textId="77777777" w:rsidR="002F53B7" w:rsidRPr="000A1858" w:rsidRDefault="002F53B7" w:rsidP="002F53B7">
            <w:pPr>
              <w:spacing w:after="0" w:line="240" w:lineRule="auto"/>
              <w:rPr>
                <w:rFonts w:eastAsia="Times New Roman" w:cs="Times New Roman"/>
                <w:sz w:val="20"/>
                <w:szCs w:val="20"/>
              </w:rPr>
            </w:pPr>
          </w:p>
        </w:tc>
        <w:tc>
          <w:tcPr>
            <w:tcW w:w="1276" w:type="dxa"/>
            <w:tcBorders>
              <w:top w:val="nil"/>
              <w:left w:val="nil"/>
              <w:bottom w:val="nil"/>
              <w:right w:val="nil"/>
            </w:tcBorders>
            <w:shd w:val="clear" w:color="auto" w:fill="auto"/>
            <w:noWrap/>
            <w:vAlign w:val="bottom"/>
            <w:hideMark/>
          </w:tcPr>
          <w:p w14:paraId="618B0328"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D04F4EB"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234979D" w14:textId="77777777" w:rsidR="002F53B7" w:rsidRPr="000A1858" w:rsidRDefault="002F53B7" w:rsidP="002F53B7">
            <w:pPr>
              <w:spacing w:after="0" w:line="240" w:lineRule="auto"/>
              <w:rPr>
                <w:rFonts w:eastAsia="Times New Roman" w:cs="Times New Roman"/>
                <w:sz w:val="20"/>
                <w:szCs w:val="20"/>
              </w:rPr>
            </w:pPr>
          </w:p>
        </w:tc>
      </w:tr>
      <w:tr w:rsidR="002F53B7" w:rsidRPr="000A1858" w14:paraId="61206041" w14:textId="77777777" w:rsidTr="002F53B7">
        <w:trPr>
          <w:trHeight w:val="290"/>
        </w:trPr>
        <w:tc>
          <w:tcPr>
            <w:tcW w:w="1042" w:type="dxa"/>
            <w:tcBorders>
              <w:top w:val="nil"/>
              <w:left w:val="nil"/>
              <w:bottom w:val="nil"/>
              <w:right w:val="nil"/>
            </w:tcBorders>
            <w:shd w:val="clear" w:color="auto" w:fill="auto"/>
            <w:noWrap/>
            <w:vAlign w:val="bottom"/>
            <w:hideMark/>
          </w:tcPr>
          <w:p w14:paraId="45A44F76"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B893590"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9D8AB07" w14:textId="77777777" w:rsidR="002F53B7" w:rsidRPr="000A1858" w:rsidRDefault="002F53B7" w:rsidP="002F53B7">
            <w:pPr>
              <w:spacing w:after="0" w:line="240" w:lineRule="auto"/>
              <w:rPr>
                <w:rFonts w:eastAsia="Times New Roman" w:cs="Times New Roman"/>
                <w:sz w:val="20"/>
                <w:szCs w:val="20"/>
              </w:rPr>
            </w:pPr>
          </w:p>
        </w:tc>
        <w:tc>
          <w:tcPr>
            <w:tcW w:w="8692" w:type="dxa"/>
            <w:gridSpan w:val="7"/>
            <w:tcBorders>
              <w:top w:val="nil"/>
              <w:left w:val="nil"/>
              <w:bottom w:val="nil"/>
              <w:right w:val="nil"/>
            </w:tcBorders>
            <w:shd w:val="clear" w:color="auto" w:fill="auto"/>
            <w:noWrap/>
            <w:vAlign w:val="bottom"/>
            <w:hideMark/>
          </w:tcPr>
          <w:p w14:paraId="382623F4" w14:textId="77777777" w:rsidR="002F53B7" w:rsidRPr="000A1858" w:rsidRDefault="002F53B7" w:rsidP="002F53B7">
            <w:pPr>
              <w:spacing w:after="0" w:line="240" w:lineRule="auto"/>
              <w:rPr>
                <w:rFonts w:ascii="Calibri" w:eastAsia="Times New Roman" w:hAnsi="Calibri" w:cs="Calibri"/>
                <w:color w:val="000000"/>
                <w:sz w:val="22"/>
              </w:rPr>
            </w:pPr>
            <w:r w:rsidRPr="000A1858">
              <w:rPr>
                <w:rFonts w:ascii="Calibri" w:eastAsia="Times New Roman" w:hAnsi="Calibri" w:cs="Calibri"/>
                <w:color w:val="000000"/>
                <w:sz w:val="22"/>
              </w:rPr>
              <w:t>Sectoral Contributions to TFP Growth wit</w:t>
            </w:r>
            <w:r>
              <w:rPr>
                <w:rFonts w:ascii="Calibri" w:eastAsia="Times New Roman" w:hAnsi="Calibri" w:cs="Calibri"/>
                <w:color w:val="000000"/>
                <w:sz w:val="22"/>
              </w:rPr>
              <w:t>h</w:t>
            </w:r>
            <w:r w:rsidRPr="000A1858">
              <w:rPr>
                <w:rFonts w:ascii="Calibri" w:eastAsia="Times New Roman" w:hAnsi="Calibri" w:cs="Calibri"/>
                <w:color w:val="000000"/>
                <w:sz w:val="22"/>
              </w:rPr>
              <w:t>in the U.S. Private Nonfarm Economy, 1941-48</w:t>
            </w:r>
          </w:p>
        </w:tc>
        <w:tc>
          <w:tcPr>
            <w:tcW w:w="1276" w:type="dxa"/>
            <w:tcBorders>
              <w:top w:val="nil"/>
              <w:left w:val="nil"/>
              <w:bottom w:val="nil"/>
              <w:right w:val="nil"/>
            </w:tcBorders>
            <w:shd w:val="clear" w:color="auto" w:fill="auto"/>
            <w:noWrap/>
            <w:vAlign w:val="bottom"/>
            <w:hideMark/>
          </w:tcPr>
          <w:p w14:paraId="2A3E1D83" w14:textId="77777777" w:rsidR="002F53B7" w:rsidRPr="000A1858" w:rsidRDefault="002F53B7" w:rsidP="002F53B7">
            <w:pPr>
              <w:spacing w:after="0" w:line="240" w:lineRule="auto"/>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2BFEE436"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C85B93E" w14:textId="77777777" w:rsidR="002F53B7" w:rsidRPr="000A1858" w:rsidRDefault="002F53B7" w:rsidP="002F53B7">
            <w:pPr>
              <w:spacing w:after="0" w:line="240" w:lineRule="auto"/>
              <w:rPr>
                <w:rFonts w:eastAsia="Times New Roman" w:cs="Times New Roman"/>
                <w:sz w:val="20"/>
                <w:szCs w:val="20"/>
              </w:rPr>
            </w:pPr>
          </w:p>
        </w:tc>
      </w:tr>
      <w:tr w:rsidR="002F53B7" w:rsidRPr="000A1858" w14:paraId="3F940C32" w14:textId="77777777" w:rsidTr="002F53B7">
        <w:trPr>
          <w:trHeight w:val="290"/>
        </w:trPr>
        <w:tc>
          <w:tcPr>
            <w:tcW w:w="1042" w:type="dxa"/>
            <w:tcBorders>
              <w:top w:val="nil"/>
              <w:left w:val="nil"/>
              <w:bottom w:val="nil"/>
              <w:right w:val="nil"/>
            </w:tcBorders>
            <w:shd w:val="clear" w:color="auto" w:fill="auto"/>
            <w:noWrap/>
            <w:vAlign w:val="bottom"/>
            <w:hideMark/>
          </w:tcPr>
          <w:p w14:paraId="32198AA3"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8E84DB5"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2F9DEF7"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6EB64C6"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F85DEDC" w14:textId="77777777" w:rsidR="002F53B7" w:rsidRPr="000A1858" w:rsidRDefault="002F53B7" w:rsidP="002F53B7">
            <w:pPr>
              <w:spacing w:after="0" w:line="240" w:lineRule="auto"/>
              <w:rPr>
                <w:rFonts w:eastAsia="Times New Roman" w:cs="Times New Roman"/>
                <w:sz w:val="20"/>
                <w:szCs w:val="20"/>
              </w:rPr>
            </w:pPr>
          </w:p>
        </w:tc>
        <w:tc>
          <w:tcPr>
            <w:tcW w:w="1396" w:type="dxa"/>
            <w:tcBorders>
              <w:top w:val="nil"/>
              <w:left w:val="nil"/>
              <w:bottom w:val="nil"/>
              <w:right w:val="nil"/>
            </w:tcBorders>
            <w:shd w:val="clear" w:color="auto" w:fill="auto"/>
            <w:noWrap/>
            <w:vAlign w:val="bottom"/>
            <w:hideMark/>
          </w:tcPr>
          <w:p w14:paraId="7DC3A371" w14:textId="77777777" w:rsidR="002F53B7" w:rsidRPr="000A1858" w:rsidRDefault="002F53B7" w:rsidP="002F53B7">
            <w:pPr>
              <w:spacing w:after="0" w:line="240" w:lineRule="auto"/>
              <w:rPr>
                <w:rFonts w:eastAsia="Times New Roman" w:cs="Times New Roman"/>
                <w:sz w:val="20"/>
                <w:szCs w:val="20"/>
              </w:rPr>
            </w:pPr>
          </w:p>
        </w:tc>
        <w:tc>
          <w:tcPr>
            <w:tcW w:w="1296" w:type="dxa"/>
            <w:tcBorders>
              <w:top w:val="nil"/>
              <w:left w:val="nil"/>
              <w:bottom w:val="nil"/>
              <w:right w:val="nil"/>
            </w:tcBorders>
            <w:shd w:val="clear" w:color="auto" w:fill="auto"/>
            <w:noWrap/>
            <w:vAlign w:val="bottom"/>
            <w:hideMark/>
          </w:tcPr>
          <w:p w14:paraId="55621A43" w14:textId="77777777" w:rsidR="002F53B7" w:rsidRPr="000A1858" w:rsidRDefault="002F53B7" w:rsidP="002F53B7">
            <w:pPr>
              <w:spacing w:after="0" w:line="240" w:lineRule="auto"/>
              <w:rPr>
                <w:rFonts w:eastAsia="Times New Roman" w:cs="Times New Roman"/>
                <w:sz w:val="20"/>
                <w:szCs w:val="20"/>
              </w:rPr>
            </w:pPr>
          </w:p>
        </w:tc>
        <w:tc>
          <w:tcPr>
            <w:tcW w:w="1436" w:type="dxa"/>
            <w:tcBorders>
              <w:top w:val="nil"/>
              <w:left w:val="nil"/>
              <w:bottom w:val="nil"/>
              <w:right w:val="nil"/>
            </w:tcBorders>
            <w:shd w:val="clear" w:color="auto" w:fill="auto"/>
            <w:noWrap/>
            <w:vAlign w:val="bottom"/>
            <w:hideMark/>
          </w:tcPr>
          <w:p w14:paraId="2F96720E" w14:textId="77777777" w:rsidR="002F53B7" w:rsidRPr="000A1858" w:rsidRDefault="002F53B7" w:rsidP="002F53B7">
            <w:pPr>
              <w:spacing w:after="0" w:line="240" w:lineRule="auto"/>
              <w:rPr>
                <w:rFonts w:eastAsia="Times New Roman" w:cs="Times New Roman"/>
                <w:sz w:val="20"/>
                <w:szCs w:val="20"/>
              </w:rPr>
            </w:pPr>
          </w:p>
        </w:tc>
        <w:tc>
          <w:tcPr>
            <w:tcW w:w="1236" w:type="dxa"/>
            <w:tcBorders>
              <w:top w:val="nil"/>
              <w:left w:val="nil"/>
              <w:bottom w:val="nil"/>
              <w:right w:val="nil"/>
            </w:tcBorders>
            <w:shd w:val="clear" w:color="auto" w:fill="auto"/>
            <w:noWrap/>
            <w:vAlign w:val="bottom"/>
            <w:hideMark/>
          </w:tcPr>
          <w:p w14:paraId="39A24446" w14:textId="77777777" w:rsidR="002F53B7" w:rsidRPr="000A1858" w:rsidRDefault="002F53B7" w:rsidP="002F53B7">
            <w:pPr>
              <w:spacing w:after="0" w:line="240" w:lineRule="auto"/>
              <w:rPr>
                <w:rFonts w:eastAsia="Times New Roman" w:cs="Times New Roman"/>
                <w:sz w:val="20"/>
                <w:szCs w:val="20"/>
              </w:rPr>
            </w:pPr>
          </w:p>
        </w:tc>
        <w:tc>
          <w:tcPr>
            <w:tcW w:w="1376" w:type="dxa"/>
            <w:tcBorders>
              <w:top w:val="nil"/>
              <w:left w:val="nil"/>
              <w:bottom w:val="nil"/>
              <w:right w:val="nil"/>
            </w:tcBorders>
            <w:shd w:val="clear" w:color="auto" w:fill="auto"/>
            <w:noWrap/>
            <w:vAlign w:val="bottom"/>
            <w:hideMark/>
          </w:tcPr>
          <w:p w14:paraId="21220C52" w14:textId="77777777" w:rsidR="002F53B7" w:rsidRPr="000A1858" w:rsidRDefault="002F53B7" w:rsidP="002F53B7">
            <w:pPr>
              <w:spacing w:after="0" w:line="240" w:lineRule="auto"/>
              <w:rPr>
                <w:rFonts w:eastAsia="Times New Roman" w:cs="Times New Roman"/>
                <w:sz w:val="20"/>
                <w:szCs w:val="20"/>
              </w:rPr>
            </w:pPr>
          </w:p>
        </w:tc>
        <w:tc>
          <w:tcPr>
            <w:tcW w:w="1276" w:type="dxa"/>
            <w:tcBorders>
              <w:top w:val="nil"/>
              <w:left w:val="nil"/>
              <w:bottom w:val="nil"/>
              <w:right w:val="nil"/>
            </w:tcBorders>
            <w:shd w:val="clear" w:color="auto" w:fill="auto"/>
            <w:noWrap/>
            <w:vAlign w:val="bottom"/>
            <w:hideMark/>
          </w:tcPr>
          <w:p w14:paraId="323F65EE"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5362185"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8B0BEC9" w14:textId="77777777" w:rsidR="002F53B7" w:rsidRPr="000A1858" w:rsidRDefault="002F53B7" w:rsidP="002F53B7">
            <w:pPr>
              <w:spacing w:after="0" w:line="240" w:lineRule="auto"/>
              <w:rPr>
                <w:rFonts w:eastAsia="Times New Roman" w:cs="Times New Roman"/>
                <w:sz w:val="20"/>
                <w:szCs w:val="20"/>
              </w:rPr>
            </w:pPr>
          </w:p>
        </w:tc>
      </w:tr>
      <w:tr w:rsidR="002F53B7" w:rsidRPr="000A1858" w14:paraId="4440878E" w14:textId="77777777" w:rsidTr="002F53B7">
        <w:trPr>
          <w:trHeight w:val="290"/>
        </w:trPr>
        <w:tc>
          <w:tcPr>
            <w:tcW w:w="1042" w:type="dxa"/>
            <w:tcBorders>
              <w:top w:val="nil"/>
              <w:left w:val="nil"/>
              <w:bottom w:val="nil"/>
              <w:right w:val="nil"/>
            </w:tcBorders>
            <w:shd w:val="clear" w:color="auto" w:fill="auto"/>
            <w:noWrap/>
            <w:vAlign w:val="bottom"/>
            <w:hideMark/>
          </w:tcPr>
          <w:p w14:paraId="2DA4B893"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349B426"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D90D9FD"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907A3FE"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52AFC06" w14:textId="77777777" w:rsidR="002F53B7" w:rsidRPr="000A1858" w:rsidRDefault="002F53B7" w:rsidP="002F53B7">
            <w:pPr>
              <w:spacing w:after="0" w:line="240" w:lineRule="auto"/>
              <w:rPr>
                <w:rFonts w:eastAsia="Times New Roman" w:cs="Times New Roman"/>
                <w:sz w:val="20"/>
                <w:szCs w:val="20"/>
              </w:rPr>
            </w:pPr>
          </w:p>
        </w:tc>
        <w:tc>
          <w:tcPr>
            <w:tcW w:w="1396" w:type="dxa"/>
            <w:tcBorders>
              <w:top w:val="nil"/>
              <w:left w:val="nil"/>
              <w:bottom w:val="nil"/>
              <w:right w:val="nil"/>
            </w:tcBorders>
            <w:shd w:val="clear" w:color="auto" w:fill="auto"/>
            <w:noWrap/>
            <w:vAlign w:val="bottom"/>
            <w:hideMark/>
          </w:tcPr>
          <w:p w14:paraId="6D134739" w14:textId="77777777" w:rsidR="002F53B7" w:rsidRPr="000A1858" w:rsidRDefault="002F53B7" w:rsidP="002F53B7">
            <w:pPr>
              <w:spacing w:after="0" w:line="240" w:lineRule="auto"/>
              <w:jc w:val="center"/>
              <w:rPr>
                <w:rFonts w:ascii="Calibri" w:eastAsia="Times New Roman" w:hAnsi="Calibri" w:cs="Calibri"/>
                <w:color w:val="000000"/>
                <w:sz w:val="22"/>
              </w:rPr>
            </w:pPr>
            <w:r w:rsidRPr="000A1858">
              <w:rPr>
                <w:rFonts w:ascii="Calibri" w:eastAsia="Times New Roman" w:hAnsi="Calibri" w:cs="Calibri"/>
                <w:color w:val="000000"/>
                <w:sz w:val="22"/>
              </w:rPr>
              <w:t>1941</w:t>
            </w:r>
          </w:p>
        </w:tc>
        <w:tc>
          <w:tcPr>
            <w:tcW w:w="1296" w:type="dxa"/>
            <w:tcBorders>
              <w:top w:val="nil"/>
              <w:left w:val="nil"/>
              <w:bottom w:val="nil"/>
              <w:right w:val="nil"/>
            </w:tcBorders>
            <w:shd w:val="clear" w:color="auto" w:fill="auto"/>
            <w:noWrap/>
            <w:vAlign w:val="bottom"/>
            <w:hideMark/>
          </w:tcPr>
          <w:p w14:paraId="17A035C5" w14:textId="77777777" w:rsidR="002F53B7" w:rsidRPr="000A1858" w:rsidRDefault="002F53B7" w:rsidP="002F53B7">
            <w:pPr>
              <w:spacing w:after="0" w:line="240" w:lineRule="auto"/>
              <w:jc w:val="center"/>
              <w:rPr>
                <w:rFonts w:ascii="Calibri" w:eastAsia="Times New Roman" w:hAnsi="Calibri" w:cs="Calibri"/>
                <w:color w:val="000000"/>
                <w:sz w:val="22"/>
              </w:rPr>
            </w:pPr>
            <w:r w:rsidRPr="000A1858">
              <w:rPr>
                <w:rFonts w:ascii="Calibri" w:eastAsia="Times New Roman" w:hAnsi="Calibri" w:cs="Calibri"/>
                <w:color w:val="000000"/>
                <w:sz w:val="22"/>
              </w:rPr>
              <w:t>1941</w:t>
            </w:r>
          </w:p>
        </w:tc>
        <w:tc>
          <w:tcPr>
            <w:tcW w:w="1436" w:type="dxa"/>
            <w:tcBorders>
              <w:top w:val="nil"/>
              <w:left w:val="nil"/>
              <w:bottom w:val="nil"/>
              <w:right w:val="nil"/>
            </w:tcBorders>
            <w:shd w:val="clear" w:color="auto" w:fill="auto"/>
            <w:noWrap/>
            <w:vAlign w:val="bottom"/>
            <w:hideMark/>
          </w:tcPr>
          <w:p w14:paraId="783B74F2" w14:textId="77777777" w:rsidR="002F53B7" w:rsidRPr="000A1858" w:rsidRDefault="002F53B7" w:rsidP="002F53B7">
            <w:pPr>
              <w:spacing w:after="0" w:line="240" w:lineRule="auto"/>
              <w:jc w:val="center"/>
              <w:rPr>
                <w:rFonts w:ascii="Calibri" w:eastAsia="Times New Roman" w:hAnsi="Calibri" w:cs="Calibri"/>
                <w:color w:val="000000"/>
                <w:sz w:val="22"/>
              </w:rPr>
            </w:pPr>
            <w:r w:rsidRPr="000A1858">
              <w:rPr>
                <w:rFonts w:ascii="Calibri" w:eastAsia="Times New Roman" w:hAnsi="Calibri" w:cs="Calibri"/>
                <w:color w:val="000000"/>
                <w:sz w:val="22"/>
              </w:rPr>
              <w:t>1948</w:t>
            </w:r>
          </w:p>
        </w:tc>
        <w:tc>
          <w:tcPr>
            <w:tcW w:w="1236" w:type="dxa"/>
            <w:tcBorders>
              <w:top w:val="nil"/>
              <w:left w:val="nil"/>
              <w:bottom w:val="nil"/>
              <w:right w:val="nil"/>
            </w:tcBorders>
            <w:shd w:val="clear" w:color="auto" w:fill="auto"/>
            <w:noWrap/>
            <w:vAlign w:val="bottom"/>
            <w:hideMark/>
          </w:tcPr>
          <w:p w14:paraId="1C025277" w14:textId="77777777" w:rsidR="002F53B7" w:rsidRPr="000A1858" w:rsidRDefault="002F53B7" w:rsidP="002F53B7">
            <w:pPr>
              <w:spacing w:after="0" w:line="240" w:lineRule="auto"/>
              <w:jc w:val="center"/>
              <w:rPr>
                <w:rFonts w:ascii="Calibri" w:eastAsia="Times New Roman" w:hAnsi="Calibri" w:cs="Calibri"/>
                <w:color w:val="000000"/>
                <w:sz w:val="22"/>
              </w:rPr>
            </w:pPr>
            <w:r w:rsidRPr="000A1858">
              <w:rPr>
                <w:rFonts w:ascii="Calibri" w:eastAsia="Times New Roman" w:hAnsi="Calibri" w:cs="Calibri"/>
                <w:color w:val="000000"/>
                <w:sz w:val="22"/>
              </w:rPr>
              <w:t>1948</w:t>
            </w:r>
          </w:p>
        </w:tc>
        <w:tc>
          <w:tcPr>
            <w:tcW w:w="1376" w:type="dxa"/>
            <w:tcBorders>
              <w:top w:val="nil"/>
              <w:left w:val="nil"/>
              <w:bottom w:val="nil"/>
              <w:right w:val="nil"/>
            </w:tcBorders>
            <w:shd w:val="clear" w:color="auto" w:fill="auto"/>
            <w:noWrap/>
            <w:vAlign w:val="bottom"/>
            <w:hideMark/>
          </w:tcPr>
          <w:p w14:paraId="20225E19" w14:textId="77777777" w:rsidR="002F53B7" w:rsidRPr="000A1858" w:rsidRDefault="002F53B7" w:rsidP="002F53B7">
            <w:pPr>
              <w:spacing w:after="0" w:line="240" w:lineRule="auto"/>
              <w:jc w:val="center"/>
              <w:rPr>
                <w:rFonts w:ascii="Calibri" w:eastAsia="Times New Roman" w:hAnsi="Calibri" w:cs="Calibri"/>
                <w:color w:val="000000"/>
                <w:sz w:val="22"/>
              </w:rPr>
            </w:pPr>
            <w:r w:rsidRPr="000A1858">
              <w:rPr>
                <w:rFonts w:ascii="Calibri" w:eastAsia="Times New Roman" w:hAnsi="Calibri" w:cs="Calibri"/>
                <w:color w:val="000000"/>
                <w:sz w:val="22"/>
              </w:rPr>
              <w:t>1941-48</w:t>
            </w:r>
          </w:p>
        </w:tc>
        <w:tc>
          <w:tcPr>
            <w:tcW w:w="1276" w:type="dxa"/>
            <w:tcBorders>
              <w:top w:val="nil"/>
              <w:left w:val="nil"/>
              <w:bottom w:val="nil"/>
              <w:right w:val="nil"/>
            </w:tcBorders>
            <w:shd w:val="clear" w:color="auto" w:fill="auto"/>
            <w:noWrap/>
            <w:vAlign w:val="bottom"/>
            <w:hideMark/>
          </w:tcPr>
          <w:p w14:paraId="6180A7C4" w14:textId="77777777" w:rsidR="002F53B7" w:rsidRPr="000A1858" w:rsidRDefault="002F53B7" w:rsidP="002F53B7">
            <w:pPr>
              <w:spacing w:after="0" w:line="240" w:lineRule="auto"/>
              <w:jc w:val="center"/>
              <w:rPr>
                <w:rFonts w:ascii="Calibri" w:eastAsia="Times New Roman" w:hAnsi="Calibri" w:cs="Calibri"/>
                <w:color w:val="000000"/>
                <w:sz w:val="22"/>
              </w:rPr>
            </w:pPr>
            <w:r w:rsidRPr="000A1858">
              <w:rPr>
                <w:rFonts w:ascii="Calibri" w:eastAsia="Times New Roman" w:hAnsi="Calibri" w:cs="Calibri"/>
                <w:color w:val="000000"/>
                <w:sz w:val="22"/>
              </w:rPr>
              <w:t>1941-48</w:t>
            </w:r>
          </w:p>
        </w:tc>
        <w:tc>
          <w:tcPr>
            <w:tcW w:w="976" w:type="dxa"/>
            <w:tcBorders>
              <w:top w:val="nil"/>
              <w:left w:val="nil"/>
              <w:bottom w:val="nil"/>
              <w:right w:val="nil"/>
            </w:tcBorders>
            <w:shd w:val="clear" w:color="auto" w:fill="auto"/>
            <w:noWrap/>
            <w:vAlign w:val="bottom"/>
            <w:hideMark/>
          </w:tcPr>
          <w:p w14:paraId="1FB0FD5F" w14:textId="77777777" w:rsidR="002F53B7" w:rsidRPr="000A1858" w:rsidRDefault="002F53B7" w:rsidP="002F53B7">
            <w:pPr>
              <w:spacing w:after="0" w:line="240" w:lineRule="auto"/>
              <w:jc w:val="center"/>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63F4DFF4" w14:textId="77777777" w:rsidR="002F53B7" w:rsidRPr="000A1858" w:rsidRDefault="002F53B7" w:rsidP="002F53B7">
            <w:pPr>
              <w:spacing w:after="0" w:line="240" w:lineRule="auto"/>
              <w:rPr>
                <w:rFonts w:eastAsia="Times New Roman" w:cs="Times New Roman"/>
                <w:sz w:val="20"/>
                <w:szCs w:val="20"/>
              </w:rPr>
            </w:pPr>
          </w:p>
        </w:tc>
      </w:tr>
      <w:tr w:rsidR="002F53B7" w:rsidRPr="000A1858" w14:paraId="4192A7CB" w14:textId="77777777" w:rsidTr="002F53B7">
        <w:trPr>
          <w:trHeight w:val="290"/>
        </w:trPr>
        <w:tc>
          <w:tcPr>
            <w:tcW w:w="1042" w:type="dxa"/>
            <w:tcBorders>
              <w:top w:val="nil"/>
              <w:left w:val="nil"/>
              <w:bottom w:val="nil"/>
              <w:right w:val="nil"/>
            </w:tcBorders>
            <w:shd w:val="clear" w:color="auto" w:fill="auto"/>
            <w:noWrap/>
            <w:vAlign w:val="bottom"/>
            <w:hideMark/>
          </w:tcPr>
          <w:p w14:paraId="7A9D2C59"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ABB4365"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D157DA3"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C81D179"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B4DE127" w14:textId="77777777" w:rsidR="002F53B7" w:rsidRPr="000A1858" w:rsidRDefault="002F53B7" w:rsidP="002F53B7">
            <w:pPr>
              <w:spacing w:after="0" w:line="240" w:lineRule="auto"/>
              <w:rPr>
                <w:rFonts w:eastAsia="Times New Roman" w:cs="Times New Roman"/>
                <w:sz w:val="20"/>
                <w:szCs w:val="20"/>
              </w:rPr>
            </w:pPr>
          </w:p>
        </w:tc>
        <w:tc>
          <w:tcPr>
            <w:tcW w:w="1396" w:type="dxa"/>
            <w:tcBorders>
              <w:top w:val="nil"/>
              <w:left w:val="nil"/>
              <w:bottom w:val="nil"/>
              <w:right w:val="nil"/>
            </w:tcBorders>
            <w:shd w:val="clear" w:color="auto" w:fill="auto"/>
            <w:noWrap/>
            <w:vAlign w:val="bottom"/>
            <w:hideMark/>
          </w:tcPr>
          <w:p w14:paraId="55C378F9" w14:textId="77777777" w:rsidR="002F53B7" w:rsidRPr="000A1858" w:rsidRDefault="002F53B7" w:rsidP="002F53B7">
            <w:pPr>
              <w:spacing w:after="0" w:line="240" w:lineRule="auto"/>
              <w:jc w:val="center"/>
              <w:rPr>
                <w:rFonts w:ascii="Calibri" w:eastAsia="Times New Roman" w:hAnsi="Calibri" w:cs="Calibri"/>
                <w:color w:val="000000"/>
                <w:sz w:val="22"/>
              </w:rPr>
            </w:pPr>
            <w:r w:rsidRPr="000A1858">
              <w:rPr>
                <w:rFonts w:ascii="Calibri" w:eastAsia="Times New Roman" w:hAnsi="Calibri" w:cs="Calibri"/>
                <w:color w:val="000000"/>
                <w:sz w:val="22"/>
              </w:rPr>
              <w:t>Nominal</w:t>
            </w:r>
          </w:p>
        </w:tc>
        <w:tc>
          <w:tcPr>
            <w:tcW w:w="1296" w:type="dxa"/>
            <w:tcBorders>
              <w:top w:val="nil"/>
              <w:left w:val="nil"/>
              <w:bottom w:val="nil"/>
              <w:right w:val="nil"/>
            </w:tcBorders>
            <w:shd w:val="clear" w:color="auto" w:fill="auto"/>
            <w:noWrap/>
            <w:vAlign w:val="bottom"/>
            <w:hideMark/>
          </w:tcPr>
          <w:p w14:paraId="4704C033" w14:textId="77777777" w:rsidR="002F53B7" w:rsidRPr="000A1858" w:rsidRDefault="002F53B7" w:rsidP="002F53B7">
            <w:pPr>
              <w:spacing w:after="0" w:line="240" w:lineRule="auto"/>
              <w:jc w:val="center"/>
              <w:rPr>
                <w:rFonts w:ascii="Calibri" w:eastAsia="Times New Roman" w:hAnsi="Calibri" w:cs="Calibri"/>
                <w:color w:val="000000"/>
                <w:sz w:val="22"/>
              </w:rPr>
            </w:pPr>
            <w:r w:rsidRPr="000A1858">
              <w:rPr>
                <w:rFonts w:ascii="Calibri" w:eastAsia="Times New Roman" w:hAnsi="Calibri" w:cs="Calibri"/>
                <w:color w:val="000000"/>
                <w:sz w:val="22"/>
              </w:rPr>
              <w:t>PNE Share</w:t>
            </w:r>
          </w:p>
        </w:tc>
        <w:tc>
          <w:tcPr>
            <w:tcW w:w="1436" w:type="dxa"/>
            <w:tcBorders>
              <w:top w:val="nil"/>
              <w:left w:val="nil"/>
              <w:bottom w:val="nil"/>
              <w:right w:val="nil"/>
            </w:tcBorders>
            <w:shd w:val="clear" w:color="auto" w:fill="auto"/>
            <w:noWrap/>
            <w:vAlign w:val="bottom"/>
            <w:hideMark/>
          </w:tcPr>
          <w:p w14:paraId="1C4E32E8" w14:textId="77777777" w:rsidR="002F53B7" w:rsidRPr="000A1858" w:rsidRDefault="002F53B7" w:rsidP="002F53B7">
            <w:pPr>
              <w:spacing w:after="0" w:line="240" w:lineRule="auto"/>
              <w:jc w:val="center"/>
              <w:rPr>
                <w:rFonts w:ascii="Calibri" w:eastAsia="Times New Roman" w:hAnsi="Calibri" w:cs="Calibri"/>
                <w:color w:val="000000"/>
                <w:sz w:val="22"/>
              </w:rPr>
            </w:pPr>
            <w:r w:rsidRPr="000A1858">
              <w:rPr>
                <w:rFonts w:ascii="Calibri" w:eastAsia="Times New Roman" w:hAnsi="Calibri" w:cs="Calibri"/>
                <w:color w:val="000000"/>
                <w:sz w:val="22"/>
              </w:rPr>
              <w:t>Nominal</w:t>
            </w:r>
          </w:p>
        </w:tc>
        <w:tc>
          <w:tcPr>
            <w:tcW w:w="1236" w:type="dxa"/>
            <w:tcBorders>
              <w:top w:val="nil"/>
              <w:left w:val="nil"/>
              <w:bottom w:val="nil"/>
              <w:right w:val="nil"/>
            </w:tcBorders>
            <w:shd w:val="clear" w:color="auto" w:fill="auto"/>
            <w:noWrap/>
            <w:vAlign w:val="bottom"/>
            <w:hideMark/>
          </w:tcPr>
          <w:p w14:paraId="7F03A19B" w14:textId="77777777" w:rsidR="002F53B7" w:rsidRPr="000A1858" w:rsidRDefault="002F53B7" w:rsidP="002F53B7">
            <w:pPr>
              <w:spacing w:after="0" w:line="240" w:lineRule="auto"/>
              <w:jc w:val="center"/>
              <w:rPr>
                <w:rFonts w:ascii="Calibri" w:eastAsia="Times New Roman" w:hAnsi="Calibri" w:cs="Calibri"/>
                <w:color w:val="000000"/>
                <w:sz w:val="22"/>
              </w:rPr>
            </w:pPr>
            <w:r w:rsidRPr="000A1858">
              <w:rPr>
                <w:rFonts w:ascii="Calibri" w:eastAsia="Times New Roman" w:hAnsi="Calibri" w:cs="Calibri"/>
                <w:color w:val="000000"/>
                <w:sz w:val="22"/>
              </w:rPr>
              <w:t>PNE Share</w:t>
            </w:r>
          </w:p>
        </w:tc>
        <w:tc>
          <w:tcPr>
            <w:tcW w:w="1376" w:type="dxa"/>
            <w:tcBorders>
              <w:top w:val="nil"/>
              <w:left w:val="nil"/>
              <w:bottom w:val="nil"/>
              <w:right w:val="nil"/>
            </w:tcBorders>
            <w:shd w:val="clear" w:color="auto" w:fill="auto"/>
            <w:noWrap/>
            <w:vAlign w:val="bottom"/>
            <w:hideMark/>
          </w:tcPr>
          <w:p w14:paraId="495BA168" w14:textId="77777777" w:rsidR="002F53B7" w:rsidRPr="000A1858" w:rsidRDefault="002F53B7" w:rsidP="002F53B7">
            <w:pPr>
              <w:spacing w:after="0" w:line="240" w:lineRule="auto"/>
              <w:jc w:val="center"/>
              <w:rPr>
                <w:rFonts w:ascii="Calibri" w:eastAsia="Times New Roman" w:hAnsi="Calibri" w:cs="Calibri"/>
                <w:color w:val="000000"/>
                <w:sz w:val="22"/>
              </w:rPr>
            </w:pPr>
            <w:r w:rsidRPr="000A1858">
              <w:rPr>
                <w:rFonts w:ascii="Calibri" w:eastAsia="Times New Roman" w:hAnsi="Calibri" w:cs="Calibri"/>
                <w:color w:val="000000"/>
                <w:sz w:val="22"/>
              </w:rPr>
              <w:t>Sector</w:t>
            </w:r>
          </w:p>
        </w:tc>
        <w:tc>
          <w:tcPr>
            <w:tcW w:w="1276" w:type="dxa"/>
            <w:tcBorders>
              <w:top w:val="nil"/>
              <w:left w:val="nil"/>
              <w:bottom w:val="nil"/>
              <w:right w:val="nil"/>
            </w:tcBorders>
            <w:shd w:val="clear" w:color="auto" w:fill="auto"/>
            <w:noWrap/>
            <w:vAlign w:val="bottom"/>
            <w:hideMark/>
          </w:tcPr>
          <w:p w14:paraId="5B4BF469" w14:textId="77777777" w:rsidR="002F53B7" w:rsidRPr="000A1858" w:rsidRDefault="002F53B7" w:rsidP="002F53B7">
            <w:pPr>
              <w:spacing w:after="0" w:line="240" w:lineRule="auto"/>
              <w:jc w:val="center"/>
              <w:rPr>
                <w:rFonts w:ascii="Calibri" w:eastAsia="Times New Roman" w:hAnsi="Calibri" w:cs="Calibri"/>
                <w:color w:val="000000"/>
                <w:sz w:val="22"/>
              </w:rPr>
            </w:pPr>
            <w:r w:rsidRPr="000A1858">
              <w:rPr>
                <w:rFonts w:ascii="Calibri" w:eastAsia="Times New Roman" w:hAnsi="Calibri" w:cs="Calibri"/>
                <w:color w:val="000000"/>
                <w:sz w:val="22"/>
              </w:rPr>
              <w:t>Percentage</w:t>
            </w:r>
          </w:p>
        </w:tc>
        <w:tc>
          <w:tcPr>
            <w:tcW w:w="976" w:type="dxa"/>
            <w:tcBorders>
              <w:top w:val="nil"/>
              <w:left w:val="nil"/>
              <w:bottom w:val="nil"/>
              <w:right w:val="nil"/>
            </w:tcBorders>
            <w:shd w:val="clear" w:color="auto" w:fill="auto"/>
            <w:noWrap/>
            <w:vAlign w:val="bottom"/>
            <w:hideMark/>
          </w:tcPr>
          <w:p w14:paraId="0BEC53FD" w14:textId="77777777" w:rsidR="002F53B7" w:rsidRPr="000A1858" w:rsidRDefault="002F53B7" w:rsidP="002F53B7">
            <w:pPr>
              <w:spacing w:after="0" w:line="240" w:lineRule="auto"/>
              <w:jc w:val="center"/>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045EBD59" w14:textId="77777777" w:rsidR="002F53B7" w:rsidRPr="000A1858" w:rsidRDefault="002F53B7" w:rsidP="002F53B7">
            <w:pPr>
              <w:spacing w:after="0" w:line="240" w:lineRule="auto"/>
              <w:rPr>
                <w:rFonts w:eastAsia="Times New Roman" w:cs="Times New Roman"/>
                <w:sz w:val="20"/>
                <w:szCs w:val="20"/>
              </w:rPr>
            </w:pPr>
          </w:p>
        </w:tc>
      </w:tr>
      <w:tr w:rsidR="002F53B7" w:rsidRPr="000A1858" w14:paraId="6D654569" w14:textId="77777777" w:rsidTr="002F53B7">
        <w:trPr>
          <w:trHeight w:val="290"/>
        </w:trPr>
        <w:tc>
          <w:tcPr>
            <w:tcW w:w="1042" w:type="dxa"/>
            <w:tcBorders>
              <w:top w:val="nil"/>
              <w:left w:val="nil"/>
              <w:bottom w:val="nil"/>
              <w:right w:val="nil"/>
            </w:tcBorders>
            <w:shd w:val="clear" w:color="auto" w:fill="auto"/>
            <w:noWrap/>
            <w:vAlign w:val="bottom"/>
            <w:hideMark/>
          </w:tcPr>
          <w:p w14:paraId="323BF3E2"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107F679"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98763D6"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0A0DE775"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2751765" w14:textId="77777777" w:rsidR="002F53B7" w:rsidRPr="000A1858" w:rsidRDefault="002F53B7" w:rsidP="002F53B7">
            <w:pPr>
              <w:spacing w:after="0" w:line="240" w:lineRule="auto"/>
              <w:rPr>
                <w:rFonts w:eastAsia="Times New Roman" w:cs="Times New Roman"/>
                <w:sz w:val="20"/>
                <w:szCs w:val="20"/>
              </w:rPr>
            </w:pPr>
          </w:p>
        </w:tc>
        <w:tc>
          <w:tcPr>
            <w:tcW w:w="1396" w:type="dxa"/>
            <w:tcBorders>
              <w:top w:val="nil"/>
              <w:left w:val="nil"/>
              <w:bottom w:val="nil"/>
              <w:right w:val="nil"/>
            </w:tcBorders>
            <w:shd w:val="clear" w:color="auto" w:fill="auto"/>
            <w:noWrap/>
            <w:vAlign w:val="bottom"/>
            <w:hideMark/>
          </w:tcPr>
          <w:p w14:paraId="710F57C1" w14:textId="77777777" w:rsidR="002F53B7" w:rsidRPr="000A1858" w:rsidRDefault="002F53B7" w:rsidP="002F53B7">
            <w:pPr>
              <w:spacing w:after="0" w:line="240" w:lineRule="auto"/>
              <w:jc w:val="center"/>
              <w:rPr>
                <w:rFonts w:ascii="Calibri" w:eastAsia="Times New Roman" w:hAnsi="Calibri" w:cs="Calibri"/>
                <w:color w:val="000000"/>
                <w:sz w:val="22"/>
              </w:rPr>
            </w:pPr>
            <w:r w:rsidRPr="000A1858">
              <w:rPr>
                <w:rFonts w:ascii="Calibri" w:eastAsia="Times New Roman" w:hAnsi="Calibri" w:cs="Calibri"/>
                <w:color w:val="000000"/>
                <w:sz w:val="22"/>
              </w:rPr>
              <w:t>Income</w:t>
            </w:r>
          </w:p>
        </w:tc>
        <w:tc>
          <w:tcPr>
            <w:tcW w:w="1296" w:type="dxa"/>
            <w:tcBorders>
              <w:top w:val="nil"/>
              <w:left w:val="nil"/>
              <w:bottom w:val="nil"/>
              <w:right w:val="nil"/>
            </w:tcBorders>
            <w:shd w:val="clear" w:color="auto" w:fill="auto"/>
            <w:noWrap/>
            <w:vAlign w:val="bottom"/>
            <w:hideMark/>
          </w:tcPr>
          <w:p w14:paraId="74A66DB0" w14:textId="77777777" w:rsidR="002F53B7" w:rsidRPr="000A1858" w:rsidRDefault="002F53B7" w:rsidP="002F53B7">
            <w:pPr>
              <w:spacing w:after="0" w:line="240" w:lineRule="auto"/>
              <w:jc w:val="center"/>
              <w:rPr>
                <w:rFonts w:ascii="Calibri" w:eastAsia="Times New Roman" w:hAnsi="Calibri" w:cs="Calibri"/>
                <w:color w:val="000000"/>
                <w:sz w:val="22"/>
              </w:rPr>
            </w:pPr>
            <w:r w:rsidRPr="000A1858">
              <w:rPr>
                <w:rFonts w:ascii="Calibri" w:eastAsia="Times New Roman" w:hAnsi="Calibri" w:cs="Calibri"/>
                <w:color w:val="000000"/>
                <w:sz w:val="22"/>
              </w:rPr>
              <w:t>Nominal</w:t>
            </w:r>
          </w:p>
        </w:tc>
        <w:tc>
          <w:tcPr>
            <w:tcW w:w="1436" w:type="dxa"/>
            <w:tcBorders>
              <w:top w:val="nil"/>
              <w:left w:val="nil"/>
              <w:bottom w:val="nil"/>
              <w:right w:val="nil"/>
            </w:tcBorders>
            <w:shd w:val="clear" w:color="auto" w:fill="auto"/>
            <w:noWrap/>
            <w:vAlign w:val="bottom"/>
            <w:hideMark/>
          </w:tcPr>
          <w:p w14:paraId="2FCAEC67" w14:textId="77777777" w:rsidR="002F53B7" w:rsidRPr="000A1858" w:rsidRDefault="002F53B7" w:rsidP="002F53B7">
            <w:pPr>
              <w:spacing w:after="0" w:line="240" w:lineRule="auto"/>
              <w:jc w:val="center"/>
              <w:rPr>
                <w:rFonts w:ascii="Calibri" w:eastAsia="Times New Roman" w:hAnsi="Calibri" w:cs="Calibri"/>
                <w:color w:val="000000"/>
                <w:sz w:val="22"/>
              </w:rPr>
            </w:pPr>
            <w:r w:rsidRPr="000A1858">
              <w:rPr>
                <w:rFonts w:ascii="Calibri" w:eastAsia="Times New Roman" w:hAnsi="Calibri" w:cs="Calibri"/>
                <w:color w:val="000000"/>
                <w:sz w:val="22"/>
              </w:rPr>
              <w:t>Income</w:t>
            </w:r>
          </w:p>
        </w:tc>
        <w:tc>
          <w:tcPr>
            <w:tcW w:w="1236" w:type="dxa"/>
            <w:tcBorders>
              <w:top w:val="nil"/>
              <w:left w:val="nil"/>
              <w:bottom w:val="nil"/>
              <w:right w:val="nil"/>
            </w:tcBorders>
            <w:shd w:val="clear" w:color="auto" w:fill="auto"/>
            <w:noWrap/>
            <w:vAlign w:val="bottom"/>
            <w:hideMark/>
          </w:tcPr>
          <w:p w14:paraId="16DC01D0" w14:textId="77777777" w:rsidR="002F53B7" w:rsidRPr="000A1858" w:rsidRDefault="002F53B7" w:rsidP="002F53B7">
            <w:pPr>
              <w:spacing w:after="0" w:line="240" w:lineRule="auto"/>
              <w:jc w:val="center"/>
              <w:rPr>
                <w:rFonts w:ascii="Calibri" w:eastAsia="Times New Roman" w:hAnsi="Calibri" w:cs="Calibri"/>
                <w:color w:val="000000"/>
                <w:sz w:val="22"/>
              </w:rPr>
            </w:pPr>
            <w:r w:rsidRPr="000A1858">
              <w:rPr>
                <w:rFonts w:ascii="Calibri" w:eastAsia="Times New Roman" w:hAnsi="Calibri" w:cs="Calibri"/>
                <w:color w:val="000000"/>
                <w:sz w:val="22"/>
              </w:rPr>
              <w:t>Nominal</w:t>
            </w:r>
          </w:p>
        </w:tc>
        <w:tc>
          <w:tcPr>
            <w:tcW w:w="1376" w:type="dxa"/>
            <w:tcBorders>
              <w:top w:val="nil"/>
              <w:left w:val="nil"/>
              <w:bottom w:val="nil"/>
              <w:right w:val="nil"/>
            </w:tcBorders>
            <w:shd w:val="clear" w:color="auto" w:fill="auto"/>
            <w:noWrap/>
            <w:vAlign w:val="bottom"/>
            <w:hideMark/>
          </w:tcPr>
          <w:p w14:paraId="113E4C9A" w14:textId="77777777" w:rsidR="002F53B7" w:rsidRPr="000A1858" w:rsidRDefault="002F53B7" w:rsidP="002F53B7">
            <w:pPr>
              <w:spacing w:after="0" w:line="240" w:lineRule="auto"/>
              <w:jc w:val="center"/>
              <w:rPr>
                <w:rFonts w:ascii="Calibri" w:eastAsia="Times New Roman" w:hAnsi="Calibri" w:cs="Calibri"/>
                <w:color w:val="000000"/>
                <w:sz w:val="22"/>
              </w:rPr>
            </w:pPr>
            <w:r w:rsidRPr="000A1858">
              <w:rPr>
                <w:rFonts w:ascii="Calibri" w:eastAsia="Times New Roman" w:hAnsi="Calibri" w:cs="Calibri"/>
                <w:color w:val="000000"/>
                <w:sz w:val="22"/>
              </w:rPr>
              <w:t>TFP</w:t>
            </w:r>
          </w:p>
        </w:tc>
        <w:tc>
          <w:tcPr>
            <w:tcW w:w="1276" w:type="dxa"/>
            <w:tcBorders>
              <w:top w:val="nil"/>
              <w:left w:val="nil"/>
              <w:bottom w:val="nil"/>
              <w:right w:val="nil"/>
            </w:tcBorders>
            <w:shd w:val="clear" w:color="auto" w:fill="auto"/>
            <w:noWrap/>
            <w:vAlign w:val="bottom"/>
            <w:hideMark/>
          </w:tcPr>
          <w:p w14:paraId="1E0D60BA" w14:textId="77777777" w:rsidR="002F53B7" w:rsidRPr="000A1858" w:rsidRDefault="002F53B7" w:rsidP="002F53B7">
            <w:pPr>
              <w:spacing w:after="0" w:line="240" w:lineRule="auto"/>
              <w:jc w:val="center"/>
              <w:rPr>
                <w:rFonts w:ascii="Calibri" w:eastAsia="Times New Roman" w:hAnsi="Calibri" w:cs="Calibri"/>
                <w:color w:val="000000"/>
                <w:sz w:val="22"/>
              </w:rPr>
            </w:pPr>
            <w:r w:rsidRPr="000A1858">
              <w:rPr>
                <w:rFonts w:ascii="Calibri" w:eastAsia="Times New Roman" w:hAnsi="Calibri" w:cs="Calibri"/>
                <w:color w:val="000000"/>
                <w:sz w:val="22"/>
              </w:rPr>
              <w:t>Point Contrib.</w:t>
            </w:r>
          </w:p>
        </w:tc>
        <w:tc>
          <w:tcPr>
            <w:tcW w:w="976" w:type="dxa"/>
            <w:tcBorders>
              <w:top w:val="nil"/>
              <w:left w:val="nil"/>
              <w:bottom w:val="nil"/>
              <w:right w:val="nil"/>
            </w:tcBorders>
            <w:shd w:val="clear" w:color="auto" w:fill="auto"/>
            <w:noWrap/>
            <w:vAlign w:val="bottom"/>
            <w:hideMark/>
          </w:tcPr>
          <w:p w14:paraId="02447C91" w14:textId="77777777" w:rsidR="002F53B7" w:rsidRPr="000A1858" w:rsidRDefault="002F53B7" w:rsidP="002F53B7">
            <w:pPr>
              <w:spacing w:after="0" w:line="240" w:lineRule="auto"/>
              <w:jc w:val="center"/>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186B749C" w14:textId="77777777" w:rsidR="002F53B7" w:rsidRPr="000A1858" w:rsidRDefault="002F53B7" w:rsidP="002F53B7">
            <w:pPr>
              <w:spacing w:after="0" w:line="240" w:lineRule="auto"/>
              <w:rPr>
                <w:rFonts w:eastAsia="Times New Roman" w:cs="Times New Roman"/>
                <w:sz w:val="20"/>
                <w:szCs w:val="20"/>
              </w:rPr>
            </w:pPr>
          </w:p>
        </w:tc>
      </w:tr>
      <w:tr w:rsidR="002F53B7" w:rsidRPr="000A1858" w14:paraId="6E816A94" w14:textId="77777777" w:rsidTr="002F53B7">
        <w:trPr>
          <w:trHeight w:val="290"/>
        </w:trPr>
        <w:tc>
          <w:tcPr>
            <w:tcW w:w="1042" w:type="dxa"/>
            <w:tcBorders>
              <w:top w:val="nil"/>
              <w:left w:val="nil"/>
              <w:bottom w:val="nil"/>
              <w:right w:val="nil"/>
            </w:tcBorders>
            <w:shd w:val="clear" w:color="auto" w:fill="auto"/>
            <w:noWrap/>
            <w:vAlign w:val="bottom"/>
            <w:hideMark/>
          </w:tcPr>
          <w:p w14:paraId="6124BB96"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93D5FCE"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2913469"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7945A11"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1500150" w14:textId="77777777" w:rsidR="002F53B7" w:rsidRPr="000A1858" w:rsidRDefault="002F53B7" w:rsidP="002F53B7">
            <w:pPr>
              <w:spacing w:after="0" w:line="240" w:lineRule="auto"/>
              <w:rPr>
                <w:rFonts w:eastAsia="Times New Roman" w:cs="Times New Roman"/>
                <w:sz w:val="20"/>
                <w:szCs w:val="20"/>
              </w:rPr>
            </w:pPr>
          </w:p>
        </w:tc>
        <w:tc>
          <w:tcPr>
            <w:tcW w:w="1396" w:type="dxa"/>
            <w:tcBorders>
              <w:top w:val="nil"/>
              <w:left w:val="nil"/>
              <w:bottom w:val="nil"/>
              <w:right w:val="nil"/>
            </w:tcBorders>
            <w:shd w:val="clear" w:color="auto" w:fill="auto"/>
            <w:noWrap/>
            <w:vAlign w:val="bottom"/>
            <w:hideMark/>
          </w:tcPr>
          <w:p w14:paraId="054F2A51" w14:textId="77777777" w:rsidR="002F53B7" w:rsidRPr="000A1858" w:rsidRDefault="002F53B7" w:rsidP="002F53B7">
            <w:pPr>
              <w:spacing w:after="0" w:line="240" w:lineRule="auto"/>
              <w:jc w:val="center"/>
              <w:rPr>
                <w:rFonts w:ascii="Calibri" w:eastAsia="Times New Roman" w:hAnsi="Calibri" w:cs="Calibri"/>
                <w:color w:val="000000"/>
                <w:sz w:val="22"/>
              </w:rPr>
            </w:pPr>
            <w:r w:rsidRPr="000A1858">
              <w:rPr>
                <w:rFonts w:ascii="Calibri" w:eastAsia="Times New Roman" w:hAnsi="Calibri" w:cs="Calibri"/>
                <w:color w:val="000000"/>
                <w:sz w:val="22"/>
              </w:rPr>
              <w:t>(billion $)</w:t>
            </w:r>
          </w:p>
        </w:tc>
        <w:tc>
          <w:tcPr>
            <w:tcW w:w="1296" w:type="dxa"/>
            <w:tcBorders>
              <w:top w:val="nil"/>
              <w:left w:val="nil"/>
              <w:bottom w:val="nil"/>
              <w:right w:val="nil"/>
            </w:tcBorders>
            <w:shd w:val="clear" w:color="auto" w:fill="auto"/>
            <w:noWrap/>
            <w:vAlign w:val="bottom"/>
            <w:hideMark/>
          </w:tcPr>
          <w:p w14:paraId="49170725" w14:textId="77777777" w:rsidR="002F53B7" w:rsidRPr="000A1858" w:rsidRDefault="002F53B7" w:rsidP="002F53B7">
            <w:pPr>
              <w:spacing w:after="0" w:line="240" w:lineRule="auto"/>
              <w:jc w:val="center"/>
              <w:rPr>
                <w:rFonts w:ascii="Calibri" w:eastAsia="Times New Roman" w:hAnsi="Calibri" w:cs="Calibri"/>
                <w:color w:val="000000"/>
                <w:sz w:val="22"/>
              </w:rPr>
            </w:pPr>
            <w:r w:rsidRPr="000A1858">
              <w:rPr>
                <w:rFonts w:ascii="Calibri" w:eastAsia="Times New Roman" w:hAnsi="Calibri" w:cs="Calibri"/>
                <w:color w:val="000000"/>
                <w:sz w:val="22"/>
              </w:rPr>
              <w:t>Income</w:t>
            </w:r>
          </w:p>
        </w:tc>
        <w:tc>
          <w:tcPr>
            <w:tcW w:w="1436" w:type="dxa"/>
            <w:tcBorders>
              <w:top w:val="nil"/>
              <w:left w:val="nil"/>
              <w:bottom w:val="nil"/>
              <w:right w:val="nil"/>
            </w:tcBorders>
            <w:shd w:val="clear" w:color="auto" w:fill="auto"/>
            <w:noWrap/>
            <w:vAlign w:val="bottom"/>
            <w:hideMark/>
          </w:tcPr>
          <w:p w14:paraId="1379E63E" w14:textId="77777777" w:rsidR="002F53B7" w:rsidRPr="000A1858" w:rsidRDefault="002F53B7" w:rsidP="002F53B7">
            <w:pPr>
              <w:spacing w:after="0" w:line="240" w:lineRule="auto"/>
              <w:jc w:val="center"/>
              <w:rPr>
                <w:rFonts w:ascii="Calibri" w:eastAsia="Times New Roman" w:hAnsi="Calibri" w:cs="Calibri"/>
                <w:color w:val="000000"/>
                <w:sz w:val="22"/>
              </w:rPr>
            </w:pPr>
            <w:r w:rsidRPr="000A1858">
              <w:rPr>
                <w:rFonts w:ascii="Calibri" w:eastAsia="Times New Roman" w:hAnsi="Calibri" w:cs="Calibri"/>
                <w:color w:val="000000"/>
                <w:sz w:val="22"/>
              </w:rPr>
              <w:t>(billion $)</w:t>
            </w:r>
          </w:p>
        </w:tc>
        <w:tc>
          <w:tcPr>
            <w:tcW w:w="1236" w:type="dxa"/>
            <w:tcBorders>
              <w:top w:val="nil"/>
              <w:left w:val="nil"/>
              <w:bottom w:val="nil"/>
              <w:right w:val="nil"/>
            </w:tcBorders>
            <w:shd w:val="clear" w:color="auto" w:fill="auto"/>
            <w:noWrap/>
            <w:vAlign w:val="bottom"/>
            <w:hideMark/>
          </w:tcPr>
          <w:p w14:paraId="46829D28" w14:textId="77777777" w:rsidR="002F53B7" w:rsidRPr="000A1858" w:rsidRDefault="002F53B7" w:rsidP="002F53B7">
            <w:pPr>
              <w:spacing w:after="0" w:line="240" w:lineRule="auto"/>
              <w:jc w:val="center"/>
              <w:rPr>
                <w:rFonts w:ascii="Calibri" w:eastAsia="Times New Roman" w:hAnsi="Calibri" w:cs="Calibri"/>
                <w:color w:val="000000"/>
                <w:sz w:val="22"/>
              </w:rPr>
            </w:pPr>
            <w:r w:rsidRPr="000A1858">
              <w:rPr>
                <w:rFonts w:ascii="Calibri" w:eastAsia="Times New Roman" w:hAnsi="Calibri" w:cs="Calibri"/>
                <w:color w:val="000000"/>
                <w:sz w:val="22"/>
              </w:rPr>
              <w:t>Income</w:t>
            </w:r>
          </w:p>
        </w:tc>
        <w:tc>
          <w:tcPr>
            <w:tcW w:w="1376" w:type="dxa"/>
            <w:tcBorders>
              <w:top w:val="nil"/>
              <w:left w:val="nil"/>
              <w:bottom w:val="nil"/>
              <w:right w:val="nil"/>
            </w:tcBorders>
            <w:shd w:val="clear" w:color="auto" w:fill="auto"/>
            <w:noWrap/>
            <w:vAlign w:val="bottom"/>
            <w:hideMark/>
          </w:tcPr>
          <w:p w14:paraId="1BD3F00F" w14:textId="77777777" w:rsidR="002F53B7" w:rsidRPr="000A1858" w:rsidRDefault="002F53B7" w:rsidP="002F53B7">
            <w:pPr>
              <w:spacing w:after="0" w:line="240" w:lineRule="auto"/>
              <w:jc w:val="center"/>
              <w:rPr>
                <w:rFonts w:ascii="Calibri" w:eastAsia="Times New Roman" w:hAnsi="Calibri" w:cs="Calibri"/>
                <w:color w:val="000000"/>
                <w:sz w:val="22"/>
              </w:rPr>
            </w:pPr>
            <w:r w:rsidRPr="000A1858">
              <w:rPr>
                <w:rFonts w:ascii="Calibri" w:eastAsia="Times New Roman" w:hAnsi="Calibri" w:cs="Calibri"/>
                <w:color w:val="000000"/>
                <w:sz w:val="22"/>
              </w:rPr>
              <w:t>Growth</w:t>
            </w:r>
          </w:p>
        </w:tc>
        <w:tc>
          <w:tcPr>
            <w:tcW w:w="1276" w:type="dxa"/>
            <w:tcBorders>
              <w:top w:val="nil"/>
              <w:left w:val="nil"/>
              <w:bottom w:val="nil"/>
              <w:right w:val="nil"/>
            </w:tcBorders>
            <w:shd w:val="clear" w:color="auto" w:fill="auto"/>
            <w:noWrap/>
            <w:vAlign w:val="bottom"/>
            <w:hideMark/>
          </w:tcPr>
          <w:p w14:paraId="2CAD31D6" w14:textId="77777777" w:rsidR="002F53B7" w:rsidRPr="000A1858" w:rsidRDefault="002F53B7" w:rsidP="002F53B7">
            <w:pPr>
              <w:spacing w:after="0" w:line="240" w:lineRule="auto"/>
              <w:jc w:val="center"/>
              <w:rPr>
                <w:rFonts w:ascii="Calibri" w:eastAsia="Times New Roman" w:hAnsi="Calibri" w:cs="Calibri"/>
                <w:color w:val="000000"/>
                <w:sz w:val="22"/>
              </w:rPr>
            </w:pPr>
            <w:r w:rsidRPr="000A1858">
              <w:rPr>
                <w:rFonts w:ascii="Calibri" w:eastAsia="Times New Roman" w:hAnsi="Calibri" w:cs="Calibri"/>
                <w:color w:val="000000"/>
                <w:sz w:val="22"/>
              </w:rPr>
              <w:t>to PNE TFP</w:t>
            </w:r>
          </w:p>
        </w:tc>
        <w:tc>
          <w:tcPr>
            <w:tcW w:w="976" w:type="dxa"/>
            <w:tcBorders>
              <w:top w:val="nil"/>
              <w:left w:val="nil"/>
              <w:bottom w:val="nil"/>
              <w:right w:val="nil"/>
            </w:tcBorders>
            <w:shd w:val="clear" w:color="auto" w:fill="auto"/>
            <w:noWrap/>
            <w:vAlign w:val="bottom"/>
            <w:hideMark/>
          </w:tcPr>
          <w:p w14:paraId="0B5DB60A" w14:textId="77777777" w:rsidR="002F53B7" w:rsidRPr="000A1858" w:rsidRDefault="002F53B7" w:rsidP="002F53B7">
            <w:pPr>
              <w:spacing w:after="0" w:line="240" w:lineRule="auto"/>
              <w:jc w:val="center"/>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251D4233" w14:textId="77777777" w:rsidR="002F53B7" w:rsidRPr="000A1858" w:rsidRDefault="002F53B7" w:rsidP="002F53B7">
            <w:pPr>
              <w:spacing w:after="0" w:line="240" w:lineRule="auto"/>
              <w:rPr>
                <w:rFonts w:eastAsia="Times New Roman" w:cs="Times New Roman"/>
                <w:sz w:val="20"/>
                <w:szCs w:val="20"/>
              </w:rPr>
            </w:pPr>
          </w:p>
        </w:tc>
      </w:tr>
      <w:tr w:rsidR="002F53B7" w:rsidRPr="000A1858" w14:paraId="651A6E64" w14:textId="77777777" w:rsidTr="002F53B7">
        <w:trPr>
          <w:trHeight w:val="290"/>
        </w:trPr>
        <w:tc>
          <w:tcPr>
            <w:tcW w:w="1042" w:type="dxa"/>
            <w:tcBorders>
              <w:top w:val="nil"/>
              <w:left w:val="nil"/>
              <w:bottom w:val="nil"/>
              <w:right w:val="nil"/>
            </w:tcBorders>
            <w:shd w:val="clear" w:color="auto" w:fill="auto"/>
            <w:noWrap/>
            <w:vAlign w:val="bottom"/>
            <w:hideMark/>
          </w:tcPr>
          <w:p w14:paraId="75E2979D"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0DF58F3"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3641FF1"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32A4D33"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8E05F8A" w14:textId="77777777" w:rsidR="002F53B7" w:rsidRPr="000A1858" w:rsidRDefault="002F53B7" w:rsidP="002F53B7">
            <w:pPr>
              <w:spacing w:after="0" w:line="240" w:lineRule="auto"/>
              <w:rPr>
                <w:rFonts w:eastAsia="Times New Roman" w:cs="Times New Roman"/>
                <w:sz w:val="20"/>
                <w:szCs w:val="20"/>
              </w:rPr>
            </w:pPr>
          </w:p>
        </w:tc>
        <w:tc>
          <w:tcPr>
            <w:tcW w:w="1396" w:type="dxa"/>
            <w:tcBorders>
              <w:top w:val="nil"/>
              <w:left w:val="nil"/>
              <w:bottom w:val="nil"/>
              <w:right w:val="nil"/>
            </w:tcBorders>
            <w:shd w:val="clear" w:color="auto" w:fill="auto"/>
            <w:noWrap/>
            <w:vAlign w:val="bottom"/>
            <w:hideMark/>
          </w:tcPr>
          <w:p w14:paraId="32BE0BF2" w14:textId="77777777" w:rsidR="002F53B7" w:rsidRPr="000A1858" w:rsidRDefault="002F53B7" w:rsidP="002F53B7">
            <w:pPr>
              <w:spacing w:after="0" w:line="240" w:lineRule="auto"/>
              <w:rPr>
                <w:rFonts w:eastAsia="Times New Roman" w:cs="Times New Roman"/>
                <w:sz w:val="20"/>
                <w:szCs w:val="20"/>
              </w:rPr>
            </w:pPr>
          </w:p>
        </w:tc>
        <w:tc>
          <w:tcPr>
            <w:tcW w:w="1296" w:type="dxa"/>
            <w:tcBorders>
              <w:top w:val="nil"/>
              <w:left w:val="nil"/>
              <w:bottom w:val="nil"/>
              <w:right w:val="nil"/>
            </w:tcBorders>
            <w:shd w:val="clear" w:color="auto" w:fill="auto"/>
            <w:noWrap/>
            <w:vAlign w:val="bottom"/>
            <w:hideMark/>
          </w:tcPr>
          <w:p w14:paraId="3FDD2273" w14:textId="77777777" w:rsidR="002F53B7" w:rsidRPr="000A1858" w:rsidRDefault="002F53B7" w:rsidP="002F53B7">
            <w:pPr>
              <w:spacing w:after="0" w:line="240" w:lineRule="auto"/>
              <w:rPr>
                <w:rFonts w:eastAsia="Times New Roman" w:cs="Times New Roman"/>
                <w:sz w:val="20"/>
                <w:szCs w:val="20"/>
              </w:rPr>
            </w:pPr>
          </w:p>
        </w:tc>
        <w:tc>
          <w:tcPr>
            <w:tcW w:w="1436" w:type="dxa"/>
            <w:tcBorders>
              <w:top w:val="nil"/>
              <w:left w:val="nil"/>
              <w:bottom w:val="nil"/>
              <w:right w:val="nil"/>
            </w:tcBorders>
            <w:shd w:val="clear" w:color="auto" w:fill="auto"/>
            <w:noWrap/>
            <w:vAlign w:val="bottom"/>
            <w:hideMark/>
          </w:tcPr>
          <w:p w14:paraId="217F5FF5" w14:textId="77777777" w:rsidR="002F53B7" w:rsidRPr="000A1858" w:rsidRDefault="002F53B7" w:rsidP="002F53B7">
            <w:pPr>
              <w:spacing w:after="0" w:line="240" w:lineRule="auto"/>
              <w:rPr>
                <w:rFonts w:eastAsia="Times New Roman" w:cs="Times New Roman"/>
                <w:sz w:val="20"/>
                <w:szCs w:val="20"/>
              </w:rPr>
            </w:pPr>
          </w:p>
        </w:tc>
        <w:tc>
          <w:tcPr>
            <w:tcW w:w="1236" w:type="dxa"/>
            <w:tcBorders>
              <w:top w:val="nil"/>
              <w:left w:val="nil"/>
              <w:bottom w:val="nil"/>
              <w:right w:val="nil"/>
            </w:tcBorders>
            <w:shd w:val="clear" w:color="auto" w:fill="auto"/>
            <w:noWrap/>
            <w:vAlign w:val="bottom"/>
            <w:hideMark/>
          </w:tcPr>
          <w:p w14:paraId="2E910D1A" w14:textId="77777777" w:rsidR="002F53B7" w:rsidRPr="000A1858" w:rsidRDefault="002F53B7" w:rsidP="002F53B7">
            <w:pPr>
              <w:spacing w:after="0" w:line="240" w:lineRule="auto"/>
              <w:rPr>
                <w:rFonts w:eastAsia="Times New Roman" w:cs="Times New Roman"/>
                <w:sz w:val="20"/>
                <w:szCs w:val="20"/>
              </w:rPr>
            </w:pPr>
          </w:p>
        </w:tc>
        <w:tc>
          <w:tcPr>
            <w:tcW w:w="1376" w:type="dxa"/>
            <w:tcBorders>
              <w:top w:val="nil"/>
              <w:left w:val="nil"/>
              <w:bottom w:val="nil"/>
              <w:right w:val="nil"/>
            </w:tcBorders>
            <w:shd w:val="clear" w:color="auto" w:fill="auto"/>
            <w:noWrap/>
            <w:vAlign w:val="bottom"/>
            <w:hideMark/>
          </w:tcPr>
          <w:p w14:paraId="0DB062C9" w14:textId="77777777" w:rsidR="002F53B7" w:rsidRPr="000A1858" w:rsidRDefault="002F53B7" w:rsidP="002F53B7">
            <w:pPr>
              <w:spacing w:after="0" w:line="240" w:lineRule="auto"/>
              <w:rPr>
                <w:rFonts w:eastAsia="Times New Roman" w:cs="Times New Roman"/>
                <w:sz w:val="20"/>
                <w:szCs w:val="20"/>
              </w:rPr>
            </w:pPr>
          </w:p>
        </w:tc>
        <w:tc>
          <w:tcPr>
            <w:tcW w:w="1276" w:type="dxa"/>
            <w:tcBorders>
              <w:top w:val="nil"/>
              <w:left w:val="nil"/>
              <w:bottom w:val="nil"/>
              <w:right w:val="nil"/>
            </w:tcBorders>
            <w:shd w:val="clear" w:color="auto" w:fill="auto"/>
            <w:noWrap/>
            <w:vAlign w:val="bottom"/>
            <w:hideMark/>
          </w:tcPr>
          <w:p w14:paraId="42CA5F4F"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8B72C91"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635B2D5" w14:textId="77777777" w:rsidR="002F53B7" w:rsidRPr="000A1858" w:rsidRDefault="002F53B7" w:rsidP="002F53B7">
            <w:pPr>
              <w:spacing w:after="0" w:line="240" w:lineRule="auto"/>
              <w:rPr>
                <w:rFonts w:eastAsia="Times New Roman" w:cs="Times New Roman"/>
                <w:sz w:val="20"/>
                <w:szCs w:val="20"/>
              </w:rPr>
            </w:pPr>
          </w:p>
        </w:tc>
      </w:tr>
      <w:tr w:rsidR="002F53B7" w:rsidRPr="000A1858" w14:paraId="1F499278" w14:textId="77777777" w:rsidTr="002F53B7">
        <w:trPr>
          <w:trHeight w:val="290"/>
        </w:trPr>
        <w:tc>
          <w:tcPr>
            <w:tcW w:w="2018" w:type="dxa"/>
            <w:gridSpan w:val="2"/>
            <w:tcBorders>
              <w:top w:val="nil"/>
              <w:left w:val="nil"/>
              <w:bottom w:val="nil"/>
              <w:right w:val="nil"/>
            </w:tcBorders>
            <w:shd w:val="clear" w:color="auto" w:fill="auto"/>
            <w:noWrap/>
            <w:vAlign w:val="bottom"/>
            <w:hideMark/>
          </w:tcPr>
          <w:p w14:paraId="4209EA70" w14:textId="77777777" w:rsidR="002F53B7" w:rsidRPr="000A1858" w:rsidRDefault="002F53B7" w:rsidP="002F53B7">
            <w:pPr>
              <w:spacing w:after="0" w:line="240" w:lineRule="auto"/>
              <w:rPr>
                <w:rFonts w:ascii="Calibri" w:eastAsia="Times New Roman" w:hAnsi="Calibri" w:cs="Calibri"/>
                <w:color w:val="000000"/>
                <w:sz w:val="22"/>
              </w:rPr>
            </w:pPr>
            <w:r w:rsidRPr="000A1858">
              <w:rPr>
                <w:rFonts w:ascii="Calibri" w:eastAsia="Times New Roman" w:hAnsi="Calibri" w:cs="Calibri"/>
                <w:color w:val="000000"/>
                <w:sz w:val="22"/>
              </w:rPr>
              <w:t xml:space="preserve">All Industries </w:t>
            </w:r>
          </w:p>
        </w:tc>
        <w:tc>
          <w:tcPr>
            <w:tcW w:w="976" w:type="dxa"/>
            <w:tcBorders>
              <w:top w:val="nil"/>
              <w:left w:val="nil"/>
              <w:bottom w:val="nil"/>
              <w:right w:val="nil"/>
            </w:tcBorders>
            <w:shd w:val="clear" w:color="auto" w:fill="auto"/>
            <w:noWrap/>
            <w:vAlign w:val="bottom"/>
            <w:hideMark/>
          </w:tcPr>
          <w:p w14:paraId="1173AB0C" w14:textId="77777777" w:rsidR="002F53B7" w:rsidRPr="000A1858" w:rsidRDefault="002F53B7" w:rsidP="002F53B7">
            <w:pPr>
              <w:spacing w:after="0" w:line="240" w:lineRule="auto"/>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1D75B577"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7BF625C" w14:textId="77777777" w:rsidR="002F53B7" w:rsidRPr="000A1858" w:rsidRDefault="002F53B7" w:rsidP="002F53B7">
            <w:pPr>
              <w:spacing w:after="0" w:line="240" w:lineRule="auto"/>
              <w:rPr>
                <w:rFonts w:eastAsia="Times New Roman" w:cs="Times New Roman"/>
                <w:sz w:val="20"/>
                <w:szCs w:val="20"/>
              </w:rPr>
            </w:pPr>
          </w:p>
        </w:tc>
        <w:tc>
          <w:tcPr>
            <w:tcW w:w="1396" w:type="dxa"/>
            <w:tcBorders>
              <w:top w:val="nil"/>
              <w:left w:val="nil"/>
              <w:bottom w:val="nil"/>
              <w:right w:val="nil"/>
            </w:tcBorders>
            <w:shd w:val="clear" w:color="auto" w:fill="auto"/>
            <w:noWrap/>
            <w:vAlign w:val="bottom"/>
            <w:hideMark/>
          </w:tcPr>
          <w:p w14:paraId="142D2BE1"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104.2</w:t>
            </w:r>
          </w:p>
        </w:tc>
        <w:tc>
          <w:tcPr>
            <w:tcW w:w="1296" w:type="dxa"/>
            <w:tcBorders>
              <w:top w:val="nil"/>
              <w:left w:val="nil"/>
              <w:bottom w:val="nil"/>
              <w:right w:val="nil"/>
            </w:tcBorders>
            <w:shd w:val="clear" w:color="auto" w:fill="auto"/>
            <w:noWrap/>
            <w:vAlign w:val="bottom"/>
            <w:hideMark/>
          </w:tcPr>
          <w:p w14:paraId="23F92304" w14:textId="77777777" w:rsidR="002F53B7" w:rsidRPr="000A1858" w:rsidRDefault="002F53B7" w:rsidP="002F53B7">
            <w:pPr>
              <w:spacing w:after="0" w:line="240" w:lineRule="auto"/>
              <w:jc w:val="right"/>
              <w:rPr>
                <w:rFonts w:ascii="Calibri" w:eastAsia="Times New Roman" w:hAnsi="Calibri" w:cs="Calibri"/>
                <w:color w:val="000000"/>
                <w:sz w:val="22"/>
              </w:rPr>
            </w:pPr>
          </w:p>
        </w:tc>
        <w:tc>
          <w:tcPr>
            <w:tcW w:w="1436" w:type="dxa"/>
            <w:tcBorders>
              <w:top w:val="nil"/>
              <w:left w:val="nil"/>
              <w:bottom w:val="nil"/>
              <w:right w:val="nil"/>
            </w:tcBorders>
            <w:shd w:val="clear" w:color="auto" w:fill="auto"/>
            <w:noWrap/>
            <w:vAlign w:val="bottom"/>
            <w:hideMark/>
          </w:tcPr>
          <w:p w14:paraId="27C126D9"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224.2</w:t>
            </w:r>
          </w:p>
        </w:tc>
        <w:tc>
          <w:tcPr>
            <w:tcW w:w="1236" w:type="dxa"/>
            <w:tcBorders>
              <w:top w:val="nil"/>
              <w:left w:val="nil"/>
              <w:bottom w:val="nil"/>
              <w:right w:val="nil"/>
            </w:tcBorders>
            <w:shd w:val="clear" w:color="auto" w:fill="auto"/>
            <w:noWrap/>
            <w:vAlign w:val="bottom"/>
            <w:hideMark/>
          </w:tcPr>
          <w:p w14:paraId="37FC16DE" w14:textId="77777777" w:rsidR="002F53B7" w:rsidRPr="000A1858" w:rsidRDefault="002F53B7" w:rsidP="002F53B7">
            <w:pPr>
              <w:spacing w:after="0" w:line="240" w:lineRule="auto"/>
              <w:jc w:val="right"/>
              <w:rPr>
                <w:rFonts w:ascii="Calibri" w:eastAsia="Times New Roman" w:hAnsi="Calibri" w:cs="Calibri"/>
                <w:color w:val="000000"/>
                <w:sz w:val="22"/>
              </w:rPr>
            </w:pPr>
          </w:p>
        </w:tc>
        <w:tc>
          <w:tcPr>
            <w:tcW w:w="1376" w:type="dxa"/>
            <w:tcBorders>
              <w:top w:val="nil"/>
              <w:left w:val="nil"/>
              <w:bottom w:val="nil"/>
              <w:right w:val="nil"/>
            </w:tcBorders>
            <w:shd w:val="clear" w:color="auto" w:fill="auto"/>
            <w:noWrap/>
            <w:vAlign w:val="bottom"/>
            <w:hideMark/>
          </w:tcPr>
          <w:p w14:paraId="5D0619CA" w14:textId="77777777" w:rsidR="002F53B7" w:rsidRPr="000A1858" w:rsidRDefault="002F53B7" w:rsidP="002F53B7">
            <w:pPr>
              <w:spacing w:after="0" w:line="240" w:lineRule="auto"/>
              <w:rPr>
                <w:rFonts w:eastAsia="Times New Roman" w:cs="Times New Roman"/>
                <w:sz w:val="20"/>
                <w:szCs w:val="20"/>
              </w:rPr>
            </w:pPr>
          </w:p>
        </w:tc>
        <w:tc>
          <w:tcPr>
            <w:tcW w:w="1276" w:type="dxa"/>
            <w:tcBorders>
              <w:top w:val="nil"/>
              <w:left w:val="nil"/>
              <w:bottom w:val="nil"/>
              <w:right w:val="nil"/>
            </w:tcBorders>
            <w:shd w:val="clear" w:color="auto" w:fill="auto"/>
            <w:noWrap/>
            <w:vAlign w:val="bottom"/>
            <w:hideMark/>
          </w:tcPr>
          <w:p w14:paraId="4E183DBD"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3054FF5"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DD92ABE" w14:textId="77777777" w:rsidR="002F53B7" w:rsidRPr="000A1858" w:rsidRDefault="002F53B7" w:rsidP="002F53B7">
            <w:pPr>
              <w:spacing w:after="0" w:line="240" w:lineRule="auto"/>
              <w:rPr>
                <w:rFonts w:eastAsia="Times New Roman" w:cs="Times New Roman"/>
                <w:sz w:val="20"/>
                <w:szCs w:val="20"/>
              </w:rPr>
            </w:pPr>
          </w:p>
        </w:tc>
      </w:tr>
      <w:tr w:rsidR="002F53B7" w:rsidRPr="000A1858" w14:paraId="01EC004A" w14:textId="77777777" w:rsidTr="002F53B7">
        <w:trPr>
          <w:trHeight w:val="290"/>
        </w:trPr>
        <w:tc>
          <w:tcPr>
            <w:tcW w:w="4946" w:type="dxa"/>
            <w:gridSpan w:val="5"/>
            <w:tcBorders>
              <w:top w:val="nil"/>
              <w:left w:val="nil"/>
              <w:bottom w:val="nil"/>
              <w:right w:val="nil"/>
            </w:tcBorders>
            <w:shd w:val="clear" w:color="auto" w:fill="auto"/>
            <w:noWrap/>
            <w:vAlign w:val="bottom"/>
            <w:hideMark/>
          </w:tcPr>
          <w:p w14:paraId="6484B818" w14:textId="77777777" w:rsidR="002F53B7" w:rsidRPr="000A1858" w:rsidRDefault="002F53B7" w:rsidP="002F53B7">
            <w:pPr>
              <w:spacing w:after="0" w:line="240" w:lineRule="auto"/>
              <w:rPr>
                <w:rFonts w:ascii="Calibri" w:eastAsia="Times New Roman" w:hAnsi="Calibri" w:cs="Calibri"/>
                <w:color w:val="000000"/>
                <w:sz w:val="22"/>
              </w:rPr>
            </w:pPr>
            <w:r w:rsidRPr="000A1858">
              <w:rPr>
                <w:rFonts w:ascii="Calibri" w:eastAsia="Times New Roman" w:hAnsi="Calibri" w:cs="Calibri"/>
                <w:color w:val="000000"/>
                <w:sz w:val="22"/>
              </w:rPr>
              <w:t>Less Agri</w:t>
            </w:r>
            <w:r>
              <w:rPr>
                <w:rFonts w:ascii="Calibri" w:eastAsia="Times New Roman" w:hAnsi="Calibri" w:cs="Calibri"/>
                <w:color w:val="000000"/>
                <w:sz w:val="22"/>
              </w:rPr>
              <w:t>culture</w:t>
            </w:r>
            <w:r w:rsidRPr="000A1858">
              <w:rPr>
                <w:rFonts w:ascii="Calibri" w:eastAsia="Times New Roman" w:hAnsi="Calibri" w:cs="Calibri"/>
                <w:color w:val="000000"/>
                <w:sz w:val="22"/>
              </w:rPr>
              <w:t>, Forestry, Fisheries and Government</w:t>
            </w:r>
          </w:p>
        </w:tc>
        <w:tc>
          <w:tcPr>
            <w:tcW w:w="1396" w:type="dxa"/>
            <w:tcBorders>
              <w:top w:val="nil"/>
              <w:left w:val="nil"/>
              <w:bottom w:val="nil"/>
              <w:right w:val="nil"/>
            </w:tcBorders>
            <w:shd w:val="clear" w:color="auto" w:fill="auto"/>
            <w:noWrap/>
            <w:vAlign w:val="bottom"/>
            <w:hideMark/>
          </w:tcPr>
          <w:p w14:paraId="52975AE4"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85.3</w:t>
            </w:r>
          </w:p>
        </w:tc>
        <w:tc>
          <w:tcPr>
            <w:tcW w:w="1296" w:type="dxa"/>
            <w:tcBorders>
              <w:top w:val="nil"/>
              <w:left w:val="nil"/>
              <w:bottom w:val="nil"/>
              <w:right w:val="nil"/>
            </w:tcBorders>
            <w:shd w:val="clear" w:color="auto" w:fill="auto"/>
            <w:noWrap/>
            <w:vAlign w:val="bottom"/>
            <w:hideMark/>
          </w:tcPr>
          <w:p w14:paraId="1386C56E" w14:textId="77777777" w:rsidR="002F53B7" w:rsidRPr="000A1858" w:rsidRDefault="002F53B7" w:rsidP="002F53B7">
            <w:pPr>
              <w:spacing w:after="0" w:line="240" w:lineRule="auto"/>
              <w:jc w:val="right"/>
              <w:rPr>
                <w:rFonts w:ascii="Calibri" w:eastAsia="Times New Roman" w:hAnsi="Calibri" w:cs="Calibri"/>
                <w:color w:val="000000"/>
                <w:sz w:val="22"/>
              </w:rPr>
            </w:pPr>
          </w:p>
        </w:tc>
        <w:tc>
          <w:tcPr>
            <w:tcW w:w="1436" w:type="dxa"/>
            <w:tcBorders>
              <w:top w:val="nil"/>
              <w:left w:val="nil"/>
              <w:bottom w:val="nil"/>
              <w:right w:val="nil"/>
            </w:tcBorders>
            <w:shd w:val="clear" w:color="auto" w:fill="auto"/>
            <w:noWrap/>
            <w:vAlign w:val="bottom"/>
            <w:hideMark/>
          </w:tcPr>
          <w:p w14:paraId="3450D651"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182.8</w:t>
            </w:r>
          </w:p>
        </w:tc>
        <w:tc>
          <w:tcPr>
            <w:tcW w:w="1236" w:type="dxa"/>
            <w:tcBorders>
              <w:top w:val="nil"/>
              <w:left w:val="nil"/>
              <w:bottom w:val="nil"/>
              <w:right w:val="nil"/>
            </w:tcBorders>
            <w:shd w:val="clear" w:color="auto" w:fill="auto"/>
            <w:noWrap/>
            <w:vAlign w:val="bottom"/>
            <w:hideMark/>
          </w:tcPr>
          <w:p w14:paraId="1C3AB499" w14:textId="77777777" w:rsidR="002F53B7" w:rsidRPr="000A1858" w:rsidRDefault="002F53B7" w:rsidP="002F53B7">
            <w:pPr>
              <w:spacing w:after="0" w:line="240" w:lineRule="auto"/>
              <w:jc w:val="right"/>
              <w:rPr>
                <w:rFonts w:ascii="Calibri" w:eastAsia="Times New Roman" w:hAnsi="Calibri" w:cs="Calibri"/>
                <w:color w:val="000000"/>
                <w:sz w:val="22"/>
              </w:rPr>
            </w:pPr>
          </w:p>
        </w:tc>
        <w:tc>
          <w:tcPr>
            <w:tcW w:w="1376" w:type="dxa"/>
            <w:tcBorders>
              <w:top w:val="nil"/>
              <w:left w:val="nil"/>
              <w:bottom w:val="nil"/>
              <w:right w:val="nil"/>
            </w:tcBorders>
            <w:shd w:val="clear" w:color="auto" w:fill="auto"/>
            <w:noWrap/>
            <w:vAlign w:val="bottom"/>
            <w:hideMark/>
          </w:tcPr>
          <w:p w14:paraId="132F1CE3" w14:textId="77777777" w:rsidR="002F53B7" w:rsidRPr="000A1858" w:rsidRDefault="002F53B7" w:rsidP="002F53B7">
            <w:pPr>
              <w:spacing w:after="0" w:line="240" w:lineRule="auto"/>
              <w:rPr>
                <w:rFonts w:eastAsia="Times New Roman" w:cs="Times New Roman"/>
                <w:sz w:val="20"/>
                <w:szCs w:val="20"/>
              </w:rPr>
            </w:pPr>
          </w:p>
        </w:tc>
        <w:tc>
          <w:tcPr>
            <w:tcW w:w="1276" w:type="dxa"/>
            <w:tcBorders>
              <w:top w:val="nil"/>
              <w:left w:val="nil"/>
              <w:bottom w:val="nil"/>
              <w:right w:val="nil"/>
            </w:tcBorders>
            <w:shd w:val="clear" w:color="auto" w:fill="auto"/>
            <w:noWrap/>
            <w:vAlign w:val="bottom"/>
            <w:hideMark/>
          </w:tcPr>
          <w:p w14:paraId="1173F900"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92421E2"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A34AD5F" w14:textId="77777777" w:rsidR="002F53B7" w:rsidRPr="000A1858" w:rsidRDefault="002F53B7" w:rsidP="002F53B7">
            <w:pPr>
              <w:spacing w:after="0" w:line="240" w:lineRule="auto"/>
              <w:rPr>
                <w:rFonts w:eastAsia="Times New Roman" w:cs="Times New Roman"/>
                <w:sz w:val="20"/>
                <w:szCs w:val="20"/>
              </w:rPr>
            </w:pPr>
          </w:p>
        </w:tc>
      </w:tr>
      <w:tr w:rsidR="002F53B7" w:rsidRPr="000A1858" w14:paraId="225044DC" w14:textId="77777777" w:rsidTr="002F53B7">
        <w:trPr>
          <w:trHeight w:val="290"/>
        </w:trPr>
        <w:tc>
          <w:tcPr>
            <w:tcW w:w="1042" w:type="dxa"/>
            <w:tcBorders>
              <w:top w:val="nil"/>
              <w:left w:val="nil"/>
              <w:bottom w:val="nil"/>
              <w:right w:val="nil"/>
            </w:tcBorders>
            <w:shd w:val="clear" w:color="auto" w:fill="auto"/>
            <w:noWrap/>
            <w:vAlign w:val="bottom"/>
            <w:hideMark/>
          </w:tcPr>
          <w:p w14:paraId="55D3C423"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81867D5"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B541D30"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04F086DE"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A72B09E" w14:textId="77777777" w:rsidR="002F53B7" w:rsidRPr="000A1858" w:rsidRDefault="002F53B7" w:rsidP="002F53B7">
            <w:pPr>
              <w:spacing w:after="0" w:line="240" w:lineRule="auto"/>
              <w:rPr>
                <w:rFonts w:eastAsia="Times New Roman" w:cs="Times New Roman"/>
                <w:sz w:val="20"/>
                <w:szCs w:val="20"/>
              </w:rPr>
            </w:pPr>
          </w:p>
        </w:tc>
        <w:tc>
          <w:tcPr>
            <w:tcW w:w="1396" w:type="dxa"/>
            <w:tcBorders>
              <w:top w:val="nil"/>
              <w:left w:val="nil"/>
              <w:bottom w:val="nil"/>
              <w:right w:val="nil"/>
            </w:tcBorders>
            <w:shd w:val="clear" w:color="auto" w:fill="auto"/>
            <w:noWrap/>
            <w:vAlign w:val="bottom"/>
            <w:hideMark/>
          </w:tcPr>
          <w:p w14:paraId="3CEE5931" w14:textId="77777777" w:rsidR="002F53B7" w:rsidRPr="000A1858" w:rsidRDefault="002F53B7" w:rsidP="002F53B7">
            <w:pPr>
              <w:spacing w:after="0" w:line="240" w:lineRule="auto"/>
              <w:rPr>
                <w:rFonts w:eastAsia="Times New Roman" w:cs="Times New Roman"/>
                <w:sz w:val="20"/>
                <w:szCs w:val="20"/>
              </w:rPr>
            </w:pPr>
          </w:p>
        </w:tc>
        <w:tc>
          <w:tcPr>
            <w:tcW w:w="1296" w:type="dxa"/>
            <w:tcBorders>
              <w:top w:val="nil"/>
              <w:left w:val="nil"/>
              <w:bottom w:val="nil"/>
              <w:right w:val="nil"/>
            </w:tcBorders>
            <w:shd w:val="clear" w:color="auto" w:fill="auto"/>
            <w:noWrap/>
            <w:vAlign w:val="bottom"/>
            <w:hideMark/>
          </w:tcPr>
          <w:p w14:paraId="1EE084B2" w14:textId="77777777" w:rsidR="002F53B7" w:rsidRPr="000A1858" w:rsidRDefault="002F53B7" w:rsidP="002F53B7">
            <w:pPr>
              <w:spacing w:after="0" w:line="240" w:lineRule="auto"/>
              <w:rPr>
                <w:rFonts w:eastAsia="Times New Roman" w:cs="Times New Roman"/>
                <w:sz w:val="20"/>
                <w:szCs w:val="20"/>
              </w:rPr>
            </w:pPr>
          </w:p>
        </w:tc>
        <w:tc>
          <w:tcPr>
            <w:tcW w:w="1436" w:type="dxa"/>
            <w:tcBorders>
              <w:top w:val="nil"/>
              <w:left w:val="nil"/>
              <w:bottom w:val="nil"/>
              <w:right w:val="nil"/>
            </w:tcBorders>
            <w:shd w:val="clear" w:color="auto" w:fill="auto"/>
            <w:noWrap/>
            <w:vAlign w:val="bottom"/>
            <w:hideMark/>
          </w:tcPr>
          <w:p w14:paraId="264F569D" w14:textId="77777777" w:rsidR="002F53B7" w:rsidRPr="000A1858" w:rsidRDefault="002F53B7" w:rsidP="002F53B7">
            <w:pPr>
              <w:spacing w:after="0" w:line="240" w:lineRule="auto"/>
              <w:rPr>
                <w:rFonts w:eastAsia="Times New Roman" w:cs="Times New Roman"/>
                <w:sz w:val="20"/>
                <w:szCs w:val="20"/>
              </w:rPr>
            </w:pPr>
          </w:p>
        </w:tc>
        <w:tc>
          <w:tcPr>
            <w:tcW w:w="1236" w:type="dxa"/>
            <w:tcBorders>
              <w:top w:val="nil"/>
              <w:left w:val="nil"/>
              <w:bottom w:val="nil"/>
              <w:right w:val="nil"/>
            </w:tcBorders>
            <w:shd w:val="clear" w:color="auto" w:fill="auto"/>
            <w:noWrap/>
            <w:vAlign w:val="bottom"/>
            <w:hideMark/>
          </w:tcPr>
          <w:p w14:paraId="4CBA967B" w14:textId="77777777" w:rsidR="002F53B7" w:rsidRPr="000A1858" w:rsidRDefault="002F53B7" w:rsidP="002F53B7">
            <w:pPr>
              <w:spacing w:after="0" w:line="240" w:lineRule="auto"/>
              <w:rPr>
                <w:rFonts w:eastAsia="Times New Roman" w:cs="Times New Roman"/>
                <w:sz w:val="20"/>
                <w:szCs w:val="20"/>
              </w:rPr>
            </w:pPr>
          </w:p>
        </w:tc>
        <w:tc>
          <w:tcPr>
            <w:tcW w:w="1376" w:type="dxa"/>
            <w:tcBorders>
              <w:top w:val="nil"/>
              <w:left w:val="nil"/>
              <w:bottom w:val="nil"/>
              <w:right w:val="nil"/>
            </w:tcBorders>
            <w:shd w:val="clear" w:color="auto" w:fill="auto"/>
            <w:noWrap/>
            <w:vAlign w:val="bottom"/>
            <w:hideMark/>
          </w:tcPr>
          <w:p w14:paraId="2D2BD788" w14:textId="77777777" w:rsidR="002F53B7" w:rsidRPr="000A1858" w:rsidRDefault="002F53B7" w:rsidP="002F53B7">
            <w:pPr>
              <w:spacing w:after="0" w:line="240" w:lineRule="auto"/>
              <w:rPr>
                <w:rFonts w:eastAsia="Times New Roman" w:cs="Times New Roman"/>
                <w:sz w:val="20"/>
                <w:szCs w:val="20"/>
              </w:rPr>
            </w:pPr>
          </w:p>
        </w:tc>
        <w:tc>
          <w:tcPr>
            <w:tcW w:w="1276" w:type="dxa"/>
            <w:tcBorders>
              <w:top w:val="nil"/>
              <w:left w:val="nil"/>
              <w:bottom w:val="nil"/>
              <w:right w:val="nil"/>
            </w:tcBorders>
            <w:shd w:val="clear" w:color="auto" w:fill="auto"/>
            <w:noWrap/>
            <w:vAlign w:val="bottom"/>
            <w:hideMark/>
          </w:tcPr>
          <w:p w14:paraId="05F85700"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32E3F44"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03DEA3F" w14:textId="77777777" w:rsidR="002F53B7" w:rsidRPr="000A1858" w:rsidRDefault="002F53B7" w:rsidP="002F53B7">
            <w:pPr>
              <w:spacing w:after="0" w:line="240" w:lineRule="auto"/>
              <w:rPr>
                <w:rFonts w:eastAsia="Times New Roman" w:cs="Times New Roman"/>
                <w:sz w:val="20"/>
                <w:szCs w:val="20"/>
              </w:rPr>
            </w:pPr>
          </w:p>
        </w:tc>
      </w:tr>
      <w:tr w:rsidR="002F53B7" w:rsidRPr="000A1858" w14:paraId="72A203C9" w14:textId="77777777" w:rsidTr="002F53B7">
        <w:trPr>
          <w:trHeight w:val="290"/>
        </w:trPr>
        <w:tc>
          <w:tcPr>
            <w:tcW w:w="2018" w:type="dxa"/>
            <w:gridSpan w:val="2"/>
            <w:tcBorders>
              <w:top w:val="nil"/>
              <w:left w:val="nil"/>
              <w:bottom w:val="nil"/>
              <w:right w:val="nil"/>
            </w:tcBorders>
            <w:shd w:val="clear" w:color="auto" w:fill="auto"/>
            <w:noWrap/>
            <w:vAlign w:val="bottom"/>
            <w:hideMark/>
          </w:tcPr>
          <w:p w14:paraId="7C6E7AD1" w14:textId="77777777" w:rsidR="002F53B7" w:rsidRPr="000A1858" w:rsidRDefault="002F53B7" w:rsidP="002F53B7">
            <w:pPr>
              <w:spacing w:after="0" w:line="240" w:lineRule="auto"/>
              <w:rPr>
                <w:rFonts w:ascii="Calibri" w:eastAsia="Times New Roman" w:hAnsi="Calibri" w:cs="Calibri"/>
                <w:color w:val="000000"/>
                <w:sz w:val="22"/>
              </w:rPr>
            </w:pPr>
            <w:r w:rsidRPr="000A1858">
              <w:rPr>
                <w:rFonts w:ascii="Calibri" w:eastAsia="Times New Roman" w:hAnsi="Calibri" w:cs="Calibri"/>
                <w:color w:val="000000"/>
                <w:sz w:val="22"/>
              </w:rPr>
              <w:t>Manufacturing</w:t>
            </w:r>
          </w:p>
        </w:tc>
        <w:tc>
          <w:tcPr>
            <w:tcW w:w="976" w:type="dxa"/>
            <w:tcBorders>
              <w:top w:val="nil"/>
              <w:left w:val="nil"/>
              <w:bottom w:val="nil"/>
              <w:right w:val="nil"/>
            </w:tcBorders>
            <w:shd w:val="clear" w:color="auto" w:fill="auto"/>
            <w:noWrap/>
            <w:vAlign w:val="bottom"/>
            <w:hideMark/>
          </w:tcPr>
          <w:p w14:paraId="356AAE65" w14:textId="77777777" w:rsidR="002F53B7" w:rsidRPr="000A1858" w:rsidRDefault="002F53B7" w:rsidP="002F53B7">
            <w:pPr>
              <w:spacing w:after="0" w:line="240" w:lineRule="auto"/>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58B125F1"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F0972CF" w14:textId="77777777" w:rsidR="002F53B7" w:rsidRPr="000A1858" w:rsidRDefault="002F53B7" w:rsidP="002F53B7">
            <w:pPr>
              <w:spacing w:after="0" w:line="240" w:lineRule="auto"/>
              <w:rPr>
                <w:rFonts w:eastAsia="Times New Roman" w:cs="Times New Roman"/>
                <w:sz w:val="20"/>
                <w:szCs w:val="20"/>
              </w:rPr>
            </w:pPr>
          </w:p>
        </w:tc>
        <w:tc>
          <w:tcPr>
            <w:tcW w:w="1396" w:type="dxa"/>
            <w:tcBorders>
              <w:top w:val="nil"/>
              <w:left w:val="nil"/>
              <w:bottom w:val="nil"/>
              <w:right w:val="nil"/>
            </w:tcBorders>
            <w:shd w:val="clear" w:color="auto" w:fill="auto"/>
            <w:noWrap/>
            <w:vAlign w:val="bottom"/>
            <w:hideMark/>
          </w:tcPr>
          <w:p w14:paraId="48862406"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33.2</w:t>
            </w:r>
          </w:p>
        </w:tc>
        <w:tc>
          <w:tcPr>
            <w:tcW w:w="1296" w:type="dxa"/>
            <w:tcBorders>
              <w:top w:val="nil"/>
              <w:left w:val="nil"/>
              <w:bottom w:val="nil"/>
              <w:right w:val="nil"/>
            </w:tcBorders>
            <w:shd w:val="clear" w:color="auto" w:fill="auto"/>
            <w:noWrap/>
            <w:vAlign w:val="bottom"/>
            <w:hideMark/>
          </w:tcPr>
          <w:p w14:paraId="5D20D631"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0.389</w:t>
            </w:r>
          </w:p>
        </w:tc>
        <w:tc>
          <w:tcPr>
            <w:tcW w:w="1436" w:type="dxa"/>
            <w:tcBorders>
              <w:top w:val="nil"/>
              <w:left w:val="nil"/>
              <w:bottom w:val="nil"/>
              <w:right w:val="nil"/>
            </w:tcBorders>
            <w:shd w:val="clear" w:color="auto" w:fill="auto"/>
            <w:noWrap/>
            <w:vAlign w:val="bottom"/>
            <w:hideMark/>
          </w:tcPr>
          <w:p w14:paraId="4FC5F1BD"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67.6</w:t>
            </w:r>
          </w:p>
        </w:tc>
        <w:tc>
          <w:tcPr>
            <w:tcW w:w="1236" w:type="dxa"/>
            <w:tcBorders>
              <w:top w:val="nil"/>
              <w:left w:val="nil"/>
              <w:bottom w:val="nil"/>
              <w:right w:val="nil"/>
            </w:tcBorders>
            <w:shd w:val="clear" w:color="auto" w:fill="auto"/>
            <w:noWrap/>
            <w:vAlign w:val="bottom"/>
            <w:hideMark/>
          </w:tcPr>
          <w:p w14:paraId="77D7B4A0"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0.371</w:t>
            </w:r>
          </w:p>
        </w:tc>
        <w:tc>
          <w:tcPr>
            <w:tcW w:w="1376" w:type="dxa"/>
            <w:tcBorders>
              <w:top w:val="nil"/>
              <w:left w:val="nil"/>
              <w:bottom w:val="nil"/>
              <w:right w:val="nil"/>
            </w:tcBorders>
            <w:shd w:val="clear" w:color="auto" w:fill="auto"/>
            <w:noWrap/>
            <w:vAlign w:val="bottom"/>
            <w:hideMark/>
          </w:tcPr>
          <w:p w14:paraId="29395D94"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-0.0055</w:t>
            </w:r>
          </w:p>
        </w:tc>
        <w:tc>
          <w:tcPr>
            <w:tcW w:w="1276" w:type="dxa"/>
            <w:tcBorders>
              <w:top w:val="nil"/>
              <w:left w:val="nil"/>
              <w:bottom w:val="nil"/>
              <w:right w:val="nil"/>
            </w:tcBorders>
            <w:shd w:val="clear" w:color="auto" w:fill="auto"/>
            <w:noWrap/>
            <w:vAlign w:val="bottom"/>
            <w:hideMark/>
          </w:tcPr>
          <w:p w14:paraId="18C7CF8F"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-0.0021</w:t>
            </w:r>
          </w:p>
        </w:tc>
        <w:tc>
          <w:tcPr>
            <w:tcW w:w="976" w:type="dxa"/>
            <w:tcBorders>
              <w:top w:val="nil"/>
              <w:left w:val="nil"/>
              <w:bottom w:val="nil"/>
              <w:right w:val="nil"/>
            </w:tcBorders>
            <w:shd w:val="clear" w:color="auto" w:fill="auto"/>
            <w:noWrap/>
            <w:vAlign w:val="bottom"/>
            <w:hideMark/>
          </w:tcPr>
          <w:p w14:paraId="44725DCB" w14:textId="77777777" w:rsidR="002F53B7" w:rsidRPr="000A1858"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7284FB1A" w14:textId="77777777" w:rsidR="002F53B7" w:rsidRPr="000A1858" w:rsidRDefault="002F53B7" w:rsidP="002F53B7">
            <w:pPr>
              <w:spacing w:after="0" w:line="240" w:lineRule="auto"/>
              <w:rPr>
                <w:rFonts w:eastAsia="Times New Roman" w:cs="Times New Roman"/>
                <w:sz w:val="20"/>
                <w:szCs w:val="20"/>
              </w:rPr>
            </w:pPr>
          </w:p>
        </w:tc>
      </w:tr>
      <w:tr w:rsidR="002F53B7" w:rsidRPr="000A1858" w14:paraId="55647D32" w14:textId="77777777" w:rsidTr="002F53B7">
        <w:trPr>
          <w:trHeight w:val="290"/>
        </w:trPr>
        <w:tc>
          <w:tcPr>
            <w:tcW w:w="2994" w:type="dxa"/>
            <w:gridSpan w:val="3"/>
            <w:tcBorders>
              <w:top w:val="nil"/>
              <w:left w:val="nil"/>
              <w:bottom w:val="nil"/>
              <w:right w:val="nil"/>
            </w:tcBorders>
            <w:shd w:val="clear" w:color="auto" w:fill="auto"/>
            <w:noWrap/>
            <w:vAlign w:val="bottom"/>
            <w:hideMark/>
          </w:tcPr>
          <w:p w14:paraId="4C783339" w14:textId="77777777" w:rsidR="002F53B7" w:rsidRPr="000A1858" w:rsidRDefault="002F53B7" w:rsidP="002F53B7">
            <w:pPr>
              <w:spacing w:after="0" w:line="240" w:lineRule="auto"/>
              <w:rPr>
                <w:rFonts w:ascii="Calibri" w:eastAsia="Times New Roman" w:hAnsi="Calibri" w:cs="Calibri"/>
                <w:color w:val="000000"/>
                <w:sz w:val="22"/>
              </w:rPr>
            </w:pPr>
            <w:r w:rsidRPr="000A1858">
              <w:rPr>
                <w:rFonts w:ascii="Calibri" w:eastAsia="Times New Roman" w:hAnsi="Calibri" w:cs="Calibri"/>
                <w:color w:val="000000"/>
                <w:sz w:val="22"/>
              </w:rPr>
              <w:t>Wholesale and Retail Trade</w:t>
            </w:r>
          </w:p>
        </w:tc>
        <w:tc>
          <w:tcPr>
            <w:tcW w:w="976" w:type="dxa"/>
            <w:tcBorders>
              <w:top w:val="nil"/>
              <w:left w:val="nil"/>
              <w:bottom w:val="nil"/>
              <w:right w:val="nil"/>
            </w:tcBorders>
            <w:shd w:val="clear" w:color="auto" w:fill="auto"/>
            <w:noWrap/>
            <w:vAlign w:val="bottom"/>
            <w:hideMark/>
          </w:tcPr>
          <w:p w14:paraId="3A51FFA1" w14:textId="77777777" w:rsidR="002F53B7" w:rsidRPr="000A1858" w:rsidRDefault="002F53B7" w:rsidP="002F53B7">
            <w:pPr>
              <w:spacing w:after="0" w:line="240" w:lineRule="auto"/>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76C888DE" w14:textId="77777777" w:rsidR="002F53B7" w:rsidRPr="000A1858" w:rsidRDefault="002F53B7" w:rsidP="002F53B7">
            <w:pPr>
              <w:spacing w:after="0" w:line="240" w:lineRule="auto"/>
              <w:rPr>
                <w:rFonts w:eastAsia="Times New Roman" w:cs="Times New Roman"/>
                <w:sz w:val="20"/>
                <w:szCs w:val="20"/>
              </w:rPr>
            </w:pPr>
          </w:p>
        </w:tc>
        <w:tc>
          <w:tcPr>
            <w:tcW w:w="1396" w:type="dxa"/>
            <w:tcBorders>
              <w:top w:val="nil"/>
              <w:left w:val="nil"/>
              <w:bottom w:val="nil"/>
              <w:right w:val="nil"/>
            </w:tcBorders>
            <w:shd w:val="clear" w:color="auto" w:fill="auto"/>
            <w:noWrap/>
            <w:vAlign w:val="bottom"/>
            <w:hideMark/>
          </w:tcPr>
          <w:p w14:paraId="0637B47F"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17.4</w:t>
            </w:r>
          </w:p>
        </w:tc>
        <w:tc>
          <w:tcPr>
            <w:tcW w:w="1296" w:type="dxa"/>
            <w:tcBorders>
              <w:top w:val="nil"/>
              <w:left w:val="nil"/>
              <w:bottom w:val="nil"/>
              <w:right w:val="nil"/>
            </w:tcBorders>
            <w:shd w:val="clear" w:color="auto" w:fill="auto"/>
            <w:noWrap/>
            <w:vAlign w:val="bottom"/>
            <w:hideMark/>
          </w:tcPr>
          <w:p w14:paraId="22142BC1"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0.204</w:t>
            </w:r>
          </w:p>
        </w:tc>
        <w:tc>
          <w:tcPr>
            <w:tcW w:w="1436" w:type="dxa"/>
            <w:tcBorders>
              <w:top w:val="nil"/>
              <w:left w:val="nil"/>
              <w:bottom w:val="nil"/>
              <w:right w:val="nil"/>
            </w:tcBorders>
            <w:shd w:val="clear" w:color="auto" w:fill="auto"/>
            <w:noWrap/>
            <w:vAlign w:val="bottom"/>
            <w:hideMark/>
          </w:tcPr>
          <w:p w14:paraId="7ADF46C1"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41.7</w:t>
            </w:r>
          </w:p>
        </w:tc>
        <w:tc>
          <w:tcPr>
            <w:tcW w:w="1236" w:type="dxa"/>
            <w:tcBorders>
              <w:top w:val="nil"/>
              <w:left w:val="nil"/>
              <w:bottom w:val="nil"/>
              <w:right w:val="nil"/>
            </w:tcBorders>
            <w:shd w:val="clear" w:color="auto" w:fill="auto"/>
            <w:noWrap/>
            <w:vAlign w:val="bottom"/>
            <w:hideMark/>
          </w:tcPr>
          <w:p w14:paraId="62AA4A6E"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0.229</w:t>
            </w:r>
          </w:p>
        </w:tc>
        <w:tc>
          <w:tcPr>
            <w:tcW w:w="1376" w:type="dxa"/>
            <w:tcBorders>
              <w:top w:val="nil"/>
              <w:left w:val="nil"/>
              <w:bottom w:val="nil"/>
              <w:right w:val="nil"/>
            </w:tcBorders>
            <w:shd w:val="clear" w:color="auto" w:fill="auto"/>
            <w:noWrap/>
            <w:vAlign w:val="bottom"/>
            <w:hideMark/>
          </w:tcPr>
          <w:p w14:paraId="39F64297"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0.0326</w:t>
            </w:r>
          </w:p>
        </w:tc>
        <w:tc>
          <w:tcPr>
            <w:tcW w:w="1276" w:type="dxa"/>
            <w:tcBorders>
              <w:top w:val="nil"/>
              <w:left w:val="nil"/>
              <w:bottom w:val="nil"/>
              <w:right w:val="nil"/>
            </w:tcBorders>
            <w:shd w:val="clear" w:color="auto" w:fill="auto"/>
            <w:noWrap/>
            <w:vAlign w:val="bottom"/>
            <w:hideMark/>
          </w:tcPr>
          <w:p w14:paraId="37657286"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0.0071</w:t>
            </w:r>
          </w:p>
        </w:tc>
        <w:tc>
          <w:tcPr>
            <w:tcW w:w="976" w:type="dxa"/>
            <w:tcBorders>
              <w:top w:val="nil"/>
              <w:left w:val="nil"/>
              <w:bottom w:val="nil"/>
              <w:right w:val="nil"/>
            </w:tcBorders>
            <w:shd w:val="clear" w:color="auto" w:fill="auto"/>
            <w:noWrap/>
            <w:vAlign w:val="bottom"/>
            <w:hideMark/>
          </w:tcPr>
          <w:p w14:paraId="49E74616" w14:textId="77777777" w:rsidR="002F53B7" w:rsidRPr="000A1858"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487897CD" w14:textId="77777777" w:rsidR="002F53B7" w:rsidRPr="000A1858" w:rsidRDefault="002F53B7" w:rsidP="002F53B7">
            <w:pPr>
              <w:spacing w:after="0" w:line="240" w:lineRule="auto"/>
              <w:rPr>
                <w:rFonts w:eastAsia="Times New Roman" w:cs="Times New Roman"/>
                <w:sz w:val="20"/>
                <w:szCs w:val="20"/>
              </w:rPr>
            </w:pPr>
          </w:p>
        </w:tc>
      </w:tr>
      <w:tr w:rsidR="002F53B7" w:rsidRPr="000A1858" w14:paraId="029298F7" w14:textId="77777777" w:rsidTr="002F53B7">
        <w:trPr>
          <w:trHeight w:val="290"/>
        </w:trPr>
        <w:tc>
          <w:tcPr>
            <w:tcW w:w="1042" w:type="dxa"/>
            <w:tcBorders>
              <w:top w:val="nil"/>
              <w:left w:val="nil"/>
              <w:bottom w:val="nil"/>
              <w:right w:val="nil"/>
            </w:tcBorders>
            <w:shd w:val="clear" w:color="auto" w:fill="auto"/>
            <w:noWrap/>
            <w:vAlign w:val="bottom"/>
            <w:hideMark/>
          </w:tcPr>
          <w:p w14:paraId="0B23CC52" w14:textId="77777777" w:rsidR="002F53B7" w:rsidRPr="000A1858" w:rsidRDefault="002F53B7" w:rsidP="002F53B7">
            <w:pPr>
              <w:spacing w:after="0" w:line="240" w:lineRule="auto"/>
              <w:rPr>
                <w:rFonts w:ascii="Calibri" w:eastAsia="Times New Roman" w:hAnsi="Calibri" w:cs="Calibri"/>
                <w:color w:val="000000"/>
                <w:sz w:val="22"/>
              </w:rPr>
            </w:pPr>
            <w:r w:rsidRPr="000A1858">
              <w:rPr>
                <w:rFonts w:ascii="Calibri" w:eastAsia="Times New Roman" w:hAnsi="Calibri" w:cs="Calibri"/>
                <w:color w:val="000000"/>
                <w:sz w:val="22"/>
              </w:rPr>
              <w:t>Railroads</w:t>
            </w:r>
          </w:p>
        </w:tc>
        <w:tc>
          <w:tcPr>
            <w:tcW w:w="976" w:type="dxa"/>
            <w:tcBorders>
              <w:top w:val="nil"/>
              <w:left w:val="nil"/>
              <w:bottom w:val="nil"/>
              <w:right w:val="nil"/>
            </w:tcBorders>
            <w:shd w:val="clear" w:color="auto" w:fill="auto"/>
            <w:noWrap/>
            <w:vAlign w:val="bottom"/>
            <w:hideMark/>
          </w:tcPr>
          <w:p w14:paraId="77622181" w14:textId="77777777" w:rsidR="002F53B7" w:rsidRPr="000A1858" w:rsidRDefault="002F53B7" w:rsidP="002F53B7">
            <w:pPr>
              <w:spacing w:after="0" w:line="240" w:lineRule="auto"/>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0AAC4927"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0E7F173E"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CAB503C" w14:textId="77777777" w:rsidR="002F53B7" w:rsidRPr="000A1858" w:rsidRDefault="002F53B7" w:rsidP="002F53B7">
            <w:pPr>
              <w:spacing w:after="0" w:line="240" w:lineRule="auto"/>
              <w:rPr>
                <w:rFonts w:eastAsia="Times New Roman" w:cs="Times New Roman"/>
                <w:sz w:val="20"/>
                <w:szCs w:val="20"/>
              </w:rPr>
            </w:pPr>
          </w:p>
        </w:tc>
        <w:tc>
          <w:tcPr>
            <w:tcW w:w="1396" w:type="dxa"/>
            <w:tcBorders>
              <w:top w:val="nil"/>
              <w:left w:val="nil"/>
              <w:bottom w:val="nil"/>
              <w:right w:val="nil"/>
            </w:tcBorders>
            <w:shd w:val="clear" w:color="auto" w:fill="auto"/>
            <w:noWrap/>
            <w:vAlign w:val="bottom"/>
            <w:hideMark/>
          </w:tcPr>
          <w:p w14:paraId="1331D5CE"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3.8</w:t>
            </w:r>
          </w:p>
        </w:tc>
        <w:tc>
          <w:tcPr>
            <w:tcW w:w="1296" w:type="dxa"/>
            <w:tcBorders>
              <w:top w:val="nil"/>
              <w:left w:val="nil"/>
              <w:bottom w:val="nil"/>
              <w:right w:val="nil"/>
            </w:tcBorders>
            <w:shd w:val="clear" w:color="auto" w:fill="auto"/>
            <w:noWrap/>
            <w:vAlign w:val="bottom"/>
            <w:hideMark/>
          </w:tcPr>
          <w:p w14:paraId="79E408AA"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0.044</w:t>
            </w:r>
          </w:p>
        </w:tc>
        <w:tc>
          <w:tcPr>
            <w:tcW w:w="1436" w:type="dxa"/>
            <w:tcBorders>
              <w:top w:val="nil"/>
              <w:left w:val="nil"/>
              <w:bottom w:val="nil"/>
              <w:right w:val="nil"/>
            </w:tcBorders>
            <w:shd w:val="clear" w:color="auto" w:fill="auto"/>
            <w:noWrap/>
            <w:vAlign w:val="bottom"/>
            <w:hideMark/>
          </w:tcPr>
          <w:p w14:paraId="3C2D50E1"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7.1</w:t>
            </w:r>
          </w:p>
        </w:tc>
        <w:tc>
          <w:tcPr>
            <w:tcW w:w="1236" w:type="dxa"/>
            <w:tcBorders>
              <w:top w:val="nil"/>
              <w:left w:val="nil"/>
              <w:bottom w:val="nil"/>
              <w:right w:val="nil"/>
            </w:tcBorders>
            <w:shd w:val="clear" w:color="auto" w:fill="auto"/>
            <w:noWrap/>
            <w:vAlign w:val="bottom"/>
            <w:hideMark/>
          </w:tcPr>
          <w:p w14:paraId="3184899A"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0.039</w:t>
            </w:r>
          </w:p>
        </w:tc>
        <w:tc>
          <w:tcPr>
            <w:tcW w:w="1376" w:type="dxa"/>
            <w:tcBorders>
              <w:top w:val="nil"/>
              <w:left w:val="nil"/>
              <w:bottom w:val="nil"/>
              <w:right w:val="nil"/>
            </w:tcBorders>
            <w:shd w:val="clear" w:color="auto" w:fill="auto"/>
            <w:noWrap/>
            <w:vAlign w:val="bottom"/>
            <w:hideMark/>
          </w:tcPr>
          <w:p w14:paraId="449FA5D2"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0.0256</w:t>
            </w:r>
          </w:p>
        </w:tc>
        <w:tc>
          <w:tcPr>
            <w:tcW w:w="1276" w:type="dxa"/>
            <w:tcBorders>
              <w:top w:val="nil"/>
              <w:left w:val="nil"/>
              <w:bottom w:val="nil"/>
              <w:right w:val="nil"/>
            </w:tcBorders>
            <w:shd w:val="clear" w:color="auto" w:fill="auto"/>
            <w:noWrap/>
            <w:vAlign w:val="bottom"/>
            <w:hideMark/>
          </w:tcPr>
          <w:p w14:paraId="3BA95111"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0.0011</w:t>
            </w:r>
          </w:p>
        </w:tc>
        <w:tc>
          <w:tcPr>
            <w:tcW w:w="976" w:type="dxa"/>
            <w:tcBorders>
              <w:top w:val="nil"/>
              <w:left w:val="nil"/>
              <w:bottom w:val="nil"/>
              <w:right w:val="nil"/>
            </w:tcBorders>
            <w:shd w:val="clear" w:color="auto" w:fill="auto"/>
            <w:noWrap/>
            <w:vAlign w:val="bottom"/>
            <w:hideMark/>
          </w:tcPr>
          <w:p w14:paraId="6997C29A" w14:textId="77777777" w:rsidR="002F53B7" w:rsidRPr="000A1858"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7E118E72" w14:textId="77777777" w:rsidR="002F53B7" w:rsidRPr="000A1858" w:rsidRDefault="002F53B7" w:rsidP="002F53B7">
            <w:pPr>
              <w:spacing w:after="0" w:line="240" w:lineRule="auto"/>
              <w:rPr>
                <w:rFonts w:eastAsia="Times New Roman" w:cs="Times New Roman"/>
                <w:sz w:val="20"/>
                <w:szCs w:val="20"/>
              </w:rPr>
            </w:pPr>
          </w:p>
        </w:tc>
      </w:tr>
      <w:tr w:rsidR="002F53B7" w:rsidRPr="000A1858" w14:paraId="63B34AA7" w14:textId="77777777" w:rsidTr="002F53B7">
        <w:trPr>
          <w:trHeight w:val="290"/>
        </w:trPr>
        <w:tc>
          <w:tcPr>
            <w:tcW w:w="2994" w:type="dxa"/>
            <w:gridSpan w:val="3"/>
            <w:tcBorders>
              <w:top w:val="nil"/>
              <w:left w:val="nil"/>
              <w:bottom w:val="nil"/>
              <w:right w:val="nil"/>
            </w:tcBorders>
            <w:shd w:val="clear" w:color="auto" w:fill="auto"/>
            <w:noWrap/>
            <w:vAlign w:val="bottom"/>
            <w:hideMark/>
          </w:tcPr>
          <w:p w14:paraId="4D02DE6C" w14:textId="77777777" w:rsidR="002F53B7" w:rsidRPr="000A1858" w:rsidRDefault="002F53B7" w:rsidP="002F53B7">
            <w:pPr>
              <w:spacing w:after="0" w:line="240" w:lineRule="auto"/>
              <w:rPr>
                <w:rFonts w:ascii="Calibri" w:eastAsia="Times New Roman" w:hAnsi="Calibri" w:cs="Calibri"/>
                <w:color w:val="000000"/>
                <w:sz w:val="22"/>
              </w:rPr>
            </w:pPr>
            <w:r w:rsidRPr="000A1858">
              <w:rPr>
                <w:rFonts w:ascii="Calibri" w:eastAsia="Times New Roman" w:hAnsi="Calibri" w:cs="Calibri"/>
                <w:color w:val="000000"/>
                <w:sz w:val="22"/>
              </w:rPr>
              <w:t>Trucking and Warehousing</w:t>
            </w:r>
          </w:p>
        </w:tc>
        <w:tc>
          <w:tcPr>
            <w:tcW w:w="976" w:type="dxa"/>
            <w:tcBorders>
              <w:top w:val="nil"/>
              <w:left w:val="nil"/>
              <w:bottom w:val="nil"/>
              <w:right w:val="nil"/>
            </w:tcBorders>
            <w:shd w:val="clear" w:color="auto" w:fill="auto"/>
            <w:noWrap/>
            <w:vAlign w:val="bottom"/>
            <w:hideMark/>
          </w:tcPr>
          <w:p w14:paraId="021BB2E7" w14:textId="77777777" w:rsidR="002F53B7" w:rsidRPr="000A1858" w:rsidRDefault="002F53B7" w:rsidP="002F53B7">
            <w:pPr>
              <w:spacing w:after="0" w:line="240" w:lineRule="auto"/>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7BAAEDFA" w14:textId="77777777" w:rsidR="002F53B7" w:rsidRPr="000A1858" w:rsidRDefault="002F53B7" w:rsidP="002F53B7">
            <w:pPr>
              <w:spacing w:after="0" w:line="240" w:lineRule="auto"/>
              <w:rPr>
                <w:rFonts w:eastAsia="Times New Roman" w:cs="Times New Roman"/>
                <w:sz w:val="20"/>
                <w:szCs w:val="20"/>
              </w:rPr>
            </w:pPr>
          </w:p>
        </w:tc>
        <w:tc>
          <w:tcPr>
            <w:tcW w:w="1396" w:type="dxa"/>
            <w:tcBorders>
              <w:top w:val="nil"/>
              <w:left w:val="nil"/>
              <w:bottom w:val="nil"/>
              <w:right w:val="nil"/>
            </w:tcBorders>
            <w:shd w:val="clear" w:color="auto" w:fill="auto"/>
            <w:noWrap/>
            <w:vAlign w:val="bottom"/>
            <w:hideMark/>
          </w:tcPr>
          <w:p w14:paraId="67789A83"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1.0</w:t>
            </w:r>
          </w:p>
        </w:tc>
        <w:tc>
          <w:tcPr>
            <w:tcW w:w="1296" w:type="dxa"/>
            <w:tcBorders>
              <w:top w:val="nil"/>
              <w:left w:val="nil"/>
              <w:bottom w:val="nil"/>
              <w:right w:val="nil"/>
            </w:tcBorders>
            <w:shd w:val="clear" w:color="auto" w:fill="auto"/>
            <w:noWrap/>
            <w:vAlign w:val="bottom"/>
            <w:hideMark/>
          </w:tcPr>
          <w:p w14:paraId="18CC8CC0"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0.012</w:t>
            </w:r>
          </w:p>
        </w:tc>
        <w:tc>
          <w:tcPr>
            <w:tcW w:w="1436" w:type="dxa"/>
            <w:tcBorders>
              <w:top w:val="nil"/>
              <w:left w:val="nil"/>
              <w:bottom w:val="nil"/>
              <w:right w:val="nil"/>
            </w:tcBorders>
            <w:shd w:val="clear" w:color="auto" w:fill="auto"/>
            <w:noWrap/>
            <w:vAlign w:val="bottom"/>
            <w:hideMark/>
          </w:tcPr>
          <w:p w14:paraId="7A407092"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2.3</w:t>
            </w:r>
          </w:p>
        </w:tc>
        <w:tc>
          <w:tcPr>
            <w:tcW w:w="1236" w:type="dxa"/>
            <w:tcBorders>
              <w:top w:val="nil"/>
              <w:left w:val="nil"/>
              <w:bottom w:val="nil"/>
              <w:right w:val="nil"/>
            </w:tcBorders>
            <w:shd w:val="clear" w:color="auto" w:fill="auto"/>
            <w:noWrap/>
            <w:vAlign w:val="bottom"/>
            <w:hideMark/>
          </w:tcPr>
          <w:p w14:paraId="152B948B"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0.013</w:t>
            </w:r>
          </w:p>
        </w:tc>
        <w:tc>
          <w:tcPr>
            <w:tcW w:w="1376" w:type="dxa"/>
            <w:tcBorders>
              <w:top w:val="nil"/>
              <w:left w:val="nil"/>
              <w:bottom w:val="nil"/>
              <w:right w:val="nil"/>
            </w:tcBorders>
            <w:shd w:val="clear" w:color="auto" w:fill="auto"/>
            <w:noWrap/>
            <w:vAlign w:val="bottom"/>
            <w:hideMark/>
          </w:tcPr>
          <w:p w14:paraId="43EE4394"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0.0336</w:t>
            </w:r>
          </w:p>
        </w:tc>
        <w:tc>
          <w:tcPr>
            <w:tcW w:w="1276" w:type="dxa"/>
            <w:tcBorders>
              <w:top w:val="nil"/>
              <w:left w:val="nil"/>
              <w:bottom w:val="nil"/>
              <w:right w:val="nil"/>
            </w:tcBorders>
            <w:shd w:val="clear" w:color="auto" w:fill="auto"/>
            <w:noWrap/>
            <w:vAlign w:val="bottom"/>
            <w:hideMark/>
          </w:tcPr>
          <w:p w14:paraId="26A36F9E"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0.0004</w:t>
            </w:r>
          </w:p>
        </w:tc>
        <w:tc>
          <w:tcPr>
            <w:tcW w:w="976" w:type="dxa"/>
            <w:tcBorders>
              <w:top w:val="nil"/>
              <w:left w:val="nil"/>
              <w:bottom w:val="nil"/>
              <w:right w:val="nil"/>
            </w:tcBorders>
            <w:shd w:val="clear" w:color="auto" w:fill="auto"/>
            <w:noWrap/>
            <w:vAlign w:val="bottom"/>
            <w:hideMark/>
          </w:tcPr>
          <w:p w14:paraId="66FDB49F" w14:textId="77777777" w:rsidR="002F53B7" w:rsidRPr="000A1858"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2E0728C1" w14:textId="77777777" w:rsidR="002F53B7" w:rsidRPr="000A1858" w:rsidRDefault="002F53B7" w:rsidP="002F53B7">
            <w:pPr>
              <w:spacing w:after="0" w:line="240" w:lineRule="auto"/>
              <w:rPr>
                <w:rFonts w:eastAsia="Times New Roman" w:cs="Times New Roman"/>
                <w:sz w:val="20"/>
                <w:szCs w:val="20"/>
              </w:rPr>
            </w:pPr>
          </w:p>
        </w:tc>
      </w:tr>
      <w:tr w:rsidR="002F53B7" w:rsidRPr="000A1858" w14:paraId="41147DF2" w14:textId="77777777" w:rsidTr="002F53B7">
        <w:trPr>
          <w:trHeight w:val="290"/>
        </w:trPr>
        <w:tc>
          <w:tcPr>
            <w:tcW w:w="2994" w:type="dxa"/>
            <w:gridSpan w:val="3"/>
            <w:tcBorders>
              <w:top w:val="nil"/>
              <w:left w:val="nil"/>
              <w:bottom w:val="nil"/>
              <w:right w:val="nil"/>
            </w:tcBorders>
            <w:shd w:val="clear" w:color="auto" w:fill="auto"/>
            <w:noWrap/>
            <w:vAlign w:val="bottom"/>
            <w:hideMark/>
          </w:tcPr>
          <w:p w14:paraId="7043E100" w14:textId="77777777" w:rsidR="002F53B7" w:rsidRPr="000A1858" w:rsidRDefault="002F53B7" w:rsidP="002F53B7">
            <w:pPr>
              <w:spacing w:after="0" w:line="240" w:lineRule="auto"/>
              <w:rPr>
                <w:rFonts w:ascii="Calibri" w:eastAsia="Times New Roman" w:hAnsi="Calibri" w:cs="Calibri"/>
                <w:color w:val="000000"/>
                <w:sz w:val="22"/>
              </w:rPr>
            </w:pPr>
            <w:r w:rsidRPr="000A1858">
              <w:rPr>
                <w:rFonts w:ascii="Calibri" w:eastAsia="Times New Roman" w:hAnsi="Calibri" w:cs="Calibri"/>
                <w:color w:val="000000"/>
                <w:sz w:val="22"/>
              </w:rPr>
              <w:t>Telephone and Telegraph</w:t>
            </w:r>
          </w:p>
        </w:tc>
        <w:tc>
          <w:tcPr>
            <w:tcW w:w="976" w:type="dxa"/>
            <w:tcBorders>
              <w:top w:val="nil"/>
              <w:left w:val="nil"/>
              <w:bottom w:val="nil"/>
              <w:right w:val="nil"/>
            </w:tcBorders>
            <w:shd w:val="clear" w:color="auto" w:fill="auto"/>
            <w:noWrap/>
            <w:vAlign w:val="bottom"/>
            <w:hideMark/>
          </w:tcPr>
          <w:p w14:paraId="771BB242" w14:textId="77777777" w:rsidR="002F53B7" w:rsidRPr="000A1858" w:rsidRDefault="002F53B7" w:rsidP="002F53B7">
            <w:pPr>
              <w:spacing w:after="0" w:line="240" w:lineRule="auto"/>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7C929884" w14:textId="77777777" w:rsidR="002F53B7" w:rsidRPr="000A1858" w:rsidRDefault="002F53B7" w:rsidP="002F53B7">
            <w:pPr>
              <w:spacing w:after="0" w:line="240" w:lineRule="auto"/>
              <w:rPr>
                <w:rFonts w:eastAsia="Times New Roman" w:cs="Times New Roman"/>
                <w:sz w:val="20"/>
                <w:szCs w:val="20"/>
              </w:rPr>
            </w:pPr>
          </w:p>
        </w:tc>
        <w:tc>
          <w:tcPr>
            <w:tcW w:w="1396" w:type="dxa"/>
            <w:tcBorders>
              <w:top w:val="nil"/>
              <w:left w:val="nil"/>
              <w:bottom w:val="nil"/>
              <w:right w:val="nil"/>
            </w:tcBorders>
            <w:shd w:val="clear" w:color="auto" w:fill="auto"/>
            <w:noWrap/>
            <w:vAlign w:val="bottom"/>
            <w:hideMark/>
          </w:tcPr>
          <w:p w14:paraId="1EF1FA9D"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1.1</w:t>
            </w:r>
          </w:p>
        </w:tc>
        <w:tc>
          <w:tcPr>
            <w:tcW w:w="1296" w:type="dxa"/>
            <w:tcBorders>
              <w:top w:val="nil"/>
              <w:left w:val="nil"/>
              <w:bottom w:val="nil"/>
              <w:right w:val="nil"/>
            </w:tcBorders>
            <w:shd w:val="clear" w:color="auto" w:fill="auto"/>
            <w:noWrap/>
            <w:vAlign w:val="bottom"/>
            <w:hideMark/>
          </w:tcPr>
          <w:p w14:paraId="442819D9"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0.013</w:t>
            </w:r>
          </w:p>
        </w:tc>
        <w:tc>
          <w:tcPr>
            <w:tcW w:w="1436" w:type="dxa"/>
            <w:tcBorders>
              <w:top w:val="nil"/>
              <w:left w:val="nil"/>
              <w:bottom w:val="nil"/>
              <w:right w:val="nil"/>
            </w:tcBorders>
            <w:shd w:val="clear" w:color="auto" w:fill="auto"/>
            <w:noWrap/>
            <w:vAlign w:val="bottom"/>
            <w:hideMark/>
          </w:tcPr>
          <w:p w14:paraId="5174783E"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2.8</w:t>
            </w:r>
          </w:p>
        </w:tc>
        <w:tc>
          <w:tcPr>
            <w:tcW w:w="1236" w:type="dxa"/>
            <w:tcBorders>
              <w:top w:val="nil"/>
              <w:left w:val="nil"/>
              <w:bottom w:val="nil"/>
              <w:right w:val="nil"/>
            </w:tcBorders>
            <w:shd w:val="clear" w:color="auto" w:fill="auto"/>
            <w:noWrap/>
            <w:vAlign w:val="bottom"/>
            <w:hideMark/>
          </w:tcPr>
          <w:p w14:paraId="7C35B744"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0.015</w:t>
            </w:r>
          </w:p>
        </w:tc>
        <w:tc>
          <w:tcPr>
            <w:tcW w:w="1376" w:type="dxa"/>
            <w:tcBorders>
              <w:top w:val="nil"/>
              <w:left w:val="nil"/>
              <w:bottom w:val="nil"/>
              <w:right w:val="nil"/>
            </w:tcBorders>
            <w:shd w:val="clear" w:color="auto" w:fill="auto"/>
            <w:noWrap/>
            <w:vAlign w:val="bottom"/>
            <w:hideMark/>
          </w:tcPr>
          <w:p w14:paraId="33C49641"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0.0181</w:t>
            </w:r>
          </w:p>
        </w:tc>
        <w:tc>
          <w:tcPr>
            <w:tcW w:w="1276" w:type="dxa"/>
            <w:tcBorders>
              <w:top w:val="nil"/>
              <w:left w:val="nil"/>
              <w:bottom w:val="nil"/>
              <w:right w:val="nil"/>
            </w:tcBorders>
            <w:shd w:val="clear" w:color="auto" w:fill="auto"/>
            <w:noWrap/>
            <w:vAlign w:val="bottom"/>
            <w:hideMark/>
          </w:tcPr>
          <w:p w14:paraId="17C4FA7B"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0.0003</w:t>
            </w:r>
          </w:p>
        </w:tc>
        <w:tc>
          <w:tcPr>
            <w:tcW w:w="976" w:type="dxa"/>
            <w:tcBorders>
              <w:top w:val="nil"/>
              <w:left w:val="nil"/>
              <w:bottom w:val="nil"/>
              <w:right w:val="nil"/>
            </w:tcBorders>
            <w:shd w:val="clear" w:color="auto" w:fill="auto"/>
            <w:noWrap/>
            <w:vAlign w:val="bottom"/>
            <w:hideMark/>
          </w:tcPr>
          <w:p w14:paraId="7ACA035E" w14:textId="77777777" w:rsidR="002F53B7" w:rsidRPr="000A1858"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32F02050" w14:textId="77777777" w:rsidR="002F53B7" w:rsidRPr="000A1858" w:rsidRDefault="002F53B7" w:rsidP="002F53B7">
            <w:pPr>
              <w:spacing w:after="0" w:line="240" w:lineRule="auto"/>
              <w:rPr>
                <w:rFonts w:eastAsia="Times New Roman" w:cs="Times New Roman"/>
                <w:sz w:val="20"/>
                <w:szCs w:val="20"/>
              </w:rPr>
            </w:pPr>
          </w:p>
        </w:tc>
      </w:tr>
      <w:tr w:rsidR="002F53B7" w:rsidRPr="000A1858" w14:paraId="20D42298" w14:textId="77777777" w:rsidTr="002F53B7">
        <w:trPr>
          <w:trHeight w:val="290"/>
        </w:trPr>
        <w:tc>
          <w:tcPr>
            <w:tcW w:w="2994" w:type="dxa"/>
            <w:gridSpan w:val="3"/>
            <w:tcBorders>
              <w:top w:val="nil"/>
              <w:left w:val="nil"/>
              <w:bottom w:val="nil"/>
              <w:right w:val="nil"/>
            </w:tcBorders>
            <w:shd w:val="clear" w:color="auto" w:fill="auto"/>
            <w:noWrap/>
            <w:vAlign w:val="bottom"/>
            <w:hideMark/>
          </w:tcPr>
          <w:p w14:paraId="4A30816F" w14:textId="77777777" w:rsidR="002F53B7" w:rsidRPr="000A1858" w:rsidRDefault="002F53B7" w:rsidP="002F53B7">
            <w:pPr>
              <w:spacing w:after="0" w:line="240" w:lineRule="auto"/>
              <w:rPr>
                <w:rFonts w:ascii="Calibri" w:eastAsia="Times New Roman" w:hAnsi="Calibri" w:cs="Calibri"/>
                <w:color w:val="000000"/>
                <w:sz w:val="22"/>
              </w:rPr>
            </w:pPr>
            <w:r w:rsidRPr="000A1858">
              <w:rPr>
                <w:rFonts w:ascii="Calibri" w:eastAsia="Times New Roman" w:hAnsi="Calibri" w:cs="Calibri"/>
                <w:color w:val="000000"/>
                <w:sz w:val="22"/>
              </w:rPr>
              <w:t xml:space="preserve">Electric and Gas Utilities </w:t>
            </w:r>
          </w:p>
        </w:tc>
        <w:tc>
          <w:tcPr>
            <w:tcW w:w="976" w:type="dxa"/>
            <w:tcBorders>
              <w:top w:val="nil"/>
              <w:left w:val="nil"/>
              <w:bottom w:val="nil"/>
              <w:right w:val="nil"/>
            </w:tcBorders>
            <w:shd w:val="clear" w:color="auto" w:fill="auto"/>
            <w:noWrap/>
            <w:vAlign w:val="bottom"/>
            <w:hideMark/>
          </w:tcPr>
          <w:p w14:paraId="41E254F8" w14:textId="77777777" w:rsidR="002F53B7" w:rsidRPr="000A1858" w:rsidRDefault="002F53B7" w:rsidP="002F53B7">
            <w:pPr>
              <w:spacing w:after="0" w:line="240" w:lineRule="auto"/>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22E2792D" w14:textId="77777777" w:rsidR="002F53B7" w:rsidRPr="000A1858" w:rsidRDefault="002F53B7" w:rsidP="002F53B7">
            <w:pPr>
              <w:spacing w:after="0" w:line="240" w:lineRule="auto"/>
              <w:rPr>
                <w:rFonts w:eastAsia="Times New Roman" w:cs="Times New Roman"/>
                <w:sz w:val="20"/>
                <w:szCs w:val="20"/>
              </w:rPr>
            </w:pPr>
          </w:p>
        </w:tc>
        <w:tc>
          <w:tcPr>
            <w:tcW w:w="1396" w:type="dxa"/>
            <w:tcBorders>
              <w:top w:val="nil"/>
              <w:left w:val="nil"/>
              <w:bottom w:val="nil"/>
              <w:right w:val="nil"/>
            </w:tcBorders>
            <w:shd w:val="clear" w:color="auto" w:fill="auto"/>
            <w:noWrap/>
            <w:vAlign w:val="bottom"/>
            <w:hideMark/>
          </w:tcPr>
          <w:p w14:paraId="654F66F9"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2.1</w:t>
            </w:r>
          </w:p>
        </w:tc>
        <w:tc>
          <w:tcPr>
            <w:tcW w:w="1296" w:type="dxa"/>
            <w:tcBorders>
              <w:top w:val="nil"/>
              <w:left w:val="nil"/>
              <w:bottom w:val="nil"/>
              <w:right w:val="nil"/>
            </w:tcBorders>
            <w:shd w:val="clear" w:color="auto" w:fill="auto"/>
            <w:noWrap/>
            <w:vAlign w:val="bottom"/>
            <w:hideMark/>
          </w:tcPr>
          <w:p w14:paraId="322E3E11"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0.024</w:t>
            </w:r>
          </w:p>
        </w:tc>
        <w:tc>
          <w:tcPr>
            <w:tcW w:w="1436" w:type="dxa"/>
            <w:tcBorders>
              <w:top w:val="nil"/>
              <w:left w:val="nil"/>
              <w:bottom w:val="nil"/>
              <w:right w:val="nil"/>
            </w:tcBorders>
            <w:shd w:val="clear" w:color="auto" w:fill="auto"/>
            <w:noWrap/>
            <w:vAlign w:val="bottom"/>
            <w:hideMark/>
          </w:tcPr>
          <w:p w14:paraId="330FE353"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3.7</w:t>
            </w:r>
          </w:p>
        </w:tc>
        <w:tc>
          <w:tcPr>
            <w:tcW w:w="1236" w:type="dxa"/>
            <w:tcBorders>
              <w:top w:val="nil"/>
              <w:left w:val="nil"/>
              <w:bottom w:val="nil"/>
              <w:right w:val="nil"/>
            </w:tcBorders>
            <w:shd w:val="clear" w:color="auto" w:fill="auto"/>
            <w:noWrap/>
            <w:vAlign w:val="bottom"/>
            <w:hideMark/>
          </w:tcPr>
          <w:p w14:paraId="0390B621"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0.020</w:t>
            </w:r>
          </w:p>
        </w:tc>
        <w:tc>
          <w:tcPr>
            <w:tcW w:w="1376" w:type="dxa"/>
            <w:tcBorders>
              <w:top w:val="nil"/>
              <w:left w:val="nil"/>
              <w:bottom w:val="nil"/>
              <w:right w:val="nil"/>
            </w:tcBorders>
            <w:shd w:val="clear" w:color="auto" w:fill="auto"/>
            <w:noWrap/>
            <w:vAlign w:val="bottom"/>
            <w:hideMark/>
          </w:tcPr>
          <w:p w14:paraId="61A7D4B2"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0.0572</w:t>
            </w:r>
          </w:p>
        </w:tc>
        <w:tc>
          <w:tcPr>
            <w:tcW w:w="1276" w:type="dxa"/>
            <w:tcBorders>
              <w:top w:val="nil"/>
              <w:left w:val="nil"/>
              <w:bottom w:val="nil"/>
              <w:right w:val="nil"/>
            </w:tcBorders>
            <w:shd w:val="clear" w:color="auto" w:fill="auto"/>
            <w:noWrap/>
            <w:vAlign w:val="bottom"/>
            <w:hideMark/>
          </w:tcPr>
          <w:p w14:paraId="7E97A027"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0.0013</w:t>
            </w:r>
          </w:p>
        </w:tc>
        <w:tc>
          <w:tcPr>
            <w:tcW w:w="976" w:type="dxa"/>
            <w:tcBorders>
              <w:top w:val="nil"/>
              <w:left w:val="nil"/>
              <w:bottom w:val="nil"/>
              <w:right w:val="nil"/>
            </w:tcBorders>
            <w:shd w:val="clear" w:color="auto" w:fill="auto"/>
            <w:noWrap/>
            <w:vAlign w:val="bottom"/>
            <w:hideMark/>
          </w:tcPr>
          <w:p w14:paraId="19E8032A" w14:textId="77777777" w:rsidR="002F53B7" w:rsidRPr="000A1858"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74CE13A2" w14:textId="77777777" w:rsidR="002F53B7" w:rsidRPr="000A1858" w:rsidRDefault="002F53B7" w:rsidP="002F53B7">
            <w:pPr>
              <w:spacing w:after="0" w:line="240" w:lineRule="auto"/>
              <w:rPr>
                <w:rFonts w:eastAsia="Times New Roman" w:cs="Times New Roman"/>
                <w:sz w:val="20"/>
                <w:szCs w:val="20"/>
              </w:rPr>
            </w:pPr>
          </w:p>
        </w:tc>
      </w:tr>
      <w:tr w:rsidR="002F53B7" w:rsidRPr="000A1858" w14:paraId="10726D25" w14:textId="77777777" w:rsidTr="002F53B7">
        <w:trPr>
          <w:trHeight w:val="290"/>
        </w:trPr>
        <w:tc>
          <w:tcPr>
            <w:tcW w:w="1042" w:type="dxa"/>
            <w:tcBorders>
              <w:top w:val="nil"/>
              <w:left w:val="nil"/>
              <w:bottom w:val="nil"/>
              <w:right w:val="nil"/>
            </w:tcBorders>
            <w:shd w:val="clear" w:color="auto" w:fill="auto"/>
            <w:noWrap/>
            <w:vAlign w:val="bottom"/>
            <w:hideMark/>
          </w:tcPr>
          <w:p w14:paraId="053FD4B3" w14:textId="77777777" w:rsidR="002F53B7" w:rsidRPr="000A1858" w:rsidRDefault="002F53B7" w:rsidP="002F53B7">
            <w:pPr>
              <w:spacing w:after="0" w:line="240" w:lineRule="auto"/>
              <w:rPr>
                <w:rFonts w:ascii="Calibri" w:eastAsia="Times New Roman" w:hAnsi="Calibri" w:cs="Calibri"/>
                <w:color w:val="000000"/>
                <w:sz w:val="22"/>
              </w:rPr>
            </w:pPr>
            <w:r w:rsidRPr="000A1858">
              <w:rPr>
                <w:rFonts w:ascii="Calibri" w:eastAsia="Times New Roman" w:hAnsi="Calibri" w:cs="Calibri"/>
                <w:color w:val="000000"/>
                <w:sz w:val="22"/>
              </w:rPr>
              <w:t>Mining</w:t>
            </w:r>
          </w:p>
        </w:tc>
        <w:tc>
          <w:tcPr>
            <w:tcW w:w="976" w:type="dxa"/>
            <w:tcBorders>
              <w:top w:val="nil"/>
              <w:left w:val="nil"/>
              <w:bottom w:val="nil"/>
              <w:right w:val="nil"/>
            </w:tcBorders>
            <w:shd w:val="clear" w:color="auto" w:fill="auto"/>
            <w:noWrap/>
            <w:vAlign w:val="bottom"/>
            <w:hideMark/>
          </w:tcPr>
          <w:p w14:paraId="7CCF8255" w14:textId="77777777" w:rsidR="002F53B7" w:rsidRPr="000A1858" w:rsidRDefault="002F53B7" w:rsidP="002F53B7">
            <w:pPr>
              <w:spacing w:after="0" w:line="240" w:lineRule="auto"/>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3FC7F6A2"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54D7326"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74771E4" w14:textId="77777777" w:rsidR="002F53B7" w:rsidRPr="000A1858" w:rsidRDefault="002F53B7" w:rsidP="002F53B7">
            <w:pPr>
              <w:spacing w:after="0" w:line="240" w:lineRule="auto"/>
              <w:rPr>
                <w:rFonts w:eastAsia="Times New Roman" w:cs="Times New Roman"/>
                <w:sz w:val="20"/>
                <w:szCs w:val="20"/>
              </w:rPr>
            </w:pPr>
          </w:p>
        </w:tc>
        <w:tc>
          <w:tcPr>
            <w:tcW w:w="1396" w:type="dxa"/>
            <w:tcBorders>
              <w:top w:val="nil"/>
              <w:left w:val="nil"/>
              <w:bottom w:val="nil"/>
              <w:right w:val="nil"/>
            </w:tcBorders>
            <w:shd w:val="clear" w:color="auto" w:fill="auto"/>
            <w:noWrap/>
            <w:vAlign w:val="bottom"/>
            <w:hideMark/>
          </w:tcPr>
          <w:p w14:paraId="4AE8FFAF"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2.4</w:t>
            </w:r>
          </w:p>
        </w:tc>
        <w:tc>
          <w:tcPr>
            <w:tcW w:w="1296" w:type="dxa"/>
            <w:tcBorders>
              <w:top w:val="nil"/>
              <w:left w:val="nil"/>
              <w:bottom w:val="nil"/>
              <w:right w:val="nil"/>
            </w:tcBorders>
            <w:shd w:val="clear" w:color="auto" w:fill="auto"/>
            <w:noWrap/>
            <w:vAlign w:val="bottom"/>
            <w:hideMark/>
          </w:tcPr>
          <w:p w14:paraId="67A5BDD4"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0.028</w:t>
            </w:r>
          </w:p>
        </w:tc>
        <w:tc>
          <w:tcPr>
            <w:tcW w:w="1436" w:type="dxa"/>
            <w:tcBorders>
              <w:top w:val="nil"/>
              <w:left w:val="nil"/>
              <w:bottom w:val="nil"/>
              <w:right w:val="nil"/>
            </w:tcBorders>
            <w:shd w:val="clear" w:color="auto" w:fill="auto"/>
            <w:noWrap/>
            <w:vAlign w:val="bottom"/>
            <w:hideMark/>
          </w:tcPr>
          <w:p w14:paraId="5C706560"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5.4</w:t>
            </w:r>
          </w:p>
        </w:tc>
        <w:tc>
          <w:tcPr>
            <w:tcW w:w="1236" w:type="dxa"/>
            <w:tcBorders>
              <w:top w:val="nil"/>
              <w:left w:val="nil"/>
              <w:bottom w:val="nil"/>
              <w:right w:val="nil"/>
            </w:tcBorders>
            <w:shd w:val="clear" w:color="auto" w:fill="auto"/>
            <w:noWrap/>
            <w:vAlign w:val="bottom"/>
            <w:hideMark/>
          </w:tcPr>
          <w:p w14:paraId="5EEDFB46"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0.030</w:t>
            </w:r>
          </w:p>
        </w:tc>
        <w:tc>
          <w:tcPr>
            <w:tcW w:w="1376" w:type="dxa"/>
            <w:tcBorders>
              <w:top w:val="nil"/>
              <w:left w:val="nil"/>
              <w:bottom w:val="nil"/>
              <w:right w:val="nil"/>
            </w:tcBorders>
            <w:shd w:val="clear" w:color="auto" w:fill="auto"/>
            <w:noWrap/>
            <w:vAlign w:val="bottom"/>
            <w:hideMark/>
          </w:tcPr>
          <w:p w14:paraId="6ACD9FBE"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0.0064</w:t>
            </w:r>
          </w:p>
        </w:tc>
        <w:tc>
          <w:tcPr>
            <w:tcW w:w="1276" w:type="dxa"/>
            <w:tcBorders>
              <w:top w:val="nil"/>
              <w:left w:val="nil"/>
              <w:bottom w:val="nil"/>
              <w:right w:val="nil"/>
            </w:tcBorders>
            <w:shd w:val="clear" w:color="auto" w:fill="auto"/>
            <w:noWrap/>
            <w:vAlign w:val="bottom"/>
            <w:hideMark/>
          </w:tcPr>
          <w:p w14:paraId="6D762AC4"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0.0002</w:t>
            </w:r>
          </w:p>
        </w:tc>
        <w:tc>
          <w:tcPr>
            <w:tcW w:w="976" w:type="dxa"/>
            <w:tcBorders>
              <w:top w:val="nil"/>
              <w:left w:val="nil"/>
              <w:bottom w:val="nil"/>
              <w:right w:val="nil"/>
            </w:tcBorders>
            <w:shd w:val="clear" w:color="auto" w:fill="auto"/>
            <w:noWrap/>
            <w:vAlign w:val="bottom"/>
            <w:hideMark/>
          </w:tcPr>
          <w:p w14:paraId="69538D06" w14:textId="77777777" w:rsidR="002F53B7" w:rsidRPr="000A1858"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455607B4" w14:textId="77777777" w:rsidR="002F53B7" w:rsidRPr="000A1858" w:rsidRDefault="002F53B7" w:rsidP="002F53B7">
            <w:pPr>
              <w:spacing w:after="0" w:line="240" w:lineRule="auto"/>
              <w:rPr>
                <w:rFonts w:eastAsia="Times New Roman" w:cs="Times New Roman"/>
                <w:sz w:val="20"/>
                <w:szCs w:val="20"/>
              </w:rPr>
            </w:pPr>
          </w:p>
        </w:tc>
      </w:tr>
      <w:tr w:rsidR="002F53B7" w:rsidRPr="000A1858" w14:paraId="75CABA94" w14:textId="77777777" w:rsidTr="002F53B7">
        <w:trPr>
          <w:trHeight w:val="290"/>
        </w:trPr>
        <w:tc>
          <w:tcPr>
            <w:tcW w:w="2018" w:type="dxa"/>
            <w:gridSpan w:val="2"/>
            <w:tcBorders>
              <w:top w:val="nil"/>
              <w:left w:val="nil"/>
              <w:bottom w:val="nil"/>
              <w:right w:val="nil"/>
            </w:tcBorders>
            <w:shd w:val="clear" w:color="auto" w:fill="auto"/>
            <w:noWrap/>
            <w:vAlign w:val="bottom"/>
            <w:hideMark/>
          </w:tcPr>
          <w:p w14:paraId="10D1D55F" w14:textId="77777777" w:rsidR="002F53B7" w:rsidRPr="000A1858" w:rsidRDefault="002F53B7" w:rsidP="002F53B7">
            <w:pPr>
              <w:spacing w:after="0" w:line="240" w:lineRule="auto"/>
              <w:rPr>
                <w:rFonts w:ascii="Calibri" w:eastAsia="Times New Roman" w:hAnsi="Calibri" w:cs="Calibri"/>
                <w:color w:val="000000"/>
                <w:sz w:val="22"/>
              </w:rPr>
            </w:pPr>
            <w:r w:rsidRPr="000A1858">
              <w:rPr>
                <w:rFonts w:ascii="Calibri" w:eastAsia="Times New Roman" w:hAnsi="Calibri" w:cs="Calibri"/>
                <w:color w:val="000000"/>
                <w:sz w:val="22"/>
              </w:rPr>
              <w:t>Construction</w:t>
            </w:r>
          </w:p>
        </w:tc>
        <w:tc>
          <w:tcPr>
            <w:tcW w:w="976" w:type="dxa"/>
            <w:tcBorders>
              <w:top w:val="nil"/>
              <w:left w:val="nil"/>
              <w:bottom w:val="nil"/>
              <w:right w:val="nil"/>
            </w:tcBorders>
            <w:shd w:val="clear" w:color="auto" w:fill="auto"/>
            <w:noWrap/>
            <w:vAlign w:val="bottom"/>
            <w:hideMark/>
          </w:tcPr>
          <w:p w14:paraId="5CF36870" w14:textId="77777777" w:rsidR="002F53B7" w:rsidRPr="000A1858" w:rsidRDefault="002F53B7" w:rsidP="002F53B7">
            <w:pPr>
              <w:spacing w:after="0" w:line="240" w:lineRule="auto"/>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00FA831B"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584644C" w14:textId="77777777" w:rsidR="002F53B7" w:rsidRPr="000A1858" w:rsidRDefault="002F53B7" w:rsidP="002F53B7">
            <w:pPr>
              <w:spacing w:after="0" w:line="240" w:lineRule="auto"/>
              <w:rPr>
                <w:rFonts w:eastAsia="Times New Roman" w:cs="Times New Roman"/>
                <w:sz w:val="20"/>
                <w:szCs w:val="20"/>
              </w:rPr>
            </w:pPr>
          </w:p>
        </w:tc>
        <w:tc>
          <w:tcPr>
            <w:tcW w:w="1396" w:type="dxa"/>
            <w:tcBorders>
              <w:top w:val="nil"/>
              <w:left w:val="nil"/>
              <w:bottom w:val="nil"/>
              <w:right w:val="nil"/>
            </w:tcBorders>
            <w:shd w:val="clear" w:color="auto" w:fill="auto"/>
            <w:noWrap/>
            <w:vAlign w:val="bottom"/>
            <w:hideMark/>
          </w:tcPr>
          <w:p w14:paraId="63088802"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4.2</w:t>
            </w:r>
          </w:p>
        </w:tc>
        <w:tc>
          <w:tcPr>
            <w:tcW w:w="1296" w:type="dxa"/>
            <w:tcBorders>
              <w:top w:val="nil"/>
              <w:left w:val="nil"/>
              <w:bottom w:val="nil"/>
              <w:right w:val="nil"/>
            </w:tcBorders>
            <w:shd w:val="clear" w:color="auto" w:fill="auto"/>
            <w:noWrap/>
            <w:vAlign w:val="bottom"/>
            <w:hideMark/>
          </w:tcPr>
          <w:p w14:paraId="5956963F"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0.049</w:t>
            </w:r>
          </w:p>
        </w:tc>
        <w:tc>
          <w:tcPr>
            <w:tcW w:w="1436" w:type="dxa"/>
            <w:tcBorders>
              <w:top w:val="nil"/>
              <w:left w:val="nil"/>
              <w:bottom w:val="nil"/>
              <w:right w:val="nil"/>
            </w:tcBorders>
            <w:shd w:val="clear" w:color="auto" w:fill="auto"/>
            <w:noWrap/>
            <w:vAlign w:val="bottom"/>
            <w:hideMark/>
          </w:tcPr>
          <w:p w14:paraId="69CEC50D"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10.6</w:t>
            </w:r>
          </w:p>
        </w:tc>
        <w:tc>
          <w:tcPr>
            <w:tcW w:w="1236" w:type="dxa"/>
            <w:tcBorders>
              <w:top w:val="nil"/>
              <w:left w:val="nil"/>
              <w:bottom w:val="nil"/>
              <w:right w:val="nil"/>
            </w:tcBorders>
            <w:shd w:val="clear" w:color="auto" w:fill="auto"/>
            <w:noWrap/>
            <w:vAlign w:val="bottom"/>
            <w:hideMark/>
          </w:tcPr>
          <w:p w14:paraId="3C6A7F94"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0.058</w:t>
            </w:r>
          </w:p>
        </w:tc>
        <w:tc>
          <w:tcPr>
            <w:tcW w:w="1376" w:type="dxa"/>
            <w:tcBorders>
              <w:top w:val="nil"/>
              <w:left w:val="nil"/>
              <w:bottom w:val="nil"/>
              <w:right w:val="nil"/>
            </w:tcBorders>
            <w:shd w:val="clear" w:color="auto" w:fill="auto"/>
            <w:noWrap/>
            <w:vAlign w:val="bottom"/>
            <w:hideMark/>
          </w:tcPr>
          <w:p w14:paraId="5CAD3445"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-0.0271</w:t>
            </w:r>
          </w:p>
        </w:tc>
        <w:tc>
          <w:tcPr>
            <w:tcW w:w="1276" w:type="dxa"/>
            <w:tcBorders>
              <w:top w:val="nil"/>
              <w:left w:val="nil"/>
              <w:bottom w:val="nil"/>
              <w:right w:val="nil"/>
            </w:tcBorders>
            <w:shd w:val="clear" w:color="auto" w:fill="auto"/>
            <w:noWrap/>
            <w:vAlign w:val="bottom"/>
            <w:hideMark/>
          </w:tcPr>
          <w:p w14:paraId="7BBB1D4B"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-0.0015</w:t>
            </w:r>
          </w:p>
        </w:tc>
        <w:tc>
          <w:tcPr>
            <w:tcW w:w="976" w:type="dxa"/>
            <w:tcBorders>
              <w:top w:val="nil"/>
              <w:left w:val="nil"/>
              <w:bottom w:val="nil"/>
              <w:right w:val="nil"/>
            </w:tcBorders>
            <w:shd w:val="clear" w:color="auto" w:fill="auto"/>
            <w:noWrap/>
            <w:vAlign w:val="bottom"/>
            <w:hideMark/>
          </w:tcPr>
          <w:p w14:paraId="545FCB78" w14:textId="77777777" w:rsidR="002F53B7" w:rsidRPr="000A1858"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7A0D92EE" w14:textId="77777777" w:rsidR="002F53B7" w:rsidRPr="000A1858" w:rsidRDefault="002F53B7" w:rsidP="002F53B7">
            <w:pPr>
              <w:spacing w:after="0" w:line="240" w:lineRule="auto"/>
              <w:rPr>
                <w:rFonts w:eastAsia="Times New Roman" w:cs="Times New Roman"/>
                <w:sz w:val="20"/>
                <w:szCs w:val="20"/>
              </w:rPr>
            </w:pPr>
          </w:p>
        </w:tc>
      </w:tr>
      <w:tr w:rsidR="002F53B7" w:rsidRPr="000A1858" w14:paraId="70748C0E" w14:textId="77777777" w:rsidTr="002F53B7">
        <w:trPr>
          <w:trHeight w:val="290"/>
        </w:trPr>
        <w:tc>
          <w:tcPr>
            <w:tcW w:w="2018" w:type="dxa"/>
            <w:gridSpan w:val="2"/>
            <w:tcBorders>
              <w:top w:val="nil"/>
              <w:left w:val="nil"/>
              <w:bottom w:val="nil"/>
              <w:right w:val="nil"/>
            </w:tcBorders>
            <w:shd w:val="clear" w:color="auto" w:fill="auto"/>
            <w:noWrap/>
            <w:vAlign w:val="bottom"/>
            <w:hideMark/>
          </w:tcPr>
          <w:p w14:paraId="7D64C55C" w14:textId="77777777" w:rsidR="002F53B7" w:rsidRPr="000A1858" w:rsidRDefault="002F53B7" w:rsidP="002F53B7">
            <w:pPr>
              <w:spacing w:after="0" w:line="240" w:lineRule="auto"/>
              <w:rPr>
                <w:rFonts w:ascii="Calibri" w:eastAsia="Times New Roman" w:hAnsi="Calibri" w:cs="Calibri"/>
                <w:color w:val="000000"/>
                <w:sz w:val="22"/>
              </w:rPr>
            </w:pPr>
            <w:r w:rsidRPr="000A1858">
              <w:rPr>
                <w:rFonts w:ascii="Calibri" w:eastAsia="Times New Roman" w:hAnsi="Calibri" w:cs="Calibri"/>
                <w:color w:val="000000"/>
                <w:sz w:val="22"/>
              </w:rPr>
              <w:t>TOTAL of Above</w:t>
            </w:r>
          </w:p>
        </w:tc>
        <w:tc>
          <w:tcPr>
            <w:tcW w:w="976" w:type="dxa"/>
            <w:tcBorders>
              <w:top w:val="nil"/>
              <w:left w:val="nil"/>
              <w:bottom w:val="nil"/>
              <w:right w:val="nil"/>
            </w:tcBorders>
            <w:shd w:val="clear" w:color="auto" w:fill="auto"/>
            <w:noWrap/>
            <w:vAlign w:val="bottom"/>
            <w:hideMark/>
          </w:tcPr>
          <w:p w14:paraId="1DF45588" w14:textId="77777777" w:rsidR="002F53B7" w:rsidRPr="000A1858" w:rsidRDefault="002F53B7" w:rsidP="002F53B7">
            <w:pPr>
              <w:spacing w:after="0" w:line="240" w:lineRule="auto"/>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418206AB"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44693CE" w14:textId="77777777" w:rsidR="002F53B7" w:rsidRPr="000A1858" w:rsidRDefault="002F53B7" w:rsidP="002F53B7">
            <w:pPr>
              <w:spacing w:after="0" w:line="240" w:lineRule="auto"/>
              <w:rPr>
                <w:rFonts w:eastAsia="Times New Roman" w:cs="Times New Roman"/>
                <w:sz w:val="20"/>
                <w:szCs w:val="20"/>
              </w:rPr>
            </w:pPr>
          </w:p>
        </w:tc>
        <w:tc>
          <w:tcPr>
            <w:tcW w:w="1396" w:type="dxa"/>
            <w:tcBorders>
              <w:top w:val="nil"/>
              <w:left w:val="nil"/>
              <w:bottom w:val="nil"/>
              <w:right w:val="nil"/>
            </w:tcBorders>
            <w:shd w:val="clear" w:color="auto" w:fill="auto"/>
            <w:noWrap/>
            <w:vAlign w:val="bottom"/>
            <w:hideMark/>
          </w:tcPr>
          <w:p w14:paraId="12A11CD5"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65.2</w:t>
            </w:r>
          </w:p>
        </w:tc>
        <w:tc>
          <w:tcPr>
            <w:tcW w:w="1296" w:type="dxa"/>
            <w:tcBorders>
              <w:top w:val="nil"/>
              <w:left w:val="nil"/>
              <w:bottom w:val="nil"/>
              <w:right w:val="nil"/>
            </w:tcBorders>
            <w:shd w:val="clear" w:color="auto" w:fill="auto"/>
            <w:noWrap/>
            <w:vAlign w:val="bottom"/>
            <w:hideMark/>
          </w:tcPr>
          <w:p w14:paraId="49DBC66F"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0.764</w:t>
            </w:r>
          </w:p>
        </w:tc>
        <w:tc>
          <w:tcPr>
            <w:tcW w:w="1436" w:type="dxa"/>
            <w:tcBorders>
              <w:top w:val="nil"/>
              <w:left w:val="nil"/>
              <w:bottom w:val="nil"/>
              <w:right w:val="nil"/>
            </w:tcBorders>
            <w:shd w:val="clear" w:color="auto" w:fill="auto"/>
            <w:noWrap/>
            <w:vAlign w:val="bottom"/>
            <w:hideMark/>
          </w:tcPr>
          <w:p w14:paraId="0F586CDD"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141.2</w:t>
            </w:r>
          </w:p>
        </w:tc>
        <w:tc>
          <w:tcPr>
            <w:tcW w:w="1236" w:type="dxa"/>
            <w:tcBorders>
              <w:top w:val="nil"/>
              <w:left w:val="nil"/>
              <w:bottom w:val="nil"/>
              <w:right w:val="nil"/>
            </w:tcBorders>
            <w:shd w:val="clear" w:color="auto" w:fill="auto"/>
            <w:noWrap/>
            <w:vAlign w:val="bottom"/>
            <w:hideMark/>
          </w:tcPr>
          <w:p w14:paraId="4E551A46"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0.775</w:t>
            </w:r>
          </w:p>
        </w:tc>
        <w:tc>
          <w:tcPr>
            <w:tcW w:w="1376" w:type="dxa"/>
            <w:tcBorders>
              <w:top w:val="nil"/>
              <w:left w:val="nil"/>
              <w:bottom w:val="nil"/>
              <w:right w:val="nil"/>
            </w:tcBorders>
            <w:shd w:val="clear" w:color="auto" w:fill="auto"/>
            <w:noWrap/>
            <w:vAlign w:val="bottom"/>
            <w:hideMark/>
          </w:tcPr>
          <w:p w14:paraId="31DDCDEA" w14:textId="77777777" w:rsidR="002F53B7" w:rsidRPr="000A1858" w:rsidRDefault="002F53B7" w:rsidP="002F53B7">
            <w:pPr>
              <w:spacing w:after="0" w:line="240" w:lineRule="auto"/>
              <w:jc w:val="right"/>
              <w:rPr>
                <w:rFonts w:ascii="Calibri" w:eastAsia="Times New Roman" w:hAnsi="Calibri" w:cs="Calibri"/>
                <w:color w:val="000000"/>
                <w:sz w:val="22"/>
              </w:rPr>
            </w:pPr>
          </w:p>
        </w:tc>
        <w:tc>
          <w:tcPr>
            <w:tcW w:w="1276" w:type="dxa"/>
            <w:tcBorders>
              <w:top w:val="nil"/>
              <w:left w:val="nil"/>
              <w:bottom w:val="nil"/>
              <w:right w:val="nil"/>
            </w:tcBorders>
            <w:shd w:val="clear" w:color="auto" w:fill="auto"/>
            <w:noWrap/>
            <w:vAlign w:val="bottom"/>
            <w:hideMark/>
          </w:tcPr>
          <w:p w14:paraId="253165B9"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0.0069</w:t>
            </w:r>
          </w:p>
        </w:tc>
        <w:tc>
          <w:tcPr>
            <w:tcW w:w="976" w:type="dxa"/>
            <w:tcBorders>
              <w:top w:val="nil"/>
              <w:left w:val="nil"/>
              <w:bottom w:val="nil"/>
              <w:right w:val="nil"/>
            </w:tcBorders>
            <w:shd w:val="clear" w:color="auto" w:fill="auto"/>
            <w:noWrap/>
            <w:vAlign w:val="bottom"/>
            <w:hideMark/>
          </w:tcPr>
          <w:p w14:paraId="73182A45" w14:textId="77777777" w:rsidR="002F53B7" w:rsidRPr="000A1858"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011A7E86" w14:textId="77777777" w:rsidR="002F53B7" w:rsidRPr="000A1858" w:rsidRDefault="002F53B7" w:rsidP="002F53B7">
            <w:pPr>
              <w:spacing w:after="0" w:line="240" w:lineRule="auto"/>
              <w:rPr>
                <w:rFonts w:eastAsia="Times New Roman" w:cs="Times New Roman"/>
                <w:sz w:val="20"/>
                <w:szCs w:val="20"/>
              </w:rPr>
            </w:pPr>
          </w:p>
        </w:tc>
      </w:tr>
      <w:tr w:rsidR="002F53B7" w:rsidRPr="000A1858" w14:paraId="2CBD2F29" w14:textId="77777777" w:rsidTr="002F53B7">
        <w:trPr>
          <w:trHeight w:val="290"/>
        </w:trPr>
        <w:tc>
          <w:tcPr>
            <w:tcW w:w="1042" w:type="dxa"/>
            <w:tcBorders>
              <w:top w:val="nil"/>
              <w:left w:val="nil"/>
              <w:bottom w:val="nil"/>
              <w:right w:val="nil"/>
            </w:tcBorders>
            <w:shd w:val="clear" w:color="auto" w:fill="auto"/>
            <w:noWrap/>
            <w:vAlign w:val="bottom"/>
            <w:hideMark/>
          </w:tcPr>
          <w:p w14:paraId="422DE9D3"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67028E1"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7DD28CA"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0A729A56"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9979D9F" w14:textId="77777777" w:rsidR="002F53B7" w:rsidRPr="000A1858" w:rsidRDefault="002F53B7" w:rsidP="002F53B7">
            <w:pPr>
              <w:spacing w:after="0" w:line="240" w:lineRule="auto"/>
              <w:rPr>
                <w:rFonts w:eastAsia="Times New Roman" w:cs="Times New Roman"/>
                <w:sz w:val="20"/>
                <w:szCs w:val="20"/>
              </w:rPr>
            </w:pPr>
          </w:p>
        </w:tc>
        <w:tc>
          <w:tcPr>
            <w:tcW w:w="1396" w:type="dxa"/>
            <w:tcBorders>
              <w:top w:val="nil"/>
              <w:left w:val="nil"/>
              <w:bottom w:val="nil"/>
              <w:right w:val="nil"/>
            </w:tcBorders>
            <w:shd w:val="clear" w:color="auto" w:fill="auto"/>
            <w:noWrap/>
            <w:vAlign w:val="bottom"/>
            <w:hideMark/>
          </w:tcPr>
          <w:p w14:paraId="7886C86E" w14:textId="77777777" w:rsidR="002F53B7" w:rsidRPr="000A1858" w:rsidRDefault="002F53B7" w:rsidP="002F53B7">
            <w:pPr>
              <w:spacing w:after="0" w:line="240" w:lineRule="auto"/>
              <w:rPr>
                <w:rFonts w:eastAsia="Times New Roman" w:cs="Times New Roman"/>
                <w:sz w:val="20"/>
                <w:szCs w:val="20"/>
              </w:rPr>
            </w:pPr>
          </w:p>
        </w:tc>
        <w:tc>
          <w:tcPr>
            <w:tcW w:w="1296" w:type="dxa"/>
            <w:tcBorders>
              <w:top w:val="nil"/>
              <w:left w:val="nil"/>
              <w:bottom w:val="nil"/>
              <w:right w:val="nil"/>
            </w:tcBorders>
            <w:shd w:val="clear" w:color="auto" w:fill="auto"/>
            <w:noWrap/>
            <w:vAlign w:val="bottom"/>
            <w:hideMark/>
          </w:tcPr>
          <w:p w14:paraId="65C424D6" w14:textId="77777777" w:rsidR="002F53B7" w:rsidRPr="000A1858" w:rsidRDefault="002F53B7" w:rsidP="002F53B7">
            <w:pPr>
              <w:spacing w:after="0" w:line="240" w:lineRule="auto"/>
              <w:rPr>
                <w:rFonts w:eastAsia="Times New Roman" w:cs="Times New Roman"/>
                <w:sz w:val="20"/>
                <w:szCs w:val="20"/>
              </w:rPr>
            </w:pPr>
          </w:p>
        </w:tc>
        <w:tc>
          <w:tcPr>
            <w:tcW w:w="1436" w:type="dxa"/>
            <w:tcBorders>
              <w:top w:val="nil"/>
              <w:left w:val="nil"/>
              <w:bottom w:val="nil"/>
              <w:right w:val="nil"/>
            </w:tcBorders>
            <w:shd w:val="clear" w:color="auto" w:fill="auto"/>
            <w:noWrap/>
            <w:vAlign w:val="bottom"/>
            <w:hideMark/>
          </w:tcPr>
          <w:p w14:paraId="30C60FC4" w14:textId="77777777" w:rsidR="002F53B7" w:rsidRPr="000A1858" w:rsidRDefault="002F53B7" w:rsidP="002F53B7">
            <w:pPr>
              <w:spacing w:after="0" w:line="240" w:lineRule="auto"/>
              <w:rPr>
                <w:rFonts w:eastAsia="Times New Roman" w:cs="Times New Roman"/>
                <w:sz w:val="20"/>
                <w:szCs w:val="20"/>
              </w:rPr>
            </w:pPr>
          </w:p>
        </w:tc>
        <w:tc>
          <w:tcPr>
            <w:tcW w:w="1236" w:type="dxa"/>
            <w:tcBorders>
              <w:top w:val="nil"/>
              <w:left w:val="nil"/>
              <w:bottom w:val="nil"/>
              <w:right w:val="nil"/>
            </w:tcBorders>
            <w:shd w:val="clear" w:color="auto" w:fill="auto"/>
            <w:noWrap/>
            <w:vAlign w:val="bottom"/>
            <w:hideMark/>
          </w:tcPr>
          <w:p w14:paraId="3957ACDE" w14:textId="77777777" w:rsidR="002F53B7" w:rsidRPr="000A1858" w:rsidRDefault="002F53B7" w:rsidP="002F53B7">
            <w:pPr>
              <w:spacing w:after="0" w:line="240" w:lineRule="auto"/>
              <w:rPr>
                <w:rFonts w:eastAsia="Times New Roman" w:cs="Times New Roman"/>
                <w:sz w:val="20"/>
                <w:szCs w:val="20"/>
              </w:rPr>
            </w:pPr>
          </w:p>
        </w:tc>
        <w:tc>
          <w:tcPr>
            <w:tcW w:w="1376" w:type="dxa"/>
            <w:tcBorders>
              <w:top w:val="nil"/>
              <w:left w:val="nil"/>
              <w:bottom w:val="nil"/>
              <w:right w:val="nil"/>
            </w:tcBorders>
            <w:shd w:val="clear" w:color="auto" w:fill="auto"/>
            <w:noWrap/>
            <w:vAlign w:val="bottom"/>
            <w:hideMark/>
          </w:tcPr>
          <w:p w14:paraId="738F923E" w14:textId="77777777" w:rsidR="002F53B7" w:rsidRPr="000A1858" w:rsidRDefault="002F53B7" w:rsidP="002F53B7">
            <w:pPr>
              <w:spacing w:after="0" w:line="240" w:lineRule="auto"/>
              <w:rPr>
                <w:rFonts w:eastAsia="Times New Roman" w:cs="Times New Roman"/>
                <w:sz w:val="20"/>
                <w:szCs w:val="20"/>
              </w:rPr>
            </w:pPr>
          </w:p>
        </w:tc>
        <w:tc>
          <w:tcPr>
            <w:tcW w:w="1276" w:type="dxa"/>
            <w:tcBorders>
              <w:top w:val="nil"/>
              <w:left w:val="nil"/>
              <w:bottom w:val="nil"/>
              <w:right w:val="nil"/>
            </w:tcBorders>
            <w:shd w:val="clear" w:color="auto" w:fill="auto"/>
            <w:noWrap/>
            <w:vAlign w:val="bottom"/>
            <w:hideMark/>
          </w:tcPr>
          <w:p w14:paraId="65EA4D4E"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8A4A20B"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0EE971BE" w14:textId="77777777" w:rsidR="002F53B7" w:rsidRPr="000A1858" w:rsidRDefault="002F53B7" w:rsidP="002F53B7">
            <w:pPr>
              <w:spacing w:after="0" w:line="240" w:lineRule="auto"/>
              <w:rPr>
                <w:rFonts w:eastAsia="Times New Roman" w:cs="Times New Roman"/>
                <w:sz w:val="20"/>
                <w:szCs w:val="20"/>
              </w:rPr>
            </w:pPr>
          </w:p>
        </w:tc>
      </w:tr>
      <w:tr w:rsidR="002F53B7" w:rsidRPr="000A1858" w14:paraId="5473F22E" w14:textId="77777777" w:rsidTr="002F53B7">
        <w:trPr>
          <w:trHeight w:val="290"/>
        </w:trPr>
        <w:tc>
          <w:tcPr>
            <w:tcW w:w="2018" w:type="dxa"/>
            <w:gridSpan w:val="2"/>
            <w:tcBorders>
              <w:top w:val="nil"/>
              <w:left w:val="nil"/>
              <w:bottom w:val="nil"/>
              <w:right w:val="nil"/>
            </w:tcBorders>
            <w:shd w:val="clear" w:color="auto" w:fill="auto"/>
            <w:noWrap/>
            <w:vAlign w:val="bottom"/>
            <w:hideMark/>
          </w:tcPr>
          <w:p w14:paraId="70C70704" w14:textId="77777777" w:rsidR="002F53B7" w:rsidRPr="000A1858" w:rsidRDefault="002F53B7" w:rsidP="002F53B7">
            <w:pPr>
              <w:spacing w:after="0" w:line="240" w:lineRule="auto"/>
              <w:rPr>
                <w:rFonts w:ascii="Calibri" w:eastAsia="Times New Roman" w:hAnsi="Calibri" w:cs="Calibri"/>
                <w:color w:val="000000"/>
                <w:sz w:val="22"/>
              </w:rPr>
            </w:pPr>
            <w:r w:rsidRPr="000A1858">
              <w:rPr>
                <w:rFonts w:ascii="Calibri" w:eastAsia="Times New Roman" w:hAnsi="Calibri" w:cs="Calibri"/>
                <w:color w:val="000000"/>
                <w:sz w:val="22"/>
              </w:rPr>
              <w:t xml:space="preserve">Residual Services </w:t>
            </w:r>
          </w:p>
        </w:tc>
        <w:tc>
          <w:tcPr>
            <w:tcW w:w="976" w:type="dxa"/>
            <w:tcBorders>
              <w:top w:val="nil"/>
              <w:left w:val="nil"/>
              <w:bottom w:val="nil"/>
              <w:right w:val="nil"/>
            </w:tcBorders>
            <w:shd w:val="clear" w:color="auto" w:fill="auto"/>
            <w:noWrap/>
            <w:vAlign w:val="bottom"/>
            <w:hideMark/>
          </w:tcPr>
          <w:p w14:paraId="1E651D77" w14:textId="77777777" w:rsidR="002F53B7" w:rsidRPr="000A1858" w:rsidRDefault="002F53B7" w:rsidP="002F53B7">
            <w:pPr>
              <w:spacing w:after="0" w:line="240" w:lineRule="auto"/>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28281F32"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6418726" w14:textId="77777777" w:rsidR="002F53B7" w:rsidRPr="000A1858" w:rsidRDefault="002F53B7" w:rsidP="002F53B7">
            <w:pPr>
              <w:spacing w:after="0" w:line="240" w:lineRule="auto"/>
              <w:rPr>
                <w:rFonts w:eastAsia="Times New Roman" w:cs="Times New Roman"/>
                <w:sz w:val="20"/>
                <w:szCs w:val="20"/>
              </w:rPr>
            </w:pPr>
          </w:p>
        </w:tc>
        <w:tc>
          <w:tcPr>
            <w:tcW w:w="1396" w:type="dxa"/>
            <w:tcBorders>
              <w:top w:val="nil"/>
              <w:left w:val="nil"/>
              <w:bottom w:val="nil"/>
              <w:right w:val="nil"/>
            </w:tcBorders>
            <w:shd w:val="clear" w:color="auto" w:fill="auto"/>
            <w:noWrap/>
            <w:vAlign w:val="bottom"/>
            <w:hideMark/>
          </w:tcPr>
          <w:p w14:paraId="3AEA894F" w14:textId="77777777" w:rsidR="002F53B7" w:rsidRPr="000A1858" w:rsidRDefault="002F53B7" w:rsidP="002F53B7">
            <w:pPr>
              <w:spacing w:after="0" w:line="240" w:lineRule="auto"/>
              <w:rPr>
                <w:rFonts w:eastAsia="Times New Roman" w:cs="Times New Roman"/>
                <w:sz w:val="20"/>
                <w:szCs w:val="20"/>
              </w:rPr>
            </w:pPr>
          </w:p>
        </w:tc>
        <w:tc>
          <w:tcPr>
            <w:tcW w:w="1296" w:type="dxa"/>
            <w:tcBorders>
              <w:top w:val="nil"/>
              <w:left w:val="nil"/>
              <w:bottom w:val="nil"/>
              <w:right w:val="nil"/>
            </w:tcBorders>
            <w:shd w:val="clear" w:color="auto" w:fill="auto"/>
            <w:noWrap/>
            <w:vAlign w:val="bottom"/>
            <w:hideMark/>
          </w:tcPr>
          <w:p w14:paraId="52A260A2" w14:textId="77777777" w:rsidR="002F53B7" w:rsidRPr="000A1858" w:rsidRDefault="002F53B7" w:rsidP="002F53B7">
            <w:pPr>
              <w:spacing w:after="0" w:line="240" w:lineRule="auto"/>
              <w:rPr>
                <w:rFonts w:eastAsia="Times New Roman" w:cs="Times New Roman"/>
                <w:sz w:val="20"/>
                <w:szCs w:val="20"/>
              </w:rPr>
            </w:pPr>
          </w:p>
        </w:tc>
        <w:tc>
          <w:tcPr>
            <w:tcW w:w="1436" w:type="dxa"/>
            <w:tcBorders>
              <w:top w:val="nil"/>
              <w:left w:val="nil"/>
              <w:bottom w:val="nil"/>
              <w:right w:val="nil"/>
            </w:tcBorders>
            <w:shd w:val="clear" w:color="auto" w:fill="auto"/>
            <w:noWrap/>
            <w:vAlign w:val="bottom"/>
            <w:hideMark/>
          </w:tcPr>
          <w:p w14:paraId="3A6204E3" w14:textId="77777777" w:rsidR="002F53B7" w:rsidRPr="000A1858" w:rsidRDefault="002F53B7" w:rsidP="002F53B7">
            <w:pPr>
              <w:spacing w:after="0" w:line="240" w:lineRule="auto"/>
              <w:rPr>
                <w:rFonts w:eastAsia="Times New Roman" w:cs="Times New Roman"/>
                <w:sz w:val="20"/>
                <w:szCs w:val="20"/>
              </w:rPr>
            </w:pPr>
          </w:p>
        </w:tc>
        <w:tc>
          <w:tcPr>
            <w:tcW w:w="1236" w:type="dxa"/>
            <w:tcBorders>
              <w:top w:val="nil"/>
              <w:left w:val="nil"/>
              <w:bottom w:val="nil"/>
              <w:right w:val="nil"/>
            </w:tcBorders>
            <w:shd w:val="clear" w:color="auto" w:fill="auto"/>
            <w:noWrap/>
            <w:vAlign w:val="bottom"/>
            <w:hideMark/>
          </w:tcPr>
          <w:p w14:paraId="5D6250BB" w14:textId="77777777" w:rsidR="002F53B7" w:rsidRPr="000A1858" w:rsidRDefault="002F53B7" w:rsidP="002F53B7">
            <w:pPr>
              <w:spacing w:after="0" w:line="240" w:lineRule="auto"/>
              <w:rPr>
                <w:rFonts w:eastAsia="Times New Roman" w:cs="Times New Roman"/>
                <w:sz w:val="20"/>
                <w:szCs w:val="20"/>
              </w:rPr>
            </w:pPr>
          </w:p>
        </w:tc>
        <w:tc>
          <w:tcPr>
            <w:tcW w:w="1376" w:type="dxa"/>
            <w:tcBorders>
              <w:top w:val="nil"/>
              <w:left w:val="nil"/>
              <w:bottom w:val="nil"/>
              <w:right w:val="nil"/>
            </w:tcBorders>
            <w:shd w:val="clear" w:color="auto" w:fill="auto"/>
            <w:noWrap/>
            <w:vAlign w:val="bottom"/>
            <w:hideMark/>
          </w:tcPr>
          <w:p w14:paraId="1FBFEEBA" w14:textId="77777777" w:rsidR="002F53B7" w:rsidRPr="000A1858" w:rsidRDefault="002F53B7" w:rsidP="002F53B7">
            <w:pPr>
              <w:spacing w:after="0" w:line="240" w:lineRule="auto"/>
              <w:rPr>
                <w:rFonts w:eastAsia="Times New Roman" w:cs="Times New Roman"/>
                <w:sz w:val="20"/>
                <w:szCs w:val="20"/>
              </w:rPr>
            </w:pPr>
          </w:p>
        </w:tc>
        <w:tc>
          <w:tcPr>
            <w:tcW w:w="1276" w:type="dxa"/>
            <w:tcBorders>
              <w:top w:val="nil"/>
              <w:left w:val="nil"/>
              <w:bottom w:val="nil"/>
              <w:right w:val="nil"/>
            </w:tcBorders>
            <w:shd w:val="clear" w:color="auto" w:fill="auto"/>
            <w:noWrap/>
            <w:vAlign w:val="bottom"/>
            <w:hideMark/>
          </w:tcPr>
          <w:p w14:paraId="2136126A"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26D32DE"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24537A1" w14:textId="77777777" w:rsidR="002F53B7" w:rsidRPr="000A1858" w:rsidRDefault="002F53B7" w:rsidP="002F53B7">
            <w:pPr>
              <w:spacing w:after="0" w:line="240" w:lineRule="auto"/>
              <w:rPr>
                <w:rFonts w:eastAsia="Times New Roman" w:cs="Times New Roman"/>
                <w:sz w:val="20"/>
                <w:szCs w:val="20"/>
              </w:rPr>
            </w:pPr>
          </w:p>
        </w:tc>
      </w:tr>
      <w:tr w:rsidR="002F53B7" w:rsidRPr="000A1858" w14:paraId="09C24C5B" w14:textId="77777777" w:rsidTr="002F53B7">
        <w:trPr>
          <w:trHeight w:val="290"/>
        </w:trPr>
        <w:tc>
          <w:tcPr>
            <w:tcW w:w="1042" w:type="dxa"/>
            <w:tcBorders>
              <w:top w:val="nil"/>
              <w:left w:val="nil"/>
              <w:bottom w:val="nil"/>
              <w:right w:val="nil"/>
            </w:tcBorders>
            <w:shd w:val="clear" w:color="auto" w:fill="auto"/>
            <w:noWrap/>
            <w:vAlign w:val="bottom"/>
            <w:hideMark/>
          </w:tcPr>
          <w:p w14:paraId="7F1EAE9E" w14:textId="77777777" w:rsidR="002F53B7" w:rsidRPr="000A1858" w:rsidRDefault="002F53B7" w:rsidP="002F53B7">
            <w:pPr>
              <w:spacing w:after="0" w:line="240" w:lineRule="auto"/>
              <w:rPr>
                <w:rFonts w:ascii="Calibri" w:eastAsia="Times New Roman" w:hAnsi="Calibri" w:cs="Calibri"/>
                <w:color w:val="000000"/>
                <w:sz w:val="22"/>
              </w:rPr>
            </w:pPr>
            <w:r w:rsidRPr="000A1858">
              <w:rPr>
                <w:rFonts w:ascii="Calibri" w:eastAsia="Times New Roman" w:hAnsi="Calibri" w:cs="Calibri"/>
                <w:color w:val="000000"/>
                <w:sz w:val="22"/>
              </w:rPr>
              <w:t xml:space="preserve">   FIRE</w:t>
            </w:r>
          </w:p>
        </w:tc>
        <w:tc>
          <w:tcPr>
            <w:tcW w:w="976" w:type="dxa"/>
            <w:tcBorders>
              <w:top w:val="nil"/>
              <w:left w:val="nil"/>
              <w:bottom w:val="nil"/>
              <w:right w:val="nil"/>
            </w:tcBorders>
            <w:shd w:val="clear" w:color="auto" w:fill="auto"/>
            <w:noWrap/>
            <w:vAlign w:val="bottom"/>
            <w:hideMark/>
          </w:tcPr>
          <w:p w14:paraId="571DD06B" w14:textId="77777777" w:rsidR="002F53B7" w:rsidRPr="000A1858" w:rsidRDefault="002F53B7" w:rsidP="002F53B7">
            <w:pPr>
              <w:spacing w:after="0" w:line="240" w:lineRule="auto"/>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2DD17DCD"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8D3EEA6"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5773397" w14:textId="77777777" w:rsidR="002F53B7" w:rsidRPr="000A1858" w:rsidRDefault="002F53B7" w:rsidP="002F53B7">
            <w:pPr>
              <w:spacing w:after="0" w:line="240" w:lineRule="auto"/>
              <w:rPr>
                <w:rFonts w:eastAsia="Times New Roman" w:cs="Times New Roman"/>
                <w:sz w:val="20"/>
                <w:szCs w:val="20"/>
              </w:rPr>
            </w:pPr>
          </w:p>
        </w:tc>
        <w:tc>
          <w:tcPr>
            <w:tcW w:w="1396" w:type="dxa"/>
            <w:tcBorders>
              <w:top w:val="nil"/>
              <w:left w:val="nil"/>
              <w:bottom w:val="nil"/>
              <w:right w:val="nil"/>
            </w:tcBorders>
            <w:shd w:val="clear" w:color="auto" w:fill="auto"/>
            <w:noWrap/>
            <w:vAlign w:val="bottom"/>
            <w:hideMark/>
          </w:tcPr>
          <w:p w14:paraId="5903072A"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9.3</w:t>
            </w:r>
          </w:p>
        </w:tc>
        <w:tc>
          <w:tcPr>
            <w:tcW w:w="1296" w:type="dxa"/>
            <w:tcBorders>
              <w:top w:val="nil"/>
              <w:left w:val="nil"/>
              <w:bottom w:val="nil"/>
              <w:right w:val="nil"/>
            </w:tcBorders>
            <w:shd w:val="clear" w:color="auto" w:fill="auto"/>
            <w:noWrap/>
            <w:vAlign w:val="bottom"/>
            <w:hideMark/>
          </w:tcPr>
          <w:p w14:paraId="6436B1E5"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0.109</w:t>
            </w:r>
          </w:p>
        </w:tc>
        <w:tc>
          <w:tcPr>
            <w:tcW w:w="1436" w:type="dxa"/>
            <w:tcBorders>
              <w:top w:val="nil"/>
              <w:left w:val="nil"/>
              <w:bottom w:val="nil"/>
              <w:right w:val="nil"/>
            </w:tcBorders>
            <w:shd w:val="clear" w:color="auto" w:fill="auto"/>
            <w:noWrap/>
            <w:vAlign w:val="bottom"/>
            <w:hideMark/>
          </w:tcPr>
          <w:p w14:paraId="21537DA7"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18.4</w:t>
            </w:r>
          </w:p>
        </w:tc>
        <w:tc>
          <w:tcPr>
            <w:tcW w:w="1236" w:type="dxa"/>
            <w:tcBorders>
              <w:top w:val="nil"/>
              <w:left w:val="nil"/>
              <w:bottom w:val="nil"/>
              <w:right w:val="nil"/>
            </w:tcBorders>
            <w:shd w:val="clear" w:color="auto" w:fill="auto"/>
            <w:noWrap/>
            <w:vAlign w:val="bottom"/>
            <w:hideMark/>
          </w:tcPr>
          <w:p w14:paraId="1B0832E2"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0.101</w:t>
            </w:r>
          </w:p>
        </w:tc>
        <w:tc>
          <w:tcPr>
            <w:tcW w:w="1376" w:type="dxa"/>
            <w:tcBorders>
              <w:top w:val="nil"/>
              <w:left w:val="nil"/>
              <w:bottom w:val="nil"/>
              <w:right w:val="nil"/>
            </w:tcBorders>
            <w:shd w:val="clear" w:color="auto" w:fill="auto"/>
            <w:noWrap/>
            <w:vAlign w:val="bottom"/>
            <w:hideMark/>
          </w:tcPr>
          <w:p w14:paraId="2494B8F5" w14:textId="77777777" w:rsidR="002F53B7" w:rsidRPr="000A1858" w:rsidRDefault="002F53B7" w:rsidP="002F53B7">
            <w:pPr>
              <w:spacing w:after="0" w:line="240" w:lineRule="auto"/>
              <w:jc w:val="right"/>
              <w:rPr>
                <w:rFonts w:ascii="Calibri" w:eastAsia="Times New Roman" w:hAnsi="Calibri" w:cs="Calibri"/>
                <w:color w:val="000000"/>
                <w:sz w:val="22"/>
              </w:rPr>
            </w:pPr>
          </w:p>
        </w:tc>
        <w:tc>
          <w:tcPr>
            <w:tcW w:w="1276" w:type="dxa"/>
            <w:tcBorders>
              <w:top w:val="nil"/>
              <w:left w:val="nil"/>
              <w:bottom w:val="nil"/>
              <w:right w:val="nil"/>
            </w:tcBorders>
            <w:shd w:val="clear" w:color="auto" w:fill="auto"/>
            <w:noWrap/>
            <w:vAlign w:val="bottom"/>
            <w:hideMark/>
          </w:tcPr>
          <w:p w14:paraId="788852F6"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0E39DE8"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72D8E8B" w14:textId="77777777" w:rsidR="002F53B7" w:rsidRPr="000A1858" w:rsidRDefault="002F53B7" w:rsidP="002F53B7">
            <w:pPr>
              <w:spacing w:after="0" w:line="240" w:lineRule="auto"/>
              <w:rPr>
                <w:rFonts w:eastAsia="Times New Roman" w:cs="Times New Roman"/>
                <w:sz w:val="20"/>
                <w:szCs w:val="20"/>
              </w:rPr>
            </w:pPr>
          </w:p>
        </w:tc>
      </w:tr>
      <w:tr w:rsidR="002F53B7" w:rsidRPr="000A1858" w14:paraId="36B609B1" w14:textId="77777777" w:rsidTr="002F53B7">
        <w:trPr>
          <w:trHeight w:val="290"/>
        </w:trPr>
        <w:tc>
          <w:tcPr>
            <w:tcW w:w="2994" w:type="dxa"/>
            <w:gridSpan w:val="3"/>
            <w:tcBorders>
              <w:top w:val="nil"/>
              <w:left w:val="nil"/>
              <w:bottom w:val="nil"/>
              <w:right w:val="nil"/>
            </w:tcBorders>
            <w:shd w:val="clear" w:color="auto" w:fill="auto"/>
            <w:noWrap/>
            <w:vAlign w:val="bottom"/>
            <w:hideMark/>
          </w:tcPr>
          <w:p w14:paraId="7DF7FB13" w14:textId="77777777" w:rsidR="002F53B7" w:rsidRPr="000A1858" w:rsidRDefault="002F53B7" w:rsidP="002F53B7">
            <w:pPr>
              <w:spacing w:after="0" w:line="240" w:lineRule="auto"/>
              <w:rPr>
                <w:rFonts w:ascii="Calibri" w:eastAsia="Times New Roman" w:hAnsi="Calibri" w:cs="Calibri"/>
                <w:color w:val="000000"/>
                <w:sz w:val="22"/>
              </w:rPr>
            </w:pPr>
            <w:r w:rsidRPr="000A1858">
              <w:rPr>
                <w:rFonts w:ascii="Calibri" w:eastAsia="Times New Roman" w:hAnsi="Calibri" w:cs="Calibri"/>
                <w:color w:val="000000"/>
                <w:sz w:val="22"/>
              </w:rPr>
              <w:t xml:space="preserve">   Other transport services</w:t>
            </w:r>
          </w:p>
        </w:tc>
        <w:tc>
          <w:tcPr>
            <w:tcW w:w="976" w:type="dxa"/>
            <w:tcBorders>
              <w:top w:val="nil"/>
              <w:left w:val="nil"/>
              <w:bottom w:val="nil"/>
              <w:right w:val="nil"/>
            </w:tcBorders>
            <w:shd w:val="clear" w:color="auto" w:fill="auto"/>
            <w:noWrap/>
            <w:vAlign w:val="bottom"/>
            <w:hideMark/>
          </w:tcPr>
          <w:p w14:paraId="2D67F4B3" w14:textId="77777777" w:rsidR="002F53B7" w:rsidRPr="000A1858" w:rsidRDefault="002F53B7" w:rsidP="002F53B7">
            <w:pPr>
              <w:spacing w:after="0" w:line="240" w:lineRule="auto"/>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082346FB" w14:textId="77777777" w:rsidR="002F53B7" w:rsidRPr="000A1858" w:rsidRDefault="002F53B7" w:rsidP="002F53B7">
            <w:pPr>
              <w:spacing w:after="0" w:line="240" w:lineRule="auto"/>
              <w:rPr>
                <w:rFonts w:eastAsia="Times New Roman" w:cs="Times New Roman"/>
                <w:sz w:val="20"/>
                <w:szCs w:val="20"/>
              </w:rPr>
            </w:pPr>
          </w:p>
        </w:tc>
        <w:tc>
          <w:tcPr>
            <w:tcW w:w="1396" w:type="dxa"/>
            <w:tcBorders>
              <w:top w:val="nil"/>
              <w:left w:val="nil"/>
              <w:bottom w:val="nil"/>
              <w:right w:val="nil"/>
            </w:tcBorders>
            <w:shd w:val="clear" w:color="auto" w:fill="auto"/>
            <w:noWrap/>
            <w:vAlign w:val="bottom"/>
            <w:hideMark/>
          </w:tcPr>
          <w:p w14:paraId="4C66B764"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1.5</w:t>
            </w:r>
          </w:p>
        </w:tc>
        <w:tc>
          <w:tcPr>
            <w:tcW w:w="1296" w:type="dxa"/>
            <w:tcBorders>
              <w:top w:val="nil"/>
              <w:left w:val="nil"/>
              <w:bottom w:val="nil"/>
              <w:right w:val="nil"/>
            </w:tcBorders>
            <w:shd w:val="clear" w:color="auto" w:fill="auto"/>
            <w:noWrap/>
            <w:vAlign w:val="bottom"/>
            <w:hideMark/>
          </w:tcPr>
          <w:p w14:paraId="1B96579D"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0.018</w:t>
            </w:r>
          </w:p>
        </w:tc>
        <w:tc>
          <w:tcPr>
            <w:tcW w:w="1436" w:type="dxa"/>
            <w:tcBorders>
              <w:top w:val="nil"/>
              <w:left w:val="nil"/>
              <w:bottom w:val="nil"/>
              <w:right w:val="nil"/>
            </w:tcBorders>
            <w:shd w:val="clear" w:color="auto" w:fill="auto"/>
            <w:noWrap/>
            <w:vAlign w:val="bottom"/>
            <w:hideMark/>
          </w:tcPr>
          <w:p w14:paraId="71ABE52B"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3.5</w:t>
            </w:r>
          </w:p>
        </w:tc>
        <w:tc>
          <w:tcPr>
            <w:tcW w:w="1236" w:type="dxa"/>
            <w:tcBorders>
              <w:top w:val="nil"/>
              <w:left w:val="nil"/>
              <w:bottom w:val="nil"/>
              <w:right w:val="nil"/>
            </w:tcBorders>
            <w:shd w:val="clear" w:color="auto" w:fill="auto"/>
            <w:noWrap/>
            <w:vAlign w:val="bottom"/>
            <w:hideMark/>
          </w:tcPr>
          <w:p w14:paraId="6A83993B"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0.019</w:t>
            </w:r>
          </w:p>
        </w:tc>
        <w:tc>
          <w:tcPr>
            <w:tcW w:w="1376" w:type="dxa"/>
            <w:tcBorders>
              <w:top w:val="nil"/>
              <w:left w:val="nil"/>
              <w:bottom w:val="nil"/>
              <w:right w:val="nil"/>
            </w:tcBorders>
            <w:shd w:val="clear" w:color="auto" w:fill="auto"/>
            <w:noWrap/>
            <w:vAlign w:val="bottom"/>
            <w:hideMark/>
          </w:tcPr>
          <w:p w14:paraId="559A5AF4" w14:textId="77777777" w:rsidR="002F53B7" w:rsidRPr="000A1858" w:rsidRDefault="002F53B7" w:rsidP="002F53B7">
            <w:pPr>
              <w:spacing w:after="0" w:line="240" w:lineRule="auto"/>
              <w:jc w:val="right"/>
              <w:rPr>
                <w:rFonts w:ascii="Calibri" w:eastAsia="Times New Roman" w:hAnsi="Calibri" w:cs="Calibri"/>
                <w:color w:val="000000"/>
                <w:sz w:val="22"/>
              </w:rPr>
            </w:pPr>
          </w:p>
        </w:tc>
        <w:tc>
          <w:tcPr>
            <w:tcW w:w="1276" w:type="dxa"/>
            <w:tcBorders>
              <w:top w:val="nil"/>
              <w:left w:val="nil"/>
              <w:bottom w:val="nil"/>
              <w:right w:val="nil"/>
            </w:tcBorders>
            <w:shd w:val="clear" w:color="auto" w:fill="auto"/>
            <w:noWrap/>
            <w:vAlign w:val="bottom"/>
            <w:hideMark/>
          </w:tcPr>
          <w:p w14:paraId="1DA01969"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1FB91A9"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B0FC2EE" w14:textId="77777777" w:rsidR="002F53B7" w:rsidRPr="000A1858" w:rsidRDefault="002F53B7" w:rsidP="002F53B7">
            <w:pPr>
              <w:spacing w:after="0" w:line="240" w:lineRule="auto"/>
              <w:rPr>
                <w:rFonts w:eastAsia="Times New Roman" w:cs="Times New Roman"/>
                <w:sz w:val="20"/>
                <w:szCs w:val="20"/>
              </w:rPr>
            </w:pPr>
          </w:p>
        </w:tc>
      </w:tr>
      <w:tr w:rsidR="002F53B7" w:rsidRPr="000A1858" w14:paraId="4699EA81" w14:textId="77777777" w:rsidTr="002F53B7">
        <w:trPr>
          <w:trHeight w:val="290"/>
        </w:trPr>
        <w:tc>
          <w:tcPr>
            <w:tcW w:w="2018" w:type="dxa"/>
            <w:gridSpan w:val="2"/>
            <w:tcBorders>
              <w:top w:val="nil"/>
              <w:left w:val="nil"/>
              <w:bottom w:val="nil"/>
              <w:right w:val="nil"/>
            </w:tcBorders>
            <w:shd w:val="clear" w:color="auto" w:fill="auto"/>
            <w:noWrap/>
            <w:vAlign w:val="bottom"/>
            <w:hideMark/>
          </w:tcPr>
          <w:p w14:paraId="009E8DFE" w14:textId="77777777" w:rsidR="002F53B7" w:rsidRPr="000A1858" w:rsidRDefault="002F53B7" w:rsidP="002F53B7">
            <w:pPr>
              <w:spacing w:after="0" w:line="240" w:lineRule="auto"/>
              <w:rPr>
                <w:rFonts w:ascii="Calibri" w:eastAsia="Times New Roman" w:hAnsi="Calibri" w:cs="Calibri"/>
                <w:color w:val="000000"/>
                <w:sz w:val="22"/>
              </w:rPr>
            </w:pPr>
            <w:r w:rsidRPr="000A1858">
              <w:rPr>
                <w:rFonts w:ascii="Calibri" w:eastAsia="Times New Roman" w:hAnsi="Calibri" w:cs="Calibri"/>
                <w:color w:val="000000"/>
                <w:sz w:val="22"/>
              </w:rPr>
              <w:t xml:space="preserve">   Services n.e.c.</w:t>
            </w:r>
          </w:p>
        </w:tc>
        <w:tc>
          <w:tcPr>
            <w:tcW w:w="976" w:type="dxa"/>
            <w:tcBorders>
              <w:top w:val="nil"/>
              <w:left w:val="nil"/>
              <w:bottom w:val="nil"/>
              <w:right w:val="nil"/>
            </w:tcBorders>
            <w:shd w:val="clear" w:color="auto" w:fill="auto"/>
            <w:noWrap/>
            <w:vAlign w:val="bottom"/>
            <w:hideMark/>
          </w:tcPr>
          <w:p w14:paraId="5DB9EFB6" w14:textId="77777777" w:rsidR="002F53B7" w:rsidRPr="000A1858" w:rsidRDefault="002F53B7" w:rsidP="002F53B7">
            <w:pPr>
              <w:spacing w:after="0" w:line="240" w:lineRule="auto"/>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412DF9ED"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BD9D21D" w14:textId="77777777" w:rsidR="002F53B7" w:rsidRPr="000A1858" w:rsidRDefault="002F53B7" w:rsidP="002F53B7">
            <w:pPr>
              <w:spacing w:after="0" w:line="240" w:lineRule="auto"/>
              <w:rPr>
                <w:rFonts w:eastAsia="Times New Roman" w:cs="Times New Roman"/>
                <w:sz w:val="20"/>
                <w:szCs w:val="20"/>
              </w:rPr>
            </w:pPr>
          </w:p>
        </w:tc>
        <w:tc>
          <w:tcPr>
            <w:tcW w:w="1396" w:type="dxa"/>
            <w:tcBorders>
              <w:top w:val="nil"/>
              <w:left w:val="nil"/>
              <w:bottom w:val="nil"/>
              <w:right w:val="nil"/>
            </w:tcBorders>
            <w:shd w:val="clear" w:color="auto" w:fill="auto"/>
            <w:noWrap/>
            <w:vAlign w:val="bottom"/>
            <w:hideMark/>
          </w:tcPr>
          <w:p w14:paraId="0E5E7449"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8.9</w:t>
            </w:r>
          </w:p>
        </w:tc>
        <w:tc>
          <w:tcPr>
            <w:tcW w:w="1296" w:type="dxa"/>
            <w:tcBorders>
              <w:top w:val="nil"/>
              <w:left w:val="nil"/>
              <w:bottom w:val="nil"/>
              <w:right w:val="nil"/>
            </w:tcBorders>
            <w:shd w:val="clear" w:color="auto" w:fill="auto"/>
            <w:noWrap/>
            <w:vAlign w:val="bottom"/>
            <w:hideMark/>
          </w:tcPr>
          <w:p w14:paraId="589FCE83"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0.104</w:t>
            </w:r>
          </w:p>
        </w:tc>
        <w:tc>
          <w:tcPr>
            <w:tcW w:w="1436" w:type="dxa"/>
            <w:tcBorders>
              <w:top w:val="nil"/>
              <w:left w:val="nil"/>
              <w:bottom w:val="nil"/>
              <w:right w:val="nil"/>
            </w:tcBorders>
            <w:shd w:val="clear" w:color="auto" w:fill="auto"/>
            <w:noWrap/>
            <w:vAlign w:val="bottom"/>
            <w:hideMark/>
          </w:tcPr>
          <w:p w14:paraId="05C26810"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19.5</w:t>
            </w:r>
          </w:p>
        </w:tc>
        <w:tc>
          <w:tcPr>
            <w:tcW w:w="1236" w:type="dxa"/>
            <w:tcBorders>
              <w:top w:val="nil"/>
              <w:left w:val="nil"/>
              <w:bottom w:val="nil"/>
              <w:right w:val="nil"/>
            </w:tcBorders>
            <w:shd w:val="clear" w:color="auto" w:fill="auto"/>
            <w:noWrap/>
            <w:vAlign w:val="bottom"/>
            <w:hideMark/>
          </w:tcPr>
          <w:p w14:paraId="0E1ED394"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0.107</w:t>
            </w:r>
          </w:p>
        </w:tc>
        <w:tc>
          <w:tcPr>
            <w:tcW w:w="1376" w:type="dxa"/>
            <w:tcBorders>
              <w:top w:val="nil"/>
              <w:left w:val="nil"/>
              <w:bottom w:val="nil"/>
              <w:right w:val="nil"/>
            </w:tcBorders>
            <w:shd w:val="clear" w:color="auto" w:fill="auto"/>
            <w:noWrap/>
            <w:vAlign w:val="bottom"/>
            <w:hideMark/>
          </w:tcPr>
          <w:p w14:paraId="4FA79D38" w14:textId="77777777" w:rsidR="002F53B7" w:rsidRPr="000A1858" w:rsidRDefault="002F53B7" w:rsidP="002F53B7">
            <w:pPr>
              <w:spacing w:after="0" w:line="240" w:lineRule="auto"/>
              <w:jc w:val="right"/>
              <w:rPr>
                <w:rFonts w:ascii="Calibri" w:eastAsia="Times New Roman" w:hAnsi="Calibri" w:cs="Calibri"/>
                <w:color w:val="000000"/>
                <w:sz w:val="22"/>
              </w:rPr>
            </w:pPr>
          </w:p>
        </w:tc>
        <w:tc>
          <w:tcPr>
            <w:tcW w:w="1276" w:type="dxa"/>
            <w:tcBorders>
              <w:top w:val="nil"/>
              <w:left w:val="nil"/>
              <w:bottom w:val="nil"/>
              <w:right w:val="nil"/>
            </w:tcBorders>
            <w:shd w:val="clear" w:color="auto" w:fill="auto"/>
            <w:noWrap/>
            <w:vAlign w:val="bottom"/>
            <w:hideMark/>
          </w:tcPr>
          <w:p w14:paraId="6C475FFB"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093A1CF1"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15750DAA" w14:textId="77777777" w:rsidR="002F53B7" w:rsidRPr="000A1858" w:rsidRDefault="002F53B7" w:rsidP="002F53B7">
            <w:pPr>
              <w:spacing w:after="0" w:line="240" w:lineRule="auto"/>
              <w:rPr>
                <w:rFonts w:eastAsia="Times New Roman" w:cs="Times New Roman"/>
                <w:sz w:val="20"/>
                <w:szCs w:val="20"/>
              </w:rPr>
            </w:pPr>
          </w:p>
        </w:tc>
      </w:tr>
      <w:tr w:rsidR="002F53B7" w:rsidRPr="000A1858" w14:paraId="45CE8F73" w14:textId="77777777" w:rsidTr="002F53B7">
        <w:trPr>
          <w:trHeight w:val="290"/>
        </w:trPr>
        <w:tc>
          <w:tcPr>
            <w:tcW w:w="2994" w:type="dxa"/>
            <w:gridSpan w:val="3"/>
            <w:tcBorders>
              <w:top w:val="nil"/>
              <w:left w:val="nil"/>
              <w:bottom w:val="nil"/>
              <w:right w:val="nil"/>
            </w:tcBorders>
            <w:shd w:val="clear" w:color="auto" w:fill="auto"/>
            <w:noWrap/>
            <w:vAlign w:val="bottom"/>
            <w:hideMark/>
          </w:tcPr>
          <w:p w14:paraId="19C6361A" w14:textId="77777777" w:rsidR="002F53B7" w:rsidRPr="000A1858" w:rsidRDefault="002F53B7" w:rsidP="002F53B7">
            <w:pPr>
              <w:spacing w:after="0" w:line="240" w:lineRule="auto"/>
              <w:rPr>
                <w:rFonts w:ascii="Calibri" w:eastAsia="Times New Roman" w:hAnsi="Calibri" w:cs="Calibri"/>
                <w:color w:val="000000"/>
                <w:sz w:val="22"/>
              </w:rPr>
            </w:pPr>
            <w:r w:rsidRPr="000A1858">
              <w:rPr>
                <w:rFonts w:ascii="Calibri" w:eastAsia="Times New Roman" w:hAnsi="Calibri" w:cs="Calibri"/>
                <w:color w:val="000000"/>
                <w:sz w:val="22"/>
              </w:rPr>
              <w:t>TOTAL Residual Services</w:t>
            </w:r>
          </w:p>
        </w:tc>
        <w:tc>
          <w:tcPr>
            <w:tcW w:w="976" w:type="dxa"/>
            <w:tcBorders>
              <w:top w:val="nil"/>
              <w:left w:val="nil"/>
              <w:bottom w:val="nil"/>
              <w:right w:val="nil"/>
            </w:tcBorders>
            <w:shd w:val="clear" w:color="auto" w:fill="auto"/>
            <w:noWrap/>
            <w:vAlign w:val="bottom"/>
            <w:hideMark/>
          </w:tcPr>
          <w:p w14:paraId="641631C0" w14:textId="77777777" w:rsidR="002F53B7" w:rsidRPr="000A1858" w:rsidRDefault="002F53B7" w:rsidP="002F53B7">
            <w:pPr>
              <w:spacing w:after="0" w:line="240" w:lineRule="auto"/>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427F7654" w14:textId="77777777" w:rsidR="002F53B7" w:rsidRPr="000A1858" w:rsidRDefault="002F53B7" w:rsidP="002F53B7">
            <w:pPr>
              <w:spacing w:after="0" w:line="240" w:lineRule="auto"/>
              <w:rPr>
                <w:rFonts w:eastAsia="Times New Roman" w:cs="Times New Roman"/>
                <w:sz w:val="20"/>
                <w:szCs w:val="20"/>
              </w:rPr>
            </w:pPr>
          </w:p>
        </w:tc>
        <w:tc>
          <w:tcPr>
            <w:tcW w:w="1396" w:type="dxa"/>
            <w:tcBorders>
              <w:top w:val="nil"/>
              <w:left w:val="nil"/>
              <w:bottom w:val="nil"/>
              <w:right w:val="nil"/>
            </w:tcBorders>
            <w:shd w:val="clear" w:color="auto" w:fill="auto"/>
            <w:noWrap/>
            <w:vAlign w:val="bottom"/>
            <w:hideMark/>
          </w:tcPr>
          <w:p w14:paraId="2EEB5DB7"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19.6</w:t>
            </w:r>
          </w:p>
        </w:tc>
        <w:tc>
          <w:tcPr>
            <w:tcW w:w="1296" w:type="dxa"/>
            <w:tcBorders>
              <w:top w:val="nil"/>
              <w:left w:val="nil"/>
              <w:bottom w:val="nil"/>
              <w:right w:val="nil"/>
            </w:tcBorders>
            <w:shd w:val="clear" w:color="auto" w:fill="auto"/>
            <w:noWrap/>
            <w:vAlign w:val="bottom"/>
            <w:hideMark/>
          </w:tcPr>
          <w:p w14:paraId="16771039"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0.230</w:t>
            </w:r>
          </w:p>
        </w:tc>
        <w:tc>
          <w:tcPr>
            <w:tcW w:w="1436" w:type="dxa"/>
            <w:tcBorders>
              <w:top w:val="nil"/>
              <w:left w:val="nil"/>
              <w:bottom w:val="nil"/>
              <w:right w:val="nil"/>
            </w:tcBorders>
            <w:shd w:val="clear" w:color="auto" w:fill="auto"/>
            <w:noWrap/>
            <w:vAlign w:val="bottom"/>
            <w:hideMark/>
          </w:tcPr>
          <w:p w14:paraId="70B60CE8"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41.4</w:t>
            </w:r>
          </w:p>
        </w:tc>
        <w:tc>
          <w:tcPr>
            <w:tcW w:w="1236" w:type="dxa"/>
            <w:tcBorders>
              <w:top w:val="nil"/>
              <w:left w:val="nil"/>
              <w:bottom w:val="nil"/>
              <w:right w:val="nil"/>
            </w:tcBorders>
            <w:shd w:val="clear" w:color="auto" w:fill="auto"/>
            <w:noWrap/>
            <w:vAlign w:val="bottom"/>
            <w:hideMark/>
          </w:tcPr>
          <w:p w14:paraId="131A14F3"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0.227</w:t>
            </w:r>
          </w:p>
        </w:tc>
        <w:tc>
          <w:tcPr>
            <w:tcW w:w="1376" w:type="dxa"/>
            <w:tcBorders>
              <w:top w:val="nil"/>
              <w:left w:val="nil"/>
              <w:bottom w:val="nil"/>
              <w:right w:val="nil"/>
            </w:tcBorders>
            <w:shd w:val="clear" w:color="auto" w:fill="auto"/>
            <w:noWrap/>
            <w:vAlign w:val="bottom"/>
            <w:hideMark/>
          </w:tcPr>
          <w:p w14:paraId="6AA25AB5"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0.0265</w:t>
            </w:r>
          </w:p>
        </w:tc>
        <w:tc>
          <w:tcPr>
            <w:tcW w:w="1276" w:type="dxa"/>
            <w:tcBorders>
              <w:top w:val="nil"/>
              <w:left w:val="nil"/>
              <w:bottom w:val="nil"/>
              <w:right w:val="nil"/>
            </w:tcBorders>
            <w:shd w:val="clear" w:color="auto" w:fill="auto"/>
            <w:noWrap/>
            <w:vAlign w:val="bottom"/>
            <w:hideMark/>
          </w:tcPr>
          <w:p w14:paraId="717EC6F0"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0.0060</w:t>
            </w:r>
          </w:p>
        </w:tc>
        <w:tc>
          <w:tcPr>
            <w:tcW w:w="976" w:type="dxa"/>
            <w:tcBorders>
              <w:top w:val="nil"/>
              <w:left w:val="nil"/>
              <w:bottom w:val="nil"/>
              <w:right w:val="nil"/>
            </w:tcBorders>
            <w:shd w:val="clear" w:color="auto" w:fill="auto"/>
            <w:noWrap/>
            <w:vAlign w:val="bottom"/>
            <w:hideMark/>
          </w:tcPr>
          <w:p w14:paraId="27A2E8B0" w14:textId="77777777" w:rsidR="002F53B7" w:rsidRPr="000A1858"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2FC57963" w14:textId="77777777" w:rsidR="002F53B7" w:rsidRPr="000A1858" w:rsidRDefault="002F53B7" w:rsidP="002F53B7">
            <w:pPr>
              <w:spacing w:after="0" w:line="240" w:lineRule="auto"/>
              <w:rPr>
                <w:rFonts w:eastAsia="Times New Roman" w:cs="Times New Roman"/>
                <w:sz w:val="20"/>
                <w:szCs w:val="20"/>
              </w:rPr>
            </w:pPr>
          </w:p>
        </w:tc>
      </w:tr>
      <w:tr w:rsidR="002F53B7" w:rsidRPr="000A1858" w14:paraId="7CC16A17" w14:textId="77777777" w:rsidTr="002F53B7">
        <w:trPr>
          <w:trHeight w:val="290"/>
        </w:trPr>
        <w:tc>
          <w:tcPr>
            <w:tcW w:w="2018" w:type="dxa"/>
            <w:gridSpan w:val="2"/>
            <w:tcBorders>
              <w:top w:val="nil"/>
              <w:left w:val="nil"/>
              <w:bottom w:val="nil"/>
              <w:right w:val="nil"/>
            </w:tcBorders>
            <w:shd w:val="clear" w:color="auto" w:fill="auto"/>
            <w:noWrap/>
            <w:vAlign w:val="bottom"/>
            <w:hideMark/>
          </w:tcPr>
          <w:p w14:paraId="2062095E" w14:textId="77777777" w:rsidR="002F53B7" w:rsidRPr="000A1858" w:rsidRDefault="002F53B7" w:rsidP="002F53B7">
            <w:pPr>
              <w:spacing w:after="0" w:line="240" w:lineRule="auto"/>
              <w:rPr>
                <w:rFonts w:ascii="Calibri" w:eastAsia="Times New Roman" w:hAnsi="Calibri" w:cs="Calibri"/>
                <w:color w:val="000000"/>
                <w:sz w:val="22"/>
              </w:rPr>
            </w:pPr>
            <w:r w:rsidRPr="000A1858">
              <w:rPr>
                <w:rFonts w:ascii="Calibri" w:eastAsia="Times New Roman" w:hAnsi="Calibri" w:cs="Calibri"/>
                <w:color w:val="000000"/>
                <w:sz w:val="22"/>
              </w:rPr>
              <w:t>TOTAL PNE</w:t>
            </w:r>
          </w:p>
        </w:tc>
        <w:tc>
          <w:tcPr>
            <w:tcW w:w="976" w:type="dxa"/>
            <w:tcBorders>
              <w:top w:val="nil"/>
              <w:left w:val="nil"/>
              <w:bottom w:val="nil"/>
              <w:right w:val="nil"/>
            </w:tcBorders>
            <w:shd w:val="clear" w:color="auto" w:fill="auto"/>
            <w:noWrap/>
            <w:vAlign w:val="bottom"/>
            <w:hideMark/>
          </w:tcPr>
          <w:p w14:paraId="6C0E25C6" w14:textId="77777777" w:rsidR="002F53B7" w:rsidRPr="000A1858" w:rsidRDefault="002F53B7" w:rsidP="002F53B7">
            <w:pPr>
              <w:spacing w:after="0" w:line="240" w:lineRule="auto"/>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75CC19D5"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207F8CA" w14:textId="77777777" w:rsidR="002F53B7" w:rsidRPr="000A1858" w:rsidRDefault="002F53B7" w:rsidP="002F53B7">
            <w:pPr>
              <w:spacing w:after="0" w:line="240" w:lineRule="auto"/>
              <w:rPr>
                <w:rFonts w:eastAsia="Times New Roman" w:cs="Times New Roman"/>
                <w:sz w:val="20"/>
                <w:szCs w:val="20"/>
              </w:rPr>
            </w:pPr>
          </w:p>
        </w:tc>
        <w:tc>
          <w:tcPr>
            <w:tcW w:w="1396" w:type="dxa"/>
            <w:tcBorders>
              <w:top w:val="nil"/>
              <w:left w:val="nil"/>
              <w:bottom w:val="nil"/>
              <w:right w:val="nil"/>
            </w:tcBorders>
            <w:shd w:val="clear" w:color="auto" w:fill="auto"/>
            <w:noWrap/>
            <w:vAlign w:val="bottom"/>
            <w:hideMark/>
          </w:tcPr>
          <w:p w14:paraId="76E03353" w14:textId="77777777" w:rsidR="002F53B7" w:rsidRPr="000A1858" w:rsidRDefault="002F53B7" w:rsidP="002F53B7">
            <w:pPr>
              <w:spacing w:after="0" w:line="240" w:lineRule="auto"/>
              <w:rPr>
                <w:rFonts w:eastAsia="Times New Roman" w:cs="Times New Roman"/>
                <w:sz w:val="20"/>
                <w:szCs w:val="20"/>
              </w:rPr>
            </w:pPr>
          </w:p>
        </w:tc>
        <w:tc>
          <w:tcPr>
            <w:tcW w:w="1296" w:type="dxa"/>
            <w:tcBorders>
              <w:top w:val="nil"/>
              <w:left w:val="nil"/>
              <w:bottom w:val="nil"/>
              <w:right w:val="nil"/>
            </w:tcBorders>
            <w:shd w:val="clear" w:color="auto" w:fill="auto"/>
            <w:noWrap/>
            <w:vAlign w:val="bottom"/>
            <w:hideMark/>
          </w:tcPr>
          <w:p w14:paraId="121DDE1B"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0.995</w:t>
            </w:r>
          </w:p>
        </w:tc>
        <w:tc>
          <w:tcPr>
            <w:tcW w:w="1436" w:type="dxa"/>
            <w:tcBorders>
              <w:top w:val="nil"/>
              <w:left w:val="nil"/>
              <w:bottom w:val="nil"/>
              <w:right w:val="nil"/>
            </w:tcBorders>
            <w:shd w:val="clear" w:color="auto" w:fill="auto"/>
            <w:noWrap/>
            <w:vAlign w:val="bottom"/>
            <w:hideMark/>
          </w:tcPr>
          <w:p w14:paraId="1EDE7B77" w14:textId="77777777" w:rsidR="002F53B7" w:rsidRPr="000A1858" w:rsidRDefault="002F53B7" w:rsidP="002F53B7">
            <w:pPr>
              <w:spacing w:after="0" w:line="240" w:lineRule="auto"/>
              <w:jc w:val="right"/>
              <w:rPr>
                <w:rFonts w:ascii="Calibri" w:eastAsia="Times New Roman" w:hAnsi="Calibri" w:cs="Calibri"/>
                <w:color w:val="000000"/>
                <w:sz w:val="22"/>
              </w:rPr>
            </w:pPr>
          </w:p>
        </w:tc>
        <w:tc>
          <w:tcPr>
            <w:tcW w:w="1236" w:type="dxa"/>
            <w:tcBorders>
              <w:top w:val="nil"/>
              <w:left w:val="nil"/>
              <w:bottom w:val="nil"/>
              <w:right w:val="nil"/>
            </w:tcBorders>
            <w:shd w:val="clear" w:color="auto" w:fill="auto"/>
            <w:noWrap/>
            <w:vAlign w:val="bottom"/>
            <w:hideMark/>
          </w:tcPr>
          <w:p w14:paraId="58334CE9"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1.002</w:t>
            </w:r>
          </w:p>
        </w:tc>
        <w:tc>
          <w:tcPr>
            <w:tcW w:w="1376" w:type="dxa"/>
            <w:tcBorders>
              <w:top w:val="nil"/>
              <w:left w:val="nil"/>
              <w:bottom w:val="nil"/>
              <w:right w:val="nil"/>
            </w:tcBorders>
            <w:shd w:val="clear" w:color="auto" w:fill="auto"/>
            <w:noWrap/>
            <w:vAlign w:val="bottom"/>
            <w:hideMark/>
          </w:tcPr>
          <w:p w14:paraId="431A67D4" w14:textId="77777777" w:rsidR="002F53B7" w:rsidRPr="000A1858" w:rsidRDefault="002F53B7" w:rsidP="002F53B7">
            <w:pPr>
              <w:spacing w:after="0" w:line="240" w:lineRule="auto"/>
              <w:jc w:val="right"/>
              <w:rPr>
                <w:rFonts w:ascii="Calibri" w:eastAsia="Times New Roman" w:hAnsi="Calibri" w:cs="Calibri"/>
                <w:color w:val="000000"/>
                <w:sz w:val="22"/>
              </w:rPr>
            </w:pPr>
          </w:p>
        </w:tc>
        <w:tc>
          <w:tcPr>
            <w:tcW w:w="1276" w:type="dxa"/>
            <w:tcBorders>
              <w:top w:val="nil"/>
              <w:left w:val="nil"/>
              <w:bottom w:val="nil"/>
              <w:right w:val="nil"/>
            </w:tcBorders>
            <w:shd w:val="clear" w:color="auto" w:fill="auto"/>
            <w:noWrap/>
            <w:vAlign w:val="bottom"/>
            <w:hideMark/>
          </w:tcPr>
          <w:p w14:paraId="670DFA0B" w14:textId="77777777" w:rsidR="002F53B7" w:rsidRPr="000A1858" w:rsidRDefault="002F53B7" w:rsidP="002F53B7">
            <w:pPr>
              <w:spacing w:after="0" w:line="240" w:lineRule="auto"/>
              <w:jc w:val="right"/>
              <w:rPr>
                <w:rFonts w:ascii="Calibri" w:eastAsia="Times New Roman" w:hAnsi="Calibri" w:cs="Calibri"/>
                <w:color w:val="000000"/>
                <w:sz w:val="22"/>
              </w:rPr>
            </w:pPr>
            <w:r w:rsidRPr="000A1858">
              <w:rPr>
                <w:rFonts w:ascii="Calibri" w:eastAsia="Times New Roman" w:hAnsi="Calibri" w:cs="Calibri"/>
                <w:color w:val="000000"/>
                <w:sz w:val="22"/>
              </w:rPr>
              <w:t>0.0129</w:t>
            </w:r>
          </w:p>
        </w:tc>
        <w:tc>
          <w:tcPr>
            <w:tcW w:w="976" w:type="dxa"/>
            <w:tcBorders>
              <w:top w:val="nil"/>
              <w:left w:val="nil"/>
              <w:bottom w:val="nil"/>
              <w:right w:val="nil"/>
            </w:tcBorders>
            <w:shd w:val="clear" w:color="auto" w:fill="auto"/>
            <w:noWrap/>
            <w:vAlign w:val="bottom"/>
            <w:hideMark/>
          </w:tcPr>
          <w:p w14:paraId="1E3E6385" w14:textId="77777777" w:rsidR="002F53B7" w:rsidRPr="000A1858" w:rsidRDefault="002F53B7" w:rsidP="002F53B7">
            <w:pPr>
              <w:spacing w:after="0" w:line="240" w:lineRule="auto"/>
              <w:jc w:val="right"/>
              <w:rPr>
                <w:rFonts w:ascii="Calibri" w:eastAsia="Times New Roman" w:hAnsi="Calibri" w:cs="Calibri"/>
                <w:color w:val="000000"/>
                <w:sz w:val="22"/>
              </w:rPr>
            </w:pPr>
          </w:p>
        </w:tc>
        <w:tc>
          <w:tcPr>
            <w:tcW w:w="976" w:type="dxa"/>
            <w:tcBorders>
              <w:top w:val="nil"/>
              <w:left w:val="nil"/>
              <w:bottom w:val="nil"/>
              <w:right w:val="nil"/>
            </w:tcBorders>
            <w:shd w:val="clear" w:color="auto" w:fill="auto"/>
            <w:noWrap/>
            <w:vAlign w:val="bottom"/>
            <w:hideMark/>
          </w:tcPr>
          <w:p w14:paraId="5A7CB1E4" w14:textId="77777777" w:rsidR="002F53B7" w:rsidRPr="000A1858" w:rsidRDefault="002F53B7" w:rsidP="002F53B7">
            <w:pPr>
              <w:spacing w:after="0" w:line="240" w:lineRule="auto"/>
              <w:rPr>
                <w:rFonts w:eastAsia="Times New Roman" w:cs="Times New Roman"/>
                <w:sz w:val="20"/>
                <w:szCs w:val="20"/>
              </w:rPr>
            </w:pPr>
          </w:p>
        </w:tc>
      </w:tr>
      <w:tr w:rsidR="002F53B7" w:rsidRPr="000A1858" w14:paraId="0F1BA76E" w14:textId="77777777" w:rsidTr="002F53B7">
        <w:trPr>
          <w:trHeight w:val="290"/>
        </w:trPr>
        <w:tc>
          <w:tcPr>
            <w:tcW w:w="1042" w:type="dxa"/>
            <w:tcBorders>
              <w:top w:val="nil"/>
              <w:left w:val="nil"/>
              <w:bottom w:val="nil"/>
              <w:right w:val="nil"/>
            </w:tcBorders>
            <w:shd w:val="clear" w:color="auto" w:fill="auto"/>
            <w:noWrap/>
            <w:vAlign w:val="bottom"/>
            <w:hideMark/>
          </w:tcPr>
          <w:p w14:paraId="230FF4A3"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3628C37E"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54E08E0A"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5B60A99"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3C157CF" w14:textId="77777777" w:rsidR="002F53B7" w:rsidRPr="000A1858" w:rsidRDefault="002F53B7" w:rsidP="002F53B7">
            <w:pPr>
              <w:spacing w:after="0" w:line="240" w:lineRule="auto"/>
              <w:rPr>
                <w:rFonts w:eastAsia="Times New Roman" w:cs="Times New Roman"/>
                <w:sz w:val="20"/>
                <w:szCs w:val="20"/>
              </w:rPr>
            </w:pPr>
          </w:p>
        </w:tc>
        <w:tc>
          <w:tcPr>
            <w:tcW w:w="1396" w:type="dxa"/>
            <w:tcBorders>
              <w:top w:val="nil"/>
              <w:left w:val="nil"/>
              <w:bottom w:val="nil"/>
              <w:right w:val="nil"/>
            </w:tcBorders>
            <w:shd w:val="clear" w:color="auto" w:fill="auto"/>
            <w:noWrap/>
            <w:vAlign w:val="bottom"/>
            <w:hideMark/>
          </w:tcPr>
          <w:p w14:paraId="5B52A44C" w14:textId="77777777" w:rsidR="002F53B7" w:rsidRPr="000A1858" w:rsidRDefault="002F53B7" w:rsidP="002F53B7">
            <w:pPr>
              <w:spacing w:after="0" w:line="240" w:lineRule="auto"/>
              <w:rPr>
                <w:rFonts w:eastAsia="Times New Roman" w:cs="Times New Roman"/>
                <w:sz w:val="20"/>
                <w:szCs w:val="20"/>
              </w:rPr>
            </w:pPr>
          </w:p>
        </w:tc>
        <w:tc>
          <w:tcPr>
            <w:tcW w:w="1296" w:type="dxa"/>
            <w:tcBorders>
              <w:top w:val="nil"/>
              <w:left w:val="nil"/>
              <w:bottom w:val="nil"/>
              <w:right w:val="nil"/>
            </w:tcBorders>
            <w:shd w:val="clear" w:color="auto" w:fill="auto"/>
            <w:noWrap/>
            <w:vAlign w:val="bottom"/>
            <w:hideMark/>
          </w:tcPr>
          <w:p w14:paraId="0C75DA71" w14:textId="77777777" w:rsidR="002F53B7" w:rsidRPr="000A1858" w:rsidRDefault="002F53B7" w:rsidP="002F53B7">
            <w:pPr>
              <w:spacing w:after="0" w:line="240" w:lineRule="auto"/>
              <w:rPr>
                <w:rFonts w:eastAsia="Times New Roman" w:cs="Times New Roman"/>
                <w:sz w:val="20"/>
                <w:szCs w:val="20"/>
              </w:rPr>
            </w:pPr>
          </w:p>
        </w:tc>
        <w:tc>
          <w:tcPr>
            <w:tcW w:w="1436" w:type="dxa"/>
            <w:tcBorders>
              <w:top w:val="nil"/>
              <w:left w:val="nil"/>
              <w:bottom w:val="nil"/>
              <w:right w:val="nil"/>
            </w:tcBorders>
            <w:shd w:val="clear" w:color="auto" w:fill="auto"/>
            <w:noWrap/>
            <w:vAlign w:val="bottom"/>
            <w:hideMark/>
          </w:tcPr>
          <w:p w14:paraId="2049EAEF" w14:textId="77777777" w:rsidR="002F53B7" w:rsidRPr="000A1858" w:rsidRDefault="002F53B7" w:rsidP="002F53B7">
            <w:pPr>
              <w:spacing w:after="0" w:line="240" w:lineRule="auto"/>
              <w:rPr>
                <w:rFonts w:eastAsia="Times New Roman" w:cs="Times New Roman"/>
                <w:sz w:val="20"/>
                <w:szCs w:val="20"/>
              </w:rPr>
            </w:pPr>
          </w:p>
        </w:tc>
        <w:tc>
          <w:tcPr>
            <w:tcW w:w="1236" w:type="dxa"/>
            <w:tcBorders>
              <w:top w:val="nil"/>
              <w:left w:val="nil"/>
              <w:bottom w:val="nil"/>
              <w:right w:val="nil"/>
            </w:tcBorders>
            <w:shd w:val="clear" w:color="auto" w:fill="auto"/>
            <w:noWrap/>
            <w:vAlign w:val="bottom"/>
            <w:hideMark/>
          </w:tcPr>
          <w:p w14:paraId="4EC68A0C" w14:textId="77777777" w:rsidR="002F53B7" w:rsidRPr="000A1858" w:rsidRDefault="002F53B7" w:rsidP="002F53B7">
            <w:pPr>
              <w:spacing w:after="0" w:line="240" w:lineRule="auto"/>
              <w:rPr>
                <w:rFonts w:eastAsia="Times New Roman" w:cs="Times New Roman"/>
                <w:sz w:val="20"/>
                <w:szCs w:val="20"/>
              </w:rPr>
            </w:pPr>
          </w:p>
        </w:tc>
        <w:tc>
          <w:tcPr>
            <w:tcW w:w="1376" w:type="dxa"/>
            <w:tcBorders>
              <w:top w:val="nil"/>
              <w:left w:val="nil"/>
              <w:bottom w:val="nil"/>
              <w:right w:val="nil"/>
            </w:tcBorders>
            <w:shd w:val="clear" w:color="auto" w:fill="auto"/>
            <w:noWrap/>
            <w:vAlign w:val="bottom"/>
            <w:hideMark/>
          </w:tcPr>
          <w:p w14:paraId="31AAC32E" w14:textId="77777777" w:rsidR="002F53B7" w:rsidRPr="000A1858" w:rsidRDefault="002F53B7" w:rsidP="002F53B7">
            <w:pPr>
              <w:spacing w:after="0" w:line="240" w:lineRule="auto"/>
              <w:rPr>
                <w:rFonts w:eastAsia="Times New Roman" w:cs="Times New Roman"/>
                <w:sz w:val="20"/>
                <w:szCs w:val="20"/>
              </w:rPr>
            </w:pPr>
          </w:p>
        </w:tc>
        <w:tc>
          <w:tcPr>
            <w:tcW w:w="1276" w:type="dxa"/>
            <w:tcBorders>
              <w:top w:val="nil"/>
              <w:left w:val="nil"/>
              <w:bottom w:val="nil"/>
              <w:right w:val="nil"/>
            </w:tcBorders>
            <w:shd w:val="clear" w:color="auto" w:fill="auto"/>
            <w:noWrap/>
            <w:vAlign w:val="bottom"/>
            <w:hideMark/>
          </w:tcPr>
          <w:p w14:paraId="7F0E86DC"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B58AD3D"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43FAFF29" w14:textId="77777777" w:rsidR="002F53B7" w:rsidRPr="000A1858" w:rsidRDefault="002F53B7" w:rsidP="002F53B7">
            <w:pPr>
              <w:spacing w:after="0" w:line="240" w:lineRule="auto"/>
              <w:rPr>
                <w:rFonts w:eastAsia="Times New Roman" w:cs="Times New Roman"/>
                <w:sz w:val="20"/>
                <w:szCs w:val="20"/>
              </w:rPr>
            </w:pPr>
          </w:p>
        </w:tc>
      </w:tr>
      <w:tr w:rsidR="002F53B7" w:rsidRPr="000A1858" w14:paraId="78D2544A" w14:textId="77777777" w:rsidTr="002F53B7">
        <w:trPr>
          <w:trHeight w:val="290"/>
        </w:trPr>
        <w:tc>
          <w:tcPr>
            <w:tcW w:w="1042" w:type="dxa"/>
            <w:tcBorders>
              <w:top w:val="nil"/>
              <w:left w:val="nil"/>
              <w:bottom w:val="nil"/>
              <w:right w:val="nil"/>
            </w:tcBorders>
            <w:shd w:val="clear" w:color="auto" w:fill="auto"/>
            <w:noWrap/>
            <w:vAlign w:val="bottom"/>
            <w:hideMark/>
          </w:tcPr>
          <w:p w14:paraId="32F2F124" w14:textId="77777777" w:rsidR="002F53B7" w:rsidRPr="000A1858" w:rsidRDefault="002F53B7" w:rsidP="002F53B7">
            <w:pPr>
              <w:spacing w:after="0" w:line="240" w:lineRule="auto"/>
              <w:rPr>
                <w:rFonts w:ascii="Calibri" w:eastAsia="Times New Roman" w:hAnsi="Calibri" w:cs="Calibri"/>
                <w:color w:val="000000"/>
                <w:sz w:val="22"/>
              </w:rPr>
            </w:pPr>
            <w:r w:rsidRPr="000A1858">
              <w:rPr>
                <w:rFonts w:ascii="Calibri" w:eastAsia="Times New Roman" w:hAnsi="Calibri" w:cs="Calibri"/>
                <w:color w:val="000000"/>
                <w:sz w:val="22"/>
              </w:rPr>
              <w:t>Sources:</w:t>
            </w:r>
          </w:p>
        </w:tc>
        <w:tc>
          <w:tcPr>
            <w:tcW w:w="8032" w:type="dxa"/>
            <w:gridSpan w:val="7"/>
            <w:tcBorders>
              <w:top w:val="nil"/>
              <w:left w:val="nil"/>
              <w:bottom w:val="nil"/>
              <w:right w:val="nil"/>
            </w:tcBorders>
            <w:shd w:val="clear" w:color="auto" w:fill="auto"/>
            <w:noWrap/>
            <w:vAlign w:val="bottom"/>
            <w:hideMark/>
          </w:tcPr>
          <w:p w14:paraId="2D19C52D" w14:textId="77777777" w:rsidR="002F53B7" w:rsidRPr="000A1858" w:rsidRDefault="002F53B7" w:rsidP="002F53B7">
            <w:pPr>
              <w:spacing w:after="0" w:line="240" w:lineRule="auto"/>
              <w:rPr>
                <w:rFonts w:ascii="Calibri" w:eastAsia="Times New Roman" w:hAnsi="Calibri" w:cs="Calibri"/>
                <w:color w:val="000000"/>
                <w:sz w:val="22"/>
              </w:rPr>
            </w:pPr>
            <w:r w:rsidRPr="000A1858">
              <w:rPr>
                <w:rFonts w:ascii="Calibri" w:eastAsia="Times New Roman" w:hAnsi="Calibri" w:cs="Calibri"/>
                <w:color w:val="000000"/>
                <w:sz w:val="22"/>
              </w:rPr>
              <w:t>Share of private nonfarm economy:  US Department of Commerce, 1966, table 1.12</w:t>
            </w:r>
          </w:p>
        </w:tc>
        <w:tc>
          <w:tcPr>
            <w:tcW w:w="1236" w:type="dxa"/>
            <w:tcBorders>
              <w:top w:val="nil"/>
              <w:left w:val="nil"/>
              <w:bottom w:val="nil"/>
              <w:right w:val="nil"/>
            </w:tcBorders>
            <w:shd w:val="clear" w:color="auto" w:fill="auto"/>
            <w:noWrap/>
            <w:vAlign w:val="bottom"/>
            <w:hideMark/>
          </w:tcPr>
          <w:p w14:paraId="50AE13AE" w14:textId="77777777" w:rsidR="002F53B7" w:rsidRPr="000A1858" w:rsidRDefault="002F53B7" w:rsidP="002F53B7">
            <w:pPr>
              <w:spacing w:after="0" w:line="240" w:lineRule="auto"/>
              <w:rPr>
                <w:rFonts w:ascii="Calibri" w:eastAsia="Times New Roman" w:hAnsi="Calibri" w:cs="Calibri"/>
                <w:color w:val="000000"/>
                <w:sz w:val="22"/>
              </w:rPr>
            </w:pPr>
          </w:p>
        </w:tc>
        <w:tc>
          <w:tcPr>
            <w:tcW w:w="1376" w:type="dxa"/>
            <w:tcBorders>
              <w:top w:val="nil"/>
              <w:left w:val="nil"/>
              <w:bottom w:val="nil"/>
              <w:right w:val="nil"/>
            </w:tcBorders>
            <w:shd w:val="clear" w:color="auto" w:fill="auto"/>
            <w:noWrap/>
            <w:vAlign w:val="bottom"/>
            <w:hideMark/>
          </w:tcPr>
          <w:p w14:paraId="4135ED3A" w14:textId="77777777" w:rsidR="002F53B7" w:rsidRPr="000A1858" w:rsidRDefault="002F53B7" w:rsidP="002F53B7">
            <w:pPr>
              <w:spacing w:after="0" w:line="240" w:lineRule="auto"/>
              <w:rPr>
                <w:rFonts w:eastAsia="Times New Roman" w:cs="Times New Roman"/>
                <w:sz w:val="20"/>
                <w:szCs w:val="20"/>
              </w:rPr>
            </w:pPr>
          </w:p>
        </w:tc>
        <w:tc>
          <w:tcPr>
            <w:tcW w:w="1276" w:type="dxa"/>
            <w:tcBorders>
              <w:top w:val="nil"/>
              <w:left w:val="nil"/>
              <w:bottom w:val="nil"/>
              <w:right w:val="nil"/>
            </w:tcBorders>
            <w:shd w:val="clear" w:color="auto" w:fill="auto"/>
            <w:noWrap/>
            <w:vAlign w:val="bottom"/>
            <w:hideMark/>
          </w:tcPr>
          <w:p w14:paraId="4CDA9CF1"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79C39F57"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0C4CBFB" w14:textId="77777777" w:rsidR="002F53B7" w:rsidRPr="000A1858" w:rsidRDefault="002F53B7" w:rsidP="002F53B7">
            <w:pPr>
              <w:spacing w:after="0" w:line="240" w:lineRule="auto"/>
              <w:rPr>
                <w:rFonts w:eastAsia="Times New Roman" w:cs="Times New Roman"/>
                <w:sz w:val="20"/>
                <w:szCs w:val="20"/>
              </w:rPr>
            </w:pPr>
          </w:p>
        </w:tc>
      </w:tr>
      <w:tr w:rsidR="002F53B7" w:rsidRPr="000A1858" w14:paraId="585C8190" w14:textId="77777777" w:rsidTr="002F53B7">
        <w:trPr>
          <w:trHeight w:val="290"/>
        </w:trPr>
        <w:tc>
          <w:tcPr>
            <w:tcW w:w="14914" w:type="dxa"/>
            <w:gridSpan w:val="13"/>
            <w:tcBorders>
              <w:top w:val="nil"/>
              <w:left w:val="nil"/>
              <w:bottom w:val="nil"/>
              <w:right w:val="nil"/>
            </w:tcBorders>
            <w:shd w:val="clear" w:color="auto" w:fill="auto"/>
            <w:noWrap/>
            <w:vAlign w:val="bottom"/>
            <w:hideMark/>
          </w:tcPr>
          <w:p w14:paraId="37F8A19B" w14:textId="77777777" w:rsidR="002F53B7" w:rsidRPr="000A1858" w:rsidRDefault="002F53B7" w:rsidP="002F53B7">
            <w:pPr>
              <w:spacing w:after="0" w:line="240" w:lineRule="auto"/>
              <w:rPr>
                <w:rFonts w:ascii="Calibri" w:eastAsia="Times New Roman" w:hAnsi="Calibri" w:cs="Calibri"/>
                <w:color w:val="000000"/>
                <w:sz w:val="22"/>
              </w:rPr>
            </w:pPr>
            <w:r w:rsidRPr="000A1858">
              <w:rPr>
                <w:rFonts w:ascii="Calibri" w:eastAsia="Times New Roman" w:hAnsi="Calibri" w:cs="Calibri"/>
                <w:color w:val="000000"/>
                <w:sz w:val="22"/>
              </w:rPr>
              <w:t>Sector share = average of 1948 and 1941 nominal income in sector divided by income in all sectors less government and agriculture, forestry, and fisheries</w:t>
            </w:r>
          </w:p>
        </w:tc>
      </w:tr>
      <w:tr w:rsidR="002F53B7" w:rsidRPr="000A1858" w14:paraId="2E7C81A7" w14:textId="77777777" w:rsidTr="002F53B7">
        <w:trPr>
          <w:trHeight w:val="290"/>
        </w:trPr>
        <w:tc>
          <w:tcPr>
            <w:tcW w:w="3970" w:type="dxa"/>
            <w:gridSpan w:val="4"/>
            <w:tcBorders>
              <w:top w:val="nil"/>
              <w:left w:val="nil"/>
              <w:bottom w:val="nil"/>
              <w:right w:val="nil"/>
            </w:tcBorders>
            <w:shd w:val="clear" w:color="auto" w:fill="auto"/>
            <w:noWrap/>
            <w:vAlign w:val="bottom"/>
            <w:hideMark/>
          </w:tcPr>
          <w:p w14:paraId="6FE34B60" w14:textId="77777777" w:rsidR="002F53B7" w:rsidRPr="000A1858" w:rsidRDefault="002F53B7" w:rsidP="002F53B7">
            <w:pPr>
              <w:spacing w:after="0" w:line="240" w:lineRule="auto"/>
              <w:rPr>
                <w:rFonts w:ascii="Calibri" w:eastAsia="Times New Roman" w:hAnsi="Calibri" w:cs="Calibri"/>
                <w:color w:val="000000"/>
                <w:sz w:val="22"/>
              </w:rPr>
            </w:pPr>
            <w:r w:rsidRPr="000A1858">
              <w:rPr>
                <w:rFonts w:ascii="Calibri" w:eastAsia="Times New Roman" w:hAnsi="Calibri" w:cs="Calibri"/>
                <w:color w:val="000000"/>
                <w:sz w:val="22"/>
              </w:rPr>
              <w:t xml:space="preserve">Sectoral TFP Growth:  see tables 1-7. </w:t>
            </w:r>
          </w:p>
        </w:tc>
        <w:tc>
          <w:tcPr>
            <w:tcW w:w="5104" w:type="dxa"/>
            <w:gridSpan w:val="4"/>
            <w:tcBorders>
              <w:top w:val="nil"/>
              <w:left w:val="nil"/>
              <w:bottom w:val="nil"/>
              <w:right w:val="nil"/>
            </w:tcBorders>
            <w:shd w:val="clear" w:color="auto" w:fill="auto"/>
            <w:noWrap/>
            <w:vAlign w:val="bottom"/>
            <w:hideMark/>
          </w:tcPr>
          <w:p w14:paraId="7DCF8873" w14:textId="77777777" w:rsidR="002F53B7" w:rsidRPr="000A1858" w:rsidRDefault="002F53B7" w:rsidP="002F53B7">
            <w:pPr>
              <w:spacing w:after="0" w:line="240" w:lineRule="auto"/>
              <w:rPr>
                <w:rFonts w:ascii="Calibri" w:eastAsia="Times New Roman" w:hAnsi="Calibri" w:cs="Calibri"/>
                <w:color w:val="000000"/>
                <w:sz w:val="22"/>
              </w:rPr>
            </w:pPr>
            <w:r w:rsidRPr="000A1858">
              <w:rPr>
                <w:rFonts w:ascii="Calibri" w:eastAsia="Times New Roman" w:hAnsi="Calibri" w:cs="Calibri"/>
                <w:color w:val="000000"/>
                <w:sz w:val="22"/>
              </w:rPr>
              <w:t>PNE TFP Growth:  Kendrick, 1961, table A-XXIII.</w:t>
            </w:r>
            <w:r>
              <w:rPr>
                <w:rFonts w:ascii="Calibri" w:eastAsia="Times New Roman" w:hAnsi="Calibri" w:cs="Calibri"/>
                <w:color w:val="000000"/>
                <w:sz w:val="22"/>
              </w:rPr>
              <w:t xml:space="preserve">  </w:t>
            </w:r>
          </w:p>
        </w:tc>
        <w:tc>
          <w:tcPr>
            <w:tcW w:w="1236" w:type="dxa"/>
            <w:tcBorders>
              <w:top w:val="nil"/>
              <w:left w:val="nil"/>
              <w:bottom w:val="nil"/>
              <w:right w:val="nil"/>
            </w:tcBorders>
            <w:shd w:val="clear" w:color="auto" w:fill="auto"/>
            <w:noWrap/>
            <w:vAlign w:val="bottom"/>
            <w:hideMark/>
          </w:tcPr>
          <w:p w14:paraId="1DB2973F" w14:textId="77777777" w:rsidR="002F53B7" w:rsidRPr="000A1858" w:rsidRDefault="002F53B7" w:rsidP="002F53B7">
            <w:pPr>
              <w:spacing w:after="0" w:line="240" w:lineRule="auto"/>
              <w:rPr>
                <w:rFonts w:ascii="Calibri" w:eastAsia="Times New Roman" w:hAnsi="Calibri" w:cs="Calibri"/>
                <w:color w:val="000000"/>
                <w:sz w:val="22"/>
              </w:rPr>
            </w:pPr>
          </w:p>
        </w:tc>
        <w:tc>
          <w:tcPr>
            <w:tcW w:w="1376" w:type="dxa"/>
            <w:tcBorders>
              <w:top w:val="nil"/>
              <w:left w:val="nil"/>
              <w:bottom w:val="nil"/>
              <w:right w:val="nil"/>
            </w:tcBorders>
            <w:shd w:val="clear" w:color="auto" w:fill="auto"/>
            <w:noWrap/>
            <w:vAlign w:val="bottom"/>
            <w:hideMark/>
          </w:tcPr>
          <w:p w14:paraId="6760FBEA" w14:textId="77777777" w:rsidR="002F53B7" w:rsidRPr="000A1858" w:rsidRDefault="002F53B7" w:rsidP="002F53B7">
            <w:pPr>
              <w:spacing w:after="0" w:line="240" w:lineRule="auto"/>
              <w:rPr>
                <w:rFonts w:eastAsia="Times New Roman" w:cs="Times New Roman"/>
                <w:sz w:val="20"/>
                <w:szCs w:val="20"/>
              </w:rPr>
            </w:pPr>
          </w:p>
        </w:tc>
        <w:tc>
          <w:tcPr>
            <w:tcW w:w="1276" w:type="dxa"/>
            <w:tcBorders>
              <w:top w:val="nil"/>
              <w:left w:val="nil"/>
              <w:bottom w:val="nil"/>
              <w:right w:val="nil"/>
            </w:tcBorders>
            <w:shd w:val="clear" w:color="auto" w:fill="auto"/>
            <w:noWrap/>
            <w:vAlign w:val="bottom"/>
            <w:hideMark/>
          </w:tcPr>
          <w:p w14:paraId="0EAD2A69"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2440AEED" w14:textId="77777777" w:rsidR="002F53B7" w:rsidRPr="000A1858" w:rsidRDefault="002F53B7" w:rsidP="002F53B7">
            <w:pPr>
              <w:spacing w:after="0" w:line="240" w:lineRule="auto"/>
              <w:rPr>
                <w:rFonts w:eastAsia="Times New Roman" w:cs="Times New Roman"/>
                <w:sz w:val="20"/>
                <w:szCs w:val="20"/>
              </w:rPr>
            </w:pPr>
          </w:p>
        </w:tc>
        <w:tc>
          <w:tcPr>
            <w:tcW w:w="976" w:type="dxa"/>
            <w:tcBorders>
              <w:top w:val="nil"/>
              <w:left w:val="nil"/>
              <w:bottom w:val="nil"/>
              <w:right w:val="nil"/>
            </w:tcBorders>
            <w:shd w:val="clear" w:color="auto" w:fill="auto"/>
            <w:noWrap/>
            <w:vAlign w:val="bottom"/>
            <w:hideMark/>
          </w:tcPr>
          <w:p w14:paraId="60837716" w14:textId="77777777" w:rsidR="002F53B7" w:rsidRPr="000A1858" w:rsidRDefault="002F53B7" w:rsidP="002F53B7">
            <w:pPr>
              <w:spacing w:after="0" w:line="240" w:lineRule="auto"/>
              <w:rPr>
                <w:rFonts w:eastAsia="Times New Roman" w:cs="Times New Roman"/>
                <w:sz w:val="20"/>
                <w:szCs w:val="20"/>
              </w:rPr>
            </w:pPr>
          </w:p>
        </w:tc>
      </w:tr>
    </w:tbl>
    <w:p w14:paraId="7986A467" w14:textId="77777777" w:rsidR="002F53B7" w:rsidRDefault="002F53B7" w:rsidP="002F53B7"/>
    <w:p w14:paraId="3D5E0139" w14:textId="77777777" w:rsidR="002F53B7" w:rsidRDefault="002F53B7" w:rsidP="002F53B7">
      <w:r>
        <w:br w:type="page"/>
      </w:r>
    </w:p>
    <w:p w14:paraId="5A61C0A5" w14:textId="77777777" w:rsidR="002F53B7" w:rsidRDefault="002F53B7" w:rsidP="002F53B7">
      <w:pPr>
        <w:shd w:val="clear" w:color="auto" w:fill="FFFFFF"/>
        <w:spacing w:line="480" w:lineRule="auto"/>
        <w:ind w:firstLine="576"/>
        <w:rPr>
          <w:rFonts w:cs="Times New Roman"/>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6"/>
        <w:gridCol w:w="2877"/>
        <w:gridCol w:w="2877"/>
      </w:tblGrid>
      <w:tr w:rsidR="002F53B7" w14:paraId="2B9C2277" w14:textId="77777777" w:rsidTr="002F53B7">
        <w:tc>
          <w:tcPr>
            <w:tcW w:w="2876" w:type="dxa"/>
          </w:tcPr>
          <w:p w14:paraId="73286B15" w14:textId="77777777" w:rsidR="002F53B7" w:rsidRPr="00D451C7" w:rsidRDefault="002F53B7" w:rsidP="002F53B7">
            <w:pPr>
              <w:spacing w:line="480" w:lineRule="auto"/>
              <w:rPr>
                <w:rFonts w:asciiTheme="minorHAnsi" w:hAnsiTheme="minorHAnsi" w:cstheme="minorHAnsi"/>
                <w:szCs w:val="24"/>
              </w:rPr>
            </w:pPr>
          </w:p>
        </w:tc>
        <w:tc>
          <w:tcPr>
            <w:tcW w:w="2877" w:type="dxa"/>
          </w:tcPr>
          <w:p w14:paraId="70A0E91B" w14:textId="77777777" w:rsidR="002F53B7" w:rsidRPr="00D451C7" w:rsidRDefault="002F53B7" w:rsidP="002F53B7">
            <w:pPr>
              <w:jc w:val="center"/>
              <w:rPr>
                <w:rFonts w:asciiTheme="minorHAnsi" w:hAnsiTheme="minorHAnsi" w:cstheme="minorHAnsi"/>
                <w:b/>
                <w:szCs w:val="24"/>
              </w:rPr>
            </w:pPr>
            <w:r w:rsidRPr="00D451C7">
              <w:rPr>
                <w:rFonts w:asciiTheme="minorHAnsi" w:hAnsiTheme="minorHAnsi" w:cstheme="minorHAnsi"/>
                <w:b/>
                <w:szCs w:val="24"/>
              </w:rPr>
              <w:t xml:space="preserve">Table </w:t>
            </w:r>
            <w:r>
              <w:rPr>
                <w:rFonts w:asciiTheme="minorHAnsi" w:hAnsiTheme="minorHAnsi" w:cstheme="minorHAnsi"/>
                <w:b/>
                <w:szCs w:val="24"/>
              </w:rPr>
              <w:t>9</w:t>
            </w:r>
          </w:p>
          <w:p w14:paraId="681BA0F9" w14:textId="3E857A8F" w:rsidR="002F53B7" w:rsidRPr="00D451C7" w:rsidRDefault="002F53B7" w:rsidP="002F53B7">
            <w:pPr>
              <w:jc w:val="center"/>
              <w:rPr>
                <w:rFonts w:asciiTheme="minorHAnsi" w:hAnsiTheme="minorHAnsi" w:cstheme="minorHAnsi"/>
                <w:szCs w:val="24"/>
              </w:rPr>
            </w:pPr>
            <w:r w:rsidRPr="00D451C7">
              <w:rPr>
                <w:rFonts w:asciiTheme="minorHAnsi" w:hAnsiTheme="minorHAnsi" w:cstheme="minorHAnsi"/>
                <w:szCs w:val="24"/>
              </w:rPr>
              <w:t xml:space="preserve">Total Factor Productivity Growth </w:t>
            </w:r>
            <w:r w:rsidR="000437AD">
              <w:rPr>
                <w:rFonts w:asciiTheme="minorHAnsi" w:hAnsiTheme="minorHAnsi" w:cstheme="minorHAnsi"/>
                <w:szCs w:val="24"/>
              </w:rPr>
              <w:t>in US Manufacturing, 1919-2015</w:t>
            </w:r>
          </w:p>
          <w:p w14:paraId="06FB6D84" w14:textId="77777777" w:rsidR="002F53B7" w:rsidRDefault="002F53B7" w:rsidP="002F53B7">
            <w:pPr>
              <w:jc w:val="center"/>
              <w:rPr>
                <w:rFonts w:asciiTheme="minorHAnsi" w:hAnsiTheme="minorHAnsi" w:cstheme="minorHAnsi"/>
                <w:szCs w:val="24"/>
              </w:rPr>
            </w:pPr>
            <w:r w:rsidRPr="00D451C7">
              <w:rPr>
                <w:rFonts w:asciiTheme="minorHAnsi" w:hAnsiTheme="minorHAnsi" w:cstheme="minorHAnsi"/>
                <w:szCs w:val="24"/>
              </w:rPr>
              <w:t>(percent per year)</w:t>
            </w:r>
          </w:p>
          <w:p w14:paraId="76A51A7F" w14:textId="77777777" w:rsidR="002F53B7" w:rsidRPr="00D451C7" w:rsidRDefault="002F53B7" w:rsidP="002F53B7">
            <w:pPr>
              <w:jc w:val="center"/>
              <w:rPr>
                <w:rFonts w:asciiTheme="minorHAnsi" w:hAnsiTheme="minorHAnsi" w:cstheme="minorHAnsi"/>
                <w:szCs w:val="24"/>
              </w:rPr>
            </w:pPr>
          </w:p>
        </w:tc>
        <w:tc>
          <w:tcPr>
            <w:tcW w:w="2877" w:type="dxa"/>
          </w:tcPr>
          <w:p w14:paraId="36F66729" w14:textId="77777777" w:rsidR="002F53B7" w:rsidRPr="00D451C7" w:rsidRDefault="002F53B7" w:rsidP="002F53B7">
            <w:pPr>
              <w:spacing w:line="480" w:lineRule="auto"/>
              <w:rPr>
                <w:rFonts w:asciiTheme="minorHAnsi" w:hAnsiTheme="minorHAnsi" w:cstheme="minorHAnsi"/>
                <w:szCs w:val="24"/>
              </w:rPr>
            </w:pPr>
          </w:p>
          <w:p w14:paraId="25E04E76" w14:textId="77777777" w:rsidR="002F53B7" w:rsidRPr="00D451C7" w:rsidRDefault="002F53B7" w:rsidP="002F53B7">
            <w:pPr>
              <w:rPr>
                <w:rFonts w:asciiTheme="minorHAnsi" w:hAnsiTheme="minorHAnsi" w:cstheme="minorHAnsi"/>
                <w:szCs w:val="24"/>
              </w:rPr>
            </w:pPr>
          </w:p>
          <w:p w14:paraId="292ED20C" w14:textId="77777777" w:rsidR="002F53B7" w:rsidRDefault="002F53B7" w:rsidP="002F53B7">
            <w:pPr>
              <w:jc w:val="center"/>
              <w:rPr>
                <w:rFonts w:asciiTheme="minorHAnsi" w:hAnsiTheme="minorHAnsi" w:cstheme="minorHAnsi"/>
                <w:szCs w:val="24"/>
              </w:rPr>
            </w:pPr>
          </w:p>
          <w:p w14:paraId="043CCD49" w14:textId="77777777" w:rsidR="002F53B7" w:rsidRPr="00D451C7" w:rsidRDefault="002F53B7" w:rsidP="002F53B7">
            <w:pPr>
              <w:jc w:val="center"/>
              <w:rPr>
                <w:rFonts w:asciiTheme="minorHAnsi" w:hAnsiTheme="minorHAnsi" w:cstheme="minorHAnsi"/>
                <w:szCs w:val="24"/>
              </w:rPr>
            </w:pPr>
            <w:r w:rsidRPr="00D451C7">
              <w:rPr>
                <w:rFonts w:asciiTheme="minorHAnsi" w:hAnsiTheme="minorHAnsi" w:cstheme="minorHAnsi"/>
                <w:szCs w:val="24"/>
              </w:rPr>
              <w:t>Source</w:t>
            </w:r>
          </w:p>
        </w:tc>
      </w:tr>
      <w:tr w:rsidR="002F53B7" w14:paraId="75AFFDD1" w14:textId="77777777" w:rsidTr="002F53B7">
        <w:tc>
          <w:tcPr>
            <w:tcW w:w="2876" w:type="dxa"/>
          </w:tcPr>
          <w:p w14:paraId="1FE30ADF" w14:textId="77777777" w:rsidR="002F53B7" w:rsidRPr="00D451C7" w:rsidRDefault="002F53B7" w:rsidP="002F53B7">
            <w:pPr>
              <w:spacing w:line="480" w:lineRule="auto"/>
              <w:jc w:val="center"/>
              <w:rPr>
                <w:rFonts w:asciiTheme="minorHAnsi" w:hAnsiTheme="minorHAnsi" w:cstheme="minorHAnsi"/>
                <w:szCs w:val="24"/>
              </w:rPr>
            </w:pPr>
            <w:r w:rsidRPr="00D451C7">
              <w:rPr>
                <w:rFonts w:asciiTheme="minorHAnsi" w:hAnsiTheme="minorHAnsi" w:cstheme="minorHAnsi"/>
                <w:szCs w:val="24"/>
              </w:rPr>
              <w:t>1919-1929</w:t>
            </w:r>
          </w:p>
        </w:tc>
        <w:tc>
          <w:tcPr>
            <w:tcW w:w="2877" w:type="dxa"/>
          </w:tcPr>
          <w:p w14:paraId="6424C61B" w14:textId="77777777" w:rsidR="002F53B7" w:rsidRPr="00D451C7" w:rsidRDefault="002F53B7" w:rsidP="002F53B7">
            <w:pPr>
              <w:spacing w:line="480" w:lineRule="auto"/>
              <w:jc w:val="center"/>
              <w:rPr>
                <w:rFonts w:asciiTheme="minorHAnsi" w:hAnsiTheme="minorHAnsi" w:cstheme="minorHAnsi"/>
                <w:szCs w:val="24"/>
              </w:rPr>
            </w:pPr>
            <w:r w:rsidRPr="00D451C7">
              <w:rPr>
                <w:rFonts w:asciiTheme="minorHAnsi" w:hAnsiTheme="minorHAnsi" w:cstheme="minorHAnsi"/>
                <w:szCs w:val="24"/>
              </w:rPr>
              <w:t>5.12</w:t>
            </w:r>
          </w:p>
        </w:tc>
        <w:tc>
          <w:tcPr>
            <w:tcW w:w="2877" w:type="dxa"/>
          </w:tcPr>
          <w:p w14:paraId="71D0E361" w14:textId="77777777" w:rsidR="002F53B7" w:rsidRPr="00D451C7" w:rsidRDefault="002F53B7" w:rsidP="002F53B7">
            <w:pPr>
              <w:rPr>
                <w:rFonts w:asciiTheme="minorHAnsi" w:hAnsiTheme="minorHAnsi" w:cstheme="minorHAnsi"/>
                <w:szCs w:val="24"/>
              </w:rPr>
            </w:pPr>
            <w:r w:rsidRPr="00D451C7">
              <w:rPr>
                <w:rFonts w:asciiTheme="minorHAnsi" w:hAnsiTheme="minorHAnsi" w:cstheme="minorHAnsi"/>
                <w:szCs w:val="24"/>
              </w:rPr>
              <w:t>Kendrick (1961), table D-1, p. 464.</w:t>
            </w:r>
          </w:p>
        </w:tc>
      </w:tr>
      <w:tr w:rsidR="002F53B7" w14:paraId="6A1DF9CC" w14:textId="77777777" w:rsidTr="002F53B7">
        <w:tc>
          <w:tcPr>
            <w:tcW w:w="2876" w:type="dxa"/>
          </w:tcPr>
          <w:p w14:paraId="7BA9253F" w14:textId="77777777" w:rsidR="002F53B7" w:rsidRPr="00D451C7" w:rsidRDefault="002F53B7" w:rsidP="002F53B7">
            <w:pPr>
              <w:spacing w:line="480" w:lineRule="auto"/>
              <w:jc w:val="center"/>
              <w:rPr>
                <w:rFonts w:asciiTheme="minorHAnsi" w:hAnsiTheme="minorHAnsi" w:cstheme="minorHAnsi"/>
                <w:szCs w:val="24"/>
              </w:rPr>
            </w:pPr>
            <w:r w:rsidRPr="00D451C7">
              <w:rPr>
                <w:rFonts w:asciiTheme="minorHAnsi" w:hAnsiTheme="minorHAnsi" w:cstheme="minorHAnsi"/>
                <w:szCs w:val="24"/>
              </w:rPr>
              <w:t>1929-1941</w:t>
            </w:r>
          </w:p>
        </w:tc>
        <w:tc>
          <w:tcPr>
            <w:tcW w:w="2877" w:type="dxa"/>
          </w:tcPr>
          <w:p w14:paraId="2306D880" w14:textId="77777777" w:rsidR="002F53B7" w:rsidRPr="00D451C7" w:rsidRDefault="002F53B7" w:rsidP="002F53B7">
            <w:pPr>
              <w:spacing w:line="480" w:lineRule="auto"/>
              <w:jc w:val="center"/>
              <w:rPr>
                <w:rFonts w:asciiTheme="minorHAnsi" w:hAnsiTheme="minorHAnsi" w:cstheme="minorHAnsi"/>
                <w:szCs w:val="24"/>
              </w:rPr>
            </w:pPr>
            <w:r w:rsidRPr="00D451C7">
              <w:rPr>
                <w:rFonts w:asciiTheme="minorHAnsi" w:hAnsiTheme="minorHAnsi" w:cstheme="minorHAnsi"/>
                <w:szCs w:val="24"/>
              </w:rPr>
              <w:t>3.25</w:t>
            </w:r>
          </w:p>
        </w:tc>
        <w:tc>
          <w:tcPr>
            <w:tcW w:w="2877" w:type="dxa"/>
          </w:tcPr>
          <w:p w14:paraId="58AC6EA8" w14:textId="77777777" w:rsidR="002F53B7" w:rsidRPr="00D451C7" w:rsidRDefault="002F53B7" w:rsidP="002F53B7">
            <w:pPr>
              <w:spacing w:line="480" w:lineRule="auto"/>
              <w:rPr>
                <w:rFonts w:asciiTheme="minorHAnsi" w:hAnsiTheme="minorHAnsi" w:cstheme="minorHAnsi"/>
                <w:szCs w:val="24"/>
              </w:rPr>
            </w:pPr>
            <w:r w:rsidRPr="00D451C7">
              <w:rPr>
                <w:rFonts w:asciiTheme="minorHAnsi" w:hAnsiTheme="minorHAnsi" w:cstheme="minorHAnsi"/>
                <w:szCs w:val="24"/>
              </w:rPr>
              <w:t>See table 1, text.</w:t>
            </w:r>
          </w:p>
        </w:tc>
      </w:tr>
      <w:tr w:rsidR="002F53B7" w14:paraId="372AFBA1" w14:textId="77777777" w:rsidTr="002F53B7">
        <w:tc>
          <w:tcPr>
            <w:tcW w:w="2876" w:type="dxa"/>
          </w:tcPr>
          <w:p w14:paraId="1B04EDFD" w14:textId="77777777" w:rsidR="002F53B7" w:rsidRPr="00D451C7" w:rsidRDefault="002F53B7" w:rsidP="002F53B7">
            <w:pPr>
              <w:spacing w:line="480" w:lineRule="auto"/>
              <w:jc w:val="center"/>
              <w:rPr>
                <w:rFonts w:asciiTheme="minorHAnsi" w:hAnsiTheme="minorHAnsi" w:cstheme="minorHAnsi"/>
                <w:szCs w:val="24"/>
              </w:rPr>
            </w:pPr>
            <w:r w:rsidRPr="00D451C7">
              <w:rPr>
                <w:rFonts w:asciiTheme="minorHAnsi" w:hAnsiTheme="minorHAnsi" w:cstheme="minorHAnsi"/>
                <w:szCs w:val="24"/>
              </w:rPr>
              <w:t>1941-1948</w:t>
            </w:r>
          </w:p>
        </w:tc>
        <w:tc>
          <w:tcPr>
            <w:tcW w:w="2877" w:type="dxa"/>
          </w:tcPr>
          <w:p w14:paraId="272AC573" w14:textId="77777777" w:rsidR="002F53B7" w:rsidRPr="00D451C7" w:rsidRDefault="002F53B7" w:rsidP="002F53B7">
            <w:pPr>
              <w:spacing w:line="480" w:lineRule="auto"/>
              <w:jc w:val="center"/>
              <w:rPr>
                <w:rFonts w:asciiTheme="minorHAnsi" w:hAnsiTheme="minorHAnsi" w:cstheme="minorHAnsi"/>
                <w:szCs w:val="24"/>
              </w:rPr>
            </w:pPr>
            <w:r w:rsidRPr="00D451C7">
              <w:rPr>
                <w:rFonts w:asciiTheme="minorHAnsi" w:hAnsiTheme="minorHAnsi" w:cstheme="minorHAnsi"/>
                <w:szCs w:val="24"/>
              </w:rPr>
              <w:t>-.55</w:t>
            </w:r>
          </w:p>
        </w:tc>
        <w:tc>
          <w:tcPr>
            <w:tcW w:w="2877" w:type="dxa"/>
          </w:tcPr>
          <w:p w14:paraId="2EE58BA5" w14:textId="77777777" w:rsidR="002F53B7" w:rsidRPr="00D451C7" w:rsidRDefault="002F53B7" w:rsidP="002F53B7">
            <w:pPr>
              <w:spacing w:line="480" w:lineRule="auto"/>
              <w:rPr>
                <w:rFonts w:asciiTheme="minorHAnsi" w:hAnsiTheme="minorHAnsi" w:cstheme="minorHAnsi"/>
                <w:szCs w:val="24"/>
              </w:rPr>
            </w:pPr>
            <w:r w:rsidRPr="00D451C7">
              <w:rPr>
                <w:rFonts w:asciiTheme="minorHAnsi" w:hAnsiTheme="minorHAnsi" w:cstheme="minorHAnsi"/>
                <w:szCs w:val="24"/>
              </w:rPr>
              <w:t>See table 1, text.</w:t>
            </w:r>
          </w:p>
        </w:tc>
      </w:tr>
      <w:tr w:rsidR="002F53B7" w14:paraId="7BE926F5" w14:textId="77777777" w:rsidTr="002F53B7">
        <w:tc>
          <w:tcPr>
            <w:tcW w:w="2876" w:type="dxa"/>
          </w:tcPr>
          <w:p w14:paraId="07041C4B" w14:textId="77777777" w:rsidR="002F53B7" w:rsidRPr="00D451C7" w:rsidRDefault="002F53B7" w:rsidP="002F53B7">
            <w:pPr>
              <w:spacing w:line="480" w:lineRule="auto"/>
              <w:jc w:val="center"/>
              <w:rPr>
                <w:rFonts w:asciiTheme="minorHAnsi" w:hAnsiTheme="minorHAnsi" w:cstheme="minorHAnsi"/>
                <w:szCs w:val="24"/>
              </w:rPr>
            </w:pPr>
            <w:r w:rsidRPr="00D451C7">
              <w:rPr>
                <w:rFonts w:asciiTheme="minorHAnsi" w:hAnsiTheme="minorHAnsi" w:cstheme="minorHAnsi"/>
                <w:szCs w:val="24"/>
              </w:rPr>
              <w:t>1949-1973</w:t>
            </w:r>
          </w:p>
        </w:tc>
        <w:tc>
          <w:tcPr>
            <w:tcW w:w="2877" w:type="dxa"/>
          </w:tcPr>
          <w:p w14:paraId="43BE23B1" w14:textId="77777777" w:rsidR="002F53B7" w:rsidRPr="00D451C7" w:rsidRDefault="002F53B7" w:rsidP="002F53B7">
            <w:pPr>
              <w:spacing w:line="480" w:lineRule="auto"/>
              <w:jc w:val="center"/>
              <w:rPr>
                <w:rFonts w:asciiTheme="minorHAnsi" w:hAnsiTheme="minorHAnsi" w:cstheme="minorHAnsi"/>
                <w:szCs w:val="24"/>
              </w:rPr>
            </w:pPr>
            <w:r w:rsidRPr="00D451C7">
              <w:rPr>
                <w:rFonts w:asciiTheme="minorHAnsi" w:hAnsiTheme="minorHAnsi" w:cstheme="minorHAnsi"/>
                <w:szCs w:val="24"/>
              </w:rPr>
              <w:t>1.49</w:t>
            </w:r>
          </w:p>
        </w:tc>
        <w:tc>
          <w:tcPr>
            <w:tcW w:w="2877" w:type="dxa"/>
          </w:tcPr>
          <w:p w14:paraId="706C0AD9" w14:textId="77777777" w:rsidR="002F53B7" w:rsidRPr="00D451C7" w:rsidRDefault="002F53B7" w:rsidP="002F53B7">
            <w:pPr>
              <w:rPr>
                <w:rFonts w:asciiTheme="minorHAnsi" w:hAnsiTheme="minorHAnsi" w:cstheme="minorHAnsi"/>
                <w:szCs w:val="24"/>
              </w:rPr>
            </w:pPr>
            <w:r w:rsidRPr="00D451C7">
              <w:rPr>
                <w:rFonts w:asciiTheme="minorHAnsi" w:hAnsiTheme="minorHAnsi" w:cstheme="minorHAnsi"/>
                <w:szCs w:val="24"/>
              </w:rPr>
              <w:t>U.S. Bureau of Labor Statistics (2004), table 2</w:t>
            </w:r>
          </w:p>
        </w:tc>
      </w:tr>
      <w:tr w:rsidR="002F53B7" w14:paraId="443FFEF9" w14:textId="77777777" w:rsidTr="002F53B7">
        <w:tc>
          <w:tcPr>
            <w:tcW w:w="2876" w:type="dxa"/>
          </w:tcPr>
          <w:p w14:paraId="3A887639" w14:textId="77777777" w:rsidR="002F53B7" w:rsidRPr="00D451C7" w:rsidRDefault="002F53B7" w:rsidP="002F53B7">
            <w:pPr>
              <w:spacing w:line="480" w:lineRule="auto"/>
              <w:jc w:val="center"/>
              <w:rPr>
                <w:rFonts w:asciiTheme="minorHAnsi" w:hAnsiTheme="minorHAnsi" w:cstheme="minorHAnsi"/>
                <w:szCs w:val="24"/>
              </w:rPr>
            </w:pPr>
            <w:r w:rsidRPr="00D451C7">
              <w:rPr>
                <w:rFonts w:asciiTheme="minorHAnsi" w:hAnsiTheme="minorHAnsi" w:cstheme="minorHAnsi"/>
                <w:szCs w:val="24"/>
              </w:rPr>
              <w:t>1973-1995</w:t>
            </w:r>
          </w:p>
        </w:tc>
        <w:tc>
          <w:tcPr>
            <w:tcW w:w="2877" w:type="dxa"/>
          </w:tcPr>
          <w:p w14:paraId="202C2DDE" w14:textId="77777777" w:rsidR="002F53B7" w:rsidRPr="00D451C7" w:rsidRDefault="002F53B7" w:rsidP="002F53B7">
            <w:pPr>
              <w:spacing w:line="480" w:lineRule="auto"/>
              <w:jc w:val="center"/>
              <w:rPr>
                <w:rFonts w:asciiTheme="minorHAnsi" w:hAnsiTheme="minorHAnsi" w:cstheme="minorHAnsi"/>
                <w:szCs w:val="24"/>
              </w:rPr>
            </w:pPr>
            <w:r w:rsidRPr="00D451C7">
              <w:rPr>
                <w:rFonts w:asciiTheme="minorHAnsi" w:hAnsiTheme="minorHAnsi" w:cstheme="minorHAnsi"/>
                <w:szCs w:val="24"/>
              </w:rPr>
              <w:t>.68</w:t>
            </w:r>
          </w:p>
        </w:tc>
        <w:tc>
          <w:tcPr>
            <w:tcW w:w="2877" w:type="dxa"/>
          </w:tcPr>
          <w:p w14:paraId="59E86A39" w14:textId="77777777" w:rsidR="002F53B7" w:rsidRPr="00D451C7" w:rsidRDefault="002F53B7" w:rsidP="002F53B7">
            <w:pPr>
              <w:rPr>
                <w:rFonts w:asciiTheme="minorHAnsi" w:hAnsiTheme="minorHAnsi" w:cstheme="minorHAnsi"/>
                <w:szCs w:val="24"/>
              </w:rPr>
            </w:pPr>
            <w:r w:rsidRPr="00D451C7">
              <w:rPr>
                <w:rFonts w:asciiTheme="minorHAnsi" w:hAnsiTheme="minorHAnsi" w:cstheme="minorHAnsi"/>
                <w:szCs w:val="24"/>
              </w:rPr>
              <w:t>U.S. Bureau of Labor Statistics (2004), table 2</w:t>
            </w:r>
          </w:p>
        </w:tc>
      </w:tr>
      <w:tr w:rsidR="002F53B7" w14:paraId="36941D4A" w14:textId="77777777" w:rsidTr="002F53B7">
        <w:tc>
          <w:tcPr>
            <w:tcW w:w="2876" w:type="dxa"/>
          </w:tcPr>
          <w:p w14:paraId="6625705E" w14:textId="77777777" w:rsidR="002F53B7" w:rsidRPr="00D451C7" w:rsidRDefault="002F53B7" w:rsidP="002F53B7">
            <w:pPr>
              <w:spacing w:line="480" w:lineRule="auto"/>
              <w:jc w:val="center"/>
              <w:rPr>
                <w:rFonts w:asciiTheme="minorHAnsi" w:hAnsiTheme="minorHAnsi" w:cstheme="minorHAnsi"/>
                <w:szCs w:val="24"/>
              </w:rPr>
            </w:pPr>
            <w:r w:rsidRPr="00D451C7">
              <w:rPr>
                <w:rFonts w:asciiTheme="minorHAnsi" w:hAnsiTheme="minorHAnsi" w:cstheme="minorHAnsi"/>
                <w:szCs w:val="24"/>
              </w:rPr>
              <w:t>1995-2005</w:t>
            </w:r>
          </w:p>
        </w:tc>
        <w:tc>
          <w:tcPr>
            <w:tcW w:w="2877" w:type="dxa"/>
          </w:tcPr>
          <w:p w14:paraId="4554C527" w14:textId="44D58396" w:rsidR="002F53B7" w:rsidRPr="00D451C7" w:rsidRDefault="00515A1E" w:rsidP="002F53B7">
            <w:pPr>
              <w:spacing w:line="480" w:lineRule="auto"/>
              <w:jc w:val="center"/>
              <w:rPr>
                <w:rFonts w:asciiTheme="minorHAnsi" w:hAnsiTheme="minorHAnsi" w:cstheme="minorHAnsi"/>
                <w:szCs w:val="24"/>
              </w:rPr>
            </w:pPr>
            <w:r>
              <w:rPr>
                <w:rFonts w:asciiTheme="minorHAnsi" w:hAnsiTheme="minorHAnsi" w:cstheme="minorHAnsi"/>
                <w:szCs w:val="24"/>
              </w:rPr>
              <w:t>1.78</w:t>
            </w:r>
          </w:p>
        </w:tc>
        <w:tc>
          <w:tcPr>
            <w:tcW w:w="2877" w:type="dxa"/>
          </w:tcPr>
          <w:p w14:paraId="601C3E6F" w14:textId="366B78ED" w:rsidR="002F53B7" w:rsidRPr="00D451C7" w:rsidRDefault="006B36FA" w:rsidP="002F53B7">
            <w:pPr>
              <w:rPr>
                <w:rFonts w:asciiTheme="minorHAnsi" w:hAnsiTheme="minorHAnsi" w:cstheme="minorHAnsi"/>
                <w:szCs w:val="24"/>
              </w:rPr>
            </w:pPr>
            <w:hyperlink r:id="rId24" w:history="1">
              <w:r w:rsidR="002F53B7" w:rsidRPr="00D451C7">
                <w:rPr>
                  <w:rStyle w:val="Hyperlink"/>
                  <w:rFonts w:asciiTheme="minorHAnsi" w:hAnsiTheme="minorHAnsi" w:cstheme="minorHAnsi"/>
                  <w:szCs w:val="24"/>
                </w:rPr>
                <w:t>www.bls.gov</w:t>
              </w:r>
            </w:hyperlink>
            <w:r w:rsidR="00321DD8">
              <w:rPr>
                <w:rFonts w:asciiTheme="minorHAnsi" w:hAnsiTheme="minorHAnsi" w:cstheme="minorHAnsi"/>
                <w:szCs w:val="24"/>
              </w:rPr>
              <w:t>, accessed 9/28</w:t>
            </w:r>
            <w:r w:rsidR="002F53B7" w:rsidRPr="00D451C7">
              <w:rPr>
                <w:rFonts w:asciiTheme="minorHAnsi" w:hAnsiTheme="minorHAnsi" w:cstheme="minorHAnsi"/>
                <w:szCs w:val="24"/>
              </w:rPr>
              <w:t>/2017</w:t>
            </w:r>
          </w:p>
        </w:tc>
      </w:tr>
      <w:tr w:rsidR="002F53B7" w14:paraId="65BC646F" w14:textId="77777777" w:rsidTr="002F53B7">
        <w:tc>
          <w:tcPr>
            <w:tcW w:w="2876" w:type="dxa"/>
          </w:tcPr>
          <w:p w14:paraId="6B34681D" w14:textId="6DD79812" w:rsidR="002F53B7" w:rsidRPr="00D451C7" w:rsidRDefault="00F22ACD" w:rsidP="002F53B7">
            <w:pPr>
              <w:spacing w:line="480" w:lineRule="auto"/>
              <w:jc w:val="center"/>
              <w:rPr>
                <w:rFonts w:asciiTheme="minorHAnsi" w:hAnsiTheme="minorHAnsi" w:cstheme="minorHAnsi"/>
                <w:szCs w:val="24"/>
              </w:rPr>
            </w:pPr>
            <w:r>
              <w:rPr>
                <w:rFonts w:asciiTheme="minorHAnsi" w:hAnsiTheme="minorHAnsi" w:cstheme="minorHAnsi"/>
                <w:szCs w:val="24"/>
              </w:rPr>
              <w:t>2005-2015</w:t>
            </w:r>
          </w:p>
        </w:tc>
        <w:tc>
          <w:tcPr>
            <w:tcW w:w="2877" w:type="dxa"/>
          </w:tcPr>
          <w:p w14:paraId="548AFE45" w14:textId="4EDC0C29" w:rsidR="002F53B7" w:rsidRPr="00D451C7" w:rsidRDefault="007B1C3E" w:rsidP="002F53B7">
            <w:pPr>
              <w:spacing w:line="480" w:lineRule="auto"/>
              <w:jc w:val="center"/>
              <w:rPr>
                <w:rFonts w:asciiTheme="minorHAnsi" w:hAnsiTheme="minorHAnsi" w:cstheme="minorHAnsi"/>
                <w:szCs w:val="24"/>
              </w:rPr>
            </w:pPr>
            <w:r>
              <w:rPr>
                <w:rFonts w:asciiTheme="minorHAnsi" w:hAnsiTheme="minorHAnsi" w:cstheme="minorHAnsi"/>
                <w:szCs w:val="24"/>
              </w:rPr>
              <w:t>-.12</w:t>
            </w:r>
          </w:p>
        </w:tc>
        <w:tc>
          <w:tcPr>
            <w:tcW w:w="2877" w:type="dxa"/>
          </w:tcPr>
          <w:p w14:paraId="73497FE5" w14:textId="69593448" w:rsidR="002F53B7" w:rsidRPr="00D451C7" w:rsidRDefault="006B36FA" w:rsidP="002F53B7">
            <w:pPr>
              <w:rPr>
                <w:rFonts w:asciiTheme="minorHAnsi" w:hAnsiTheme="minorHAnsi" w:cstheme="minorHAnsi"/>
                <w:szCs w:val="24"/>
              </w:rPr>
            </w:pPr>
            <w:hyperlink r:id="rId25" w:history="1">
              <w:r w:rsidR="002F53B7" w:rsidRPr="00D451C7">
                <w:rPr>
                  <w:rStyle w:val="Hyperlink"/>
                  <w:rFonts w:asciiTheme="minorHAnsi" w:hAnsiTheme="minorHAnsi" w:cstheme="minorHAnsi"/>
                  <w:szCs w:val="24"/>
                </w:rPr>
                <w:t>www.bls.gov</w:t>
              </w:r>
            </w:hyperlink>
            <w:r w:rsidR="007B1C3E">
              <w:rPr>
                <w:rFonts w:asciiTheme="minorHAnsi" w:hAnsiTheme="minorHAnsi" w:cstheme="minorHAnsi"/>
                <w:szCs w:val="24"/>
              </w:rPr>
              <w:t>, accessed 9/28</w:t>
            </w:r>
            <w:r w:rsidR="002F53B7" w:rsidRPr="00D451C7">
              <w:rPr>
                <w:rFonts w:asciiTheme="minorHAnsi" w:hAnsiTheme="minorHAnsi" w:cstheme="minorHAnsi"/>
                <w:szCs w:val="24"/>
              </w:rPr>
              <w:t>/2017</w:t>
            </w:r>
          </w:p>
        </w:tc>
      </w:tr>
    </w:tbl>
    <w:p w14:paraId="0765D410" w14:textId="77777777" w:rsidR="002F53B7" w:rsidRDefault="002F53B7" w:rsidP="002F53B7">
      <w:pPr>
        <w:shd w:val="clear" w:color="auto" w:fill="FFFFFF"/>
        <w:spacing w:line="480" w:lineRule="auto"/>
        <w:ind w:firstLine="576"/>
        <w:rPr>
          <w:rFonts w:cs="Times New Roman"/>
          <w:szCs w:val="24"/>
        </w:rPr>
      </w:pPr>
    </w:p>
    <w:p w14:paraId="68852634" w14:textId="77777777" w:rsidR="002F53B7" w:rsidRDefault="002F53B7" w:rsidP="002F53B7">
      <w:pPr>
        <w:shd w:val="clear" w:color="auto" w:fill="FFFFFF"/>
        <w:spacing w:line="480" w:lineRule="auto"/>
        <w:ind w:firstLine="576"/>
        <w:rPr>
          <w:rFonts w:cs="Times New Roman"/>
          <w:szCs w:val="24"/>
        </w:rPr>
      </w:pPr>
    </w:p>
    <w:p w14:paraId="5717822A" w14:textId="77777777" w:rsidR="002F53B7" w:rsidRDefault="002F53B7" w:rsidP="002F53B7"/>
    <w:p w14:paraId="3BE966F7" w14:textId="77777777" w:rsidR="002F53B7" w:rsidRDefault="002F53B7" w:rsidP="002F53B7"/>
    <w:p w14:paraId="3D2621CF" w14:textId="77777777" w:rsidR="002F53B7" w:rsidRDefault="002F53B7" w:rsidP="00273E37">
      <w:pPr>
        <w:pBdr>
          <w:bottom w:val="single" w:sz="4" w:space="1" w:color="auto"/>
        </w:pBdr>
        <w:shd w:val="clear" w:color="auto" w:fill="FFFFFF"/>
        <w:spacing w:line="480" w:lineRule="auto"/>
        <w:ind w:left="576" w:hanging="576"/>
      </w:pPr>
    </w:p>
    <w:sectPr w:rsidR="002F53B7" w:rsidSect="004F52A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21E2B2" w14:textId="77777777" w:rsidR="006B36FA" w:rsidRDefault="006B36FA" w:rsidP="003966C1">
      <w:pPr>
        <w:spacing w:after="0" w:line="240" w:lineRule="auto"/>
      </w:pPr>
      <w:r>
        <w:separator/>
      </w:r>
    </w:p>
  </w:endnote>
  <w:endnote w:type="continuationSeparator" w:id="0">
    <w:p w14:paraId="4298C2CD" w14:textId="77777777" w:rsidR="006B36FA" w:rsidRDefault="006B36FA" w:rsidP="003966C1">
      <w:pPr>
        <w:spacing w:after="0" w:line="240" w:lineRule="auto"/>
      </w:pPr>
      <w:r>
        <w:continuationSeparator/>
      </w:r>
    </w:p>
  </w:endnote>
  <w:endnote w:type="continuationNotice" w:id="1">
    <w:p w14:paraId="410827A1" w14:textId="77777777" w:rsidR="006B36FA" w:rsidRDefault="006B36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3827156"/>
      <w:docPartObj>
        <w:docPartGallery w:val="Page Numbers (Bottom of Page)"/>
        <w:docPartUnique/>
      </w:docPartObj>
    </w:sdtPr>
    <w:sdtEndPr>
      <w:rPr>
        <w:noProof/>
      </w:rPr>
    </w:sdtEndPr>
    <w:sdtContent>
      <w:p w14:paraId="434FEC46" w14:textId="2384BF0E" w:rsidR="006B36FA" w:rsidRDefault="006B36FA">
        <w:pPr>
          <w:pStyle w:val="Footer"/>
          <w:jc w:val="center"/>
        </w:pPr>
        <w:r>
          <w:fldChar w:fldCharType="begin"/>
        </w:r>
        <w:r>
          <w:instrText xml:space="preserve"> PAGE   \* MERGEFORMAT </w:instrText>
        </w:r>
        <w:r>
          <w:fldChar w:fldCharType="separate"/>
        </w:r>
        <w:r w:rsidR="00AD4BF5">
          <w:rPr>
            <w:noProof/>
          </w:rPr>
          <w:t>33</w:t>
        </w:r>
        <w:r>
          <w:rPr>
            <w:noProof/>
          </w:rPr>
          <w:fldChar w:fldCharType="end"/>
        </w:r>
      </w:p>
    </w:sdtContent>
  </w:sdt>
  <w:p w14:paraId="6C280CF9" w14:textId="77777777" w:rsidR="006B36FA" w:rsidRDefault="006B36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E5E062" w14:textId="77777777" w:rsidR="006B36FA" w:rsidRDefault="006B36FA">
    <w:pPr>
      <w:pStyle w:val="Footer"/>
      <w:jc w:val="center"/>
    </w:pPr>
  </w:p>
  <w:p w14:paraId="4ADDF2A8" w14:textId="77777777" w:rsidR="006B36FA" w:rsidRDefault="006B36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EA6DAA" w14:textId="77777777" w:rsidR="006B36FA" w:rsidRDefault="006B36FA" w:rsidP="003966C1">
      <w:pPr>
        <w:spacing w:after="0" w:line="240" w:lineRule="auto"/>
      </w:pPr>
      <w:r>
        <w:separator/>
      </w:r>
    </w:p>
  </w:footnote>
  <w:footnote w:type="continuationSeparator" w:id="0">
    <w:p w14:paraId="71713E27" w14:textId="77777777" w:rsidR="006B36FA" w:rsidRDefault="006B36FA" w:rsidP="003966C1">
      <w:pPr>
        <w:spacing w:after="0" w:line="240" w:lineRule="auto"/>
      </w:pPr>
      <w:r>
        <w:continuationSeparator/>
      </w:r>
    </w:p>
  </w:footnote>
  <w:footnote w:type="continuationNotice" w:id="1">
    <w:p w14:paraId="2AAAC028" w14:textId="77777777" w:rsidR="006B36FA" w:rsidRDefault="006B36FA">
      <w:pPr>
        <w:spacing w:after="0" w:line="240" w:lineRule="auto"/>
      </w:pPr>
    </w:p>
  </w:footnote>
  <w:footnote w:id="2">
    <w:p w14:paraId="0B0C0039" w14:textId="77777777" w:rsidR="006B36FA" w:rsidRDefault="006B36FA" w:rsidP="0008493C">
      <w:pPr>
        <w:pStyle w:val="FootnoteText"/>
      </w:pPr>
      <w:r>
        <w:rPr>
          <w:rStyle w:val="FootnoteReference"/>
        </w:rPr>
        <w:footnoteRef/>
      </w:r>
      <w:r>
        <w:t xml:space="preserve"> </w:t>
      </w:r>
      <w:r>
        <w:rPr>
          <w:rFonts w:eastAsia="Times New Roman" w:cs="Times New Roman"/>
          <w:color w:val="222222"/>
          <w:szCs w:val="24"/>
        </w:rPr>
        <w:t>He went on to argue that “military and defense related R&amp;D and procurement has been a major source of technology development across a broad spectrum of industries that account for an important share of U.S. industrial production” (p. 5), emphasizing computers and the internet, but passing lightly over the contrasting histories of electricity and the internal combustion engine.</w:t>
      </w:r>
    </w:p>
  </w:footnote>
  <w:footnote w:id="3">
    <w:p w14:paraId="6E72AD5C" w14:textId="77777777" w:rsidR="006B36FA" w:rsidRDefault="006B36FA" w:rsidP="00FE0144">
      <w:pPr>
        <w:pStyle w:val="FootnoteText"/>
      </w:pPr>
      <w:r>
        <w:rPr>
          <w:rStyle w:val="FootnoteReference"/>
        </w:rPr>
        <w:footnoteRef/>
      </w:r>
      <w:r>
        <w:t xml:space="preserve"> Gordon referred to these as GOPO (government owned, privately operated) plants.  The more common acronym is GOCO (government owned, contractor operated).</w:t>
      </w:r>
    </w:p>
  </w:footnote>
  <w:footnote w:id="4">
    <w:p w14:paraId="492C3442" w14:textId="21081E44" w:rsidR="006B36FA" w:rsidRDefault="006B36FA" w:rsidP="003966C1">
      <w:pPr>
        <w:pStyle w:val="FootnoteText"/>
      </w:pPr>
      <w:r>
        <w:rPr>
          <w:rStyle w:val="FootnoteReference"/>
        </w:rPr>
        <w:footnoteRef/>
      </w:r>
      <w:r>
        <w:t xml:space="preserve"> </w:t>
      </w:r>
      <w:r>
        <w:rPr>
          <w:rFonts w:eastAsia="Times New Roman" w:cs="Times New Roman"/>
          <w:color w:val="222222"/>
          <w:szCs w:val="24"/>
        </w:rPr>
        <w:t xml:space="preserve">Roosevelt’s “Must List” of January 6, 1942 announced unit production targets for 1942 and 1943 in four categories:  Planes, Ships, Anti-Aircraft Guns, and Merchant Ships (Edelstein, 2001, p. 60, citing Smith, 1959, p. 141). Guns and (military) ships were the biggest ticket hardware items in the US war effort (Smith, 1959, p. 7).  </w:t>
      </w:r>
    </w:p>
  </w:footnote>
  <w:footnote w:id="5">
    <w:p w14:paraId="1A554ABE" w14:textId="77777777" w:rsidR="006B36FA" w:rsidRDefault="006B36FA" w:rsidP="0038584B">
      <w:pPr>
        <w:pStyle w:val="FootnoteText"/>
      </w:pPr>
      <w:r>
        <w:rPr>
          <w:rStyle w:val="FootnoteReference"/>
        </w:rPr>
        <w:footnoteRef/>
      </w:r>
      <w:r>
        <w:t xml:space="preserve"> </w:t>
      </w:r>
      <w:r>
        <w:rPr>
          <w:rFonts w:eastAsia="Times New Roman" w:cs="Times New Roman"/>
          <w:color w:val="222222"/>
          <w:szCs w:val="24"/>
        </w:rPr>
        <w:t>The situation with respect to truck technology is somewhat more nuanced.  Between 1942 and 1945 the US produced for the military close to 2.4 million light, medium, light-heavy, and heavy-heavy trucks (Smith, 1959, p. 9).</w:t>
      </w:r>
    </w:p>
  </w:footnote>
  <w:footnote w:id="6">
    <w:p w14:paraId="278288B5" w14:textId="7EFEBCB9" w:rsidR="006B36FA" w:rsidRDefault="006B36FA" w:rsidP="00056FE2">
      <w:pPr>
        <w:pStyle w:val="FootnoteText"/>
      </w:pPr>
      <w:r>
        <w:rPr>
          <w:rStyle w:val="FootnoteReference"/>
        </w:rPr>
        <w:footnoteRef/>
      </w:r>
      <w:r>
        <w:t xml:space="preserve"> These ideas draw strength from an older and highly evocative tradition that saw war as rejuvenative.  Theodore Roosevelt was a notable exponent of this view. The ‘benefits’ of destroyed infrastructure as well as reconfigured institutions are often referenced in partially explaining rapid growth in Germany and Japan in the thirty years after the war.</w:t>
      </w:r>
    </w:p>
  </w:footnote>
  <w:footnote w:id="7">
    <w:p w14:paraId="55C3541B" w14:textId="77777777" w:rsidR="006B36FA" w:rsidRDefault="006B36FA" w:rsidP="00056FE2">
      <w:pPr>
        <w:pStyle w:val="FootnoteText"/>
      </w:pPr>
      <w:r>
        <w:rPr>
          <w:rStyle w:val="FootnoteReference"/>
        </w:rPr>
        <w:footnoteRef/>
      </w:r>
      <w:r>
        <w:t xml:space="preserve"> ‘Prairie fire’ effects might of course, ultimately be reflected in any of the components of a growth accounting exercise.  </w:t>
      </w:r>
    </w:p>
  </w:footnote>
  <w:footnote w:id="8">
    <w:p w14:paraId="37C31C00" w14:textId="4CED0C1F" w:rsidR="006B36FA" w:rsidRDefault="006B36FA" w:rsidP="00C870F4">
      <w:pPr>
        <w:pStyle w:val="FootnoteText"/>
      </w:pPr>
      <w:r>
        <w:rPr>
          <w:rStyle w:val="FootnoteReference"/>
        </w:rPr>
        <w:footnoteRef/>
      </w:r>
      <w:r>
        <w:t xml:space="preserve"> Kendrick ‘quality adjusted’ series weighted different categories of labor by their respective wage rates.  Unweighted manhours grew at .56 percent per year.</w:t>
      </w:r>
    </w:p>
  </w:footnote>
  <w:footnote w:id="9">
    <w:p w14:paraId="307C4E46" w14:textId="4A012A14" w:rsidR="006B36FA" w:rsidRDefault="006B36FA">
      <w:pPr>
        <w:pStyle w:val="FootnoteText"/>
      </w:pPr>
      <w:r>
        <w:rPr>
          <w:rStyle w:val="FootnoteReference"/>
        </w:rPr>
        <w:footnoteRef/>
      </w:r>
      <w:r>
        <w:t xml:space="preserve"> Although the share in national income of wages and salaries (including a proportion of proprietors’ income) has varied over the last seven decades, declining in recent years, the share of total compensation has remained relatively constant at approximately .7.  Minor variations in these weights will not affect the conclusions drawn here. </w:t>
      </w:r>
    </w:p>
  </w:footnote>
  <w:footnote w:id="10">
    <w:p w14:paraId="3CB5C5F5" w14:textId="433D1DA4" w:rsidR="006B36FA" w:rsidRDefault="006B36FA">
      <w:pPr>
        <w:pStyle w:val="FootnoteText"/>
      </w:pPr>
      <w:r>
        <w:rPr>
          <w:rStyle w:val="FootnoteReference"/>
        </w:rPr>
        <w:footnoteRef/>
      </w:r>
      <w:r>
        <w:t xml:space="preserve"> I use Lebergott unemployment because workfare programs like the CCC or the WPA, which are interpreted by Darby as lowering the unemployment rate below the Lebergott estimates, because they are unlikely to be associated with the mechanisms producing procyclical TFP in the private domestic or private nonfarm economy.</w:t>
      </w:r>
    </w:p>
  </w:footnote>
  <w:footnote w:id="11">
    <w:p w14:paraId="47E22C28" w14:textId="1DC9CF60" w:rsidR="006B36FA" w:rsidRDefault="006B36FA">
      <w:pPr>
        <w:pStyle w:val="FootnoteText"/>
      </w:pPr>
      <w:r>
        <w:rPr>
          <w:rStyle w:val="FootnoteReference"/>
        </w:rPr>
        <w:footnoteRef/>
      </w:r>
      <w:r>
        <w:t xml:space="preserve"> Adding 6 percent to the 1941 TFP level reduces the 1941-48 growth rate by .83 log percentage points.</w:t>
      </w:r>
    </w:p>
  </w:footnote>
  <w:footnote w:id="12">
    <w:p w14:paraId="6D611767" w14:textId="0441C751" w:rsidR="006B36FA" w:rsidRDefault="006B36FA">
      <w:pPr>
        <w:pStyle w:val="FootnoteText"/>
      </w:pPr>
      <w:r>
        <w:rPr>
          <w:rStyle w:val="FootnoteReference"/>
        </w:rPr>
        <w:footnoteRef/>
      </w:r>
      <w:r>
        <w:t xml:space="preserve"> Gordon includes not just government capital clearly complementary to private sector capital (e.g. streets, highways, bridges, tunnels, and sewers) but also military structures (but not equipment).  Each of these adjustments raises conceptual and other issues that deserve more extended discussion but are beyond the scope of this paper.</w:t>
      </w:r>
    </w:p>
  </w:footnote>
  <w:footnote w:id="13">
    <w:p w14:paraId="037DAC05" w14:textId="77777777" w:rsidR="006B36FA" w:rsidRDefault="006B36FA" w:rsidP="002F266E">
      <w:pPr>
        <w:pStyle w:val="FootnoteText"/>
      </w:pPr>
      <w:r>
        <w:rPr>
          <w:rStyle w:val="FootnoteReference"/>
        </w:rPr>
        <w:footnoteRef/>
      </w:r>
      <w:r>
        <w:t xml:space="preserve"> While endorsing for the most part Abramovitz/David’s conclusions about the war, Field took issue with their broader narrative of the twentieth century as reflecting a dependence on knowledge based growth that differed fundamentally from what had been true in the nineteenth.  Field argued that Abramovitz/David generalized from the high TFP growth of the first half of the twentieth century, a generalization which the data from the second half did not support. In particular, with data on the entire twentieth century now available, he pointed out that TFP growth in the last third of the twentieth century was lower than it had been during the comparable period in the nineteenth.</w:t>
      </w:r>
    </w:p>
  </w:footnote>
  <w:footnote w:id="14">
    <w:p w14:paraId="0C8C5612" w14:textId="340BD1D2" w:rsidR="006B36FA" w:rsidRDefault="006B36FA" w:rsidP="00C870F4">
      <w:pPr>
        <w:pStyle w:val="FootnoteText"/>
      </w:pPr>
      <w:r>
        <w:rPr>
          <w:rStyle w:val="FootnoteReference"/>
        </w:rPr>
        <w:footnoteRef/>
      </w:r>
      <w:r>
        <w:t xml:space="preserve"> The only heavy bomber that had not flown prior to Pearl Harbor, was the B-29, 3,970 of which were built.  This was the aircraft that delivered atomic bombs to Hiroshima and Nagasaki, as well as the Abel airblast at Bikini atoll in July of 1946.</w:t>
      </w:r>
      <w:r w:rsidRPr="00CC0E71">
        <w:t xml:space="preserve"> </w:t>
      </w:r>
      <w:r>
        <w:t xml:space="preserve">Production of B-29s ceased in 1946.  </w:t>
      </w:r>
    </w:p>
  </w:footnote>
  <w:footnote w:id="15">
    <w:p w14:paraId="39C77926" w14:textId="165981AC" w:rsidR="006B36FA" w:rsidRDefault="006B36FA">
      <w:pPr>
        <w:pStyle w:val="FootnoteText"/>
      </w:pPr>
      <w:r>
        <w:rPr>
          <w:rStyle w:val="FootnoteReference"/>
        </w:rPr>
        <w:footnoteRef/>
      </w:r>
      <w:r>
        <w:t xml:space="preserve"> T</w:t>
      </w:r>
      <w:r>
        <w:rPr>
          <w:rFonts w:eastAsia="Times New Roman" w:cs="Times New Roman"/>
          <w:color w:val="222222"/>
          <w:szCs w:val="24"/>
        </w:rPr>
        <w:t xml:space="preserve">he B-52, produced between 1952 and 1962: 742; the B-1A and B, produced between 1973 and 1974 and then again between 1983 and 1988: 104; the B-2, produced between 1987 and 2000:  21. </w:t>
      </w:r>
    </w:p>
  </w:footnote>
  <w:footnote w:id="16">
    <w:p w14:paraId="7ECE96C0" w14:textId="4D965A38" w:rsidR="006B36FA" w:rsidRDefault="006B36FA">
      <w:pPr>
        <w:pStyle w:val="FootnoteText"/>
      </w:pPr>
      <w:r>
        <w:rPr>
          <w:rStyle w:val="FootnoteReference"/>
        </w:rPr>
        <w:footnoteRef/>
      </w:r>
      <w:r>
        <w:t xml:space="preserve"> See Smith (1959, p. 27) for statistics on Army aircraft production very slightly lower but in close agreement with the comparable statistics from Wikipedia.</w:t>
      </w:r>
    </w:p>
  </w:footnote>
  <w:footnote w:id="17">
    <w:p w14:paraId="567A3604" w14:textId="77777777" w:rsidR="006B36FA" w:rsidRDefault="006B36FA" w:rsidP="00C870F4">
      <w:pPr>
        <w:pStyle w:val="FootnoteText"/>
      </w:pPr>
      <w:r>
        <w:rPr>
          <w:rStyle w:val="FootnoteReference"/>
        </w:rPr>
        <w:footnoteRef/>
      </w:r>
      <w:r>
        <w:t xml:space="preserve"> The US produced 301,572 aircraft between 1940 and 1945.  6,086 were produced in 1940, and 19,433 in 1941.</w:t>
      </w:r>
      <w:r w:rsidRPr="00E13325">
        <w:t xml:space="preserve"> </w:t>
      </w:r>
      <w:r>
        <w:t xml:space="preserve">Peak production was in 1944, when the US manufactured 96,318. (Wikipedia, 2017b).  The statistic cited by Walton is simply a matter of division.  There are 525,600 minutes in a year. 525,600/96,318 = 5.45.  </w:t>
      </w:r>
    </w:p>
  </w:footnote>
  <w:footnote w:id="18">
    <w:p w14:paraId="29771172" w14:textId="38760038" w:rsidR="006B36FA" w:rsidRDefault="006B36FA" w:rsidP="00DE1A00">
      <w:pPr>
        <w:pStyle w:val="FootnoteText"/>
      </w:pPr>
      <w:r>
        <w:rPr>
          <w:rStyle w:val="FootnoteReference"/>
        </w:rPr>
        <w:footnoteRef/>
      </w:r>
      <w:r>
        <w:t xml:space="preserve"> Ferguson (2005) provides a nuanced treatment of the different approaches to production taken by aircraft manufactures and General Motors as opposed to Ford.  He makes it clear that, contrary to Ford’s optimistic assertions, the manufacture of aircraft bore little relation to that of automobiles.  Thus the flow rate of output is somewhat overstated, since many of these planes had to be partially deconstructed and retrofitted before they could be used.</w:t>
      </w:r>
    </w:p>
  </w:footnote>
  <w:footnote w:id="19">
    <w:p w14:paraId="74CEFD2F" w14:textId="136A4C7C" w:rsidR="006B36FA" w:rsidRDefault="006B36FA" w:rsidP="00090E20">
      <w:pPr>
        <w:pStyle w:val="FootnoteText"/>
      </w:pPr>
      <w:r>
        <w:rPr>
          <w:rStyle w:val="FootnoteReference"/>
        </w:rPr>
        <w:footnoteRef/>
      </w:r>
      <w:r>
        <w:t xml:space="preserve"> The US Navy currently (2017) operates 10 aircraft carriers.</w:t>
      </w:r>
    </w:p>
  </w:footnote>
  <w:footnote w:id="20">
    <w:p w14:paraId="46A048AB" w14:textId="0407158D" w:rsidR="006B36FA" w:rsidRDefault="006B36FA" w:rsidP="00DE1A00">
      <w:pPr>
        <w:pStyle w:val="FootnoteText"/>
      </w:pPr>
      <w:r>
        <w:rPr>
          <w:rStyle w:val="FootnoteReference"/>
        </w:rPr>
        <w:footnoteRef/>
      </w:r>
      <w:r>
        <w:t xml:space="preserve"> Weyerhauser maintained a small fleet of Liberty ships after the war, but surplus Liberty ships made more of a contribution to the postwar Greek and Italian merchant marines than they did to that of the US.  Aristotle Onassis got his start by acquiring several.  Most of the remainder were mothballed and ultimately scrapped.</w:t>
      </w:r>
    </w:p>
  </w:footnote>
  <w:footnote w:id="21">
    <w:p w14:paraId="0E109154" w14:textId="77777777" w:rsidR="006B36FA" w:rsidRDefault="006B36FA" w:rsidP="00DE1A00">
      <w:pPr>
        <w:pStyle w:val="FootnoteText"/>
      </w:pPr>
      <w:r>
        <w:rPr>
          <w:rStyle w:val="FootnoteReference"/>
        </w:rPr>
        <w:footnoteRef/>
      </w:r>
      <w:r>
        <w:t xml:space="preserve"> Again, see Ferguson (2005, p. 166) for a nuanced discussion of variation among manufacturers in these practices.</w:t>
      </w:r>
    </w:p>
  </w:footnote>
  <w:footnote w:id="22">
    <w:p w14:paraId="11E1EA2D" w14:textId="22B82BED" w:rsidR="006B36FA" w:rsidRPr="00F829F5" w:rsidRDefault="006B36FA" w:rsidP="007F0D5D">
      <w:pPr>
        <w:shd w:val="clear" w:color="auto" w:fill="FFFFFF"/>
        <w:spacing w:line="240" w:lineRule="auto"/>
        <w:rPr>
          <w:rFonts w:cs="Times New Roman"/>
          <w:sz w:val="20"/>
          <w:szCs w:val="20"/>
        </w:rPr>
      </w:pPr>
      <w:r>
        <w:rPr>
          <w:rStyle w:val="FootnoteReference"/>
        </w:rPr>
        <w:footnoteRef/>
      </w:r>
      <w:r>
        <w:t xml:space="preserve"> </w:t>
      </w:r>
      <w:r w:rsidRPr="00F829F5">
        <w:rPr>
          <w:rFonts w:cs="Times New Roman"/>
          <w:sz w:val="20"/>
          <w:szCs w:val="20"/>
        </w:rPr>
        <w:t xml:space="preserve">Between 1939 and 1943, capacity </w:t>
      </w:r>
      <w:r>
        <w:rPr>
          <w:rFonts w:cs="Times New Roman"/>
          <w:sz w:val="20"/>
          <w:szCs w:val="20"/>
        </w:rPr>
        <w:t xml:space="preserve">in the aluminum industry </w:t>
      </w:r>
      <w:r w:rsidRPr="00F829F5">
        <w:rPr>
          <w:rFonts w:cs="Times New Roman"/>
          <w:sz w:val="20"/>
          <w:szCs w:val="20"/>
        </w:rPr>
        <w:t>increased seven</w:t>
      </w:r>
      <w:r>
        <w:rPr>
          <w:rFonts w:cs="Times New Roman"/>
          <w:sz w:val="20"/>
          <w:szCs w:val="20"/>
        </w:rPr>
        <w:t>-</w:t>
      </w:r>
      <w:r w:rsidRPr="00F829F5">
        <w:rPr>
          <w:rFonts w:cs="Times New Roman"/>
          <w:sz w:val="20"/>
          <w:szCs w:val="20"/>
        </w:rPr>
        <w:t>fold, from 325 million pounds</w:t>
      </w:r>
      <w:r>
        <w:rPr>
          <w:rFonts w:cs="Times New Roman"/>
          <w:sz w:val="20"/>
          <w:szCs w:val="20"/>
        </w:rPr>
        <w:t xml:space="preserve"> per year</w:t>
      </w:r>
      <w:r w:rsidRPr="00F829F5">
        <w:rPr>
          <w:rFonts w:cs="Times New Roman"/>
          <w:sz w:val="20"/>
          <w:szCs w:val="20"/>
        </w:rPr>
        <w:t xml:space="preserve"> to 2.3 billion pounds</w:t>
      </w:r>
      <w:r>
        <w:rPr>
          <w:rFonts w:cs="Times New Roman"/>
          <w:sz w:val="20"/>
          <w:szCs w:val="20"/>
        </w:rPr>
        <w:t xml:space="preserve"> per year.</w:t>
      </w:r>
      <w:r w:rsidRPr="00F829F5">
        <w:rPr>
          <w:rFonts w:cs="Times New Roman"/>
          <w:sz w:val="20"/>
          <w:szCs w:val="20"/>
        </w:rPr>
        <w:t xml:space="preserve"> </w:t>
      </w:r>
      <w:r>
        <w:rPr>
          <w:rFonts w:cs="Times New Roman"/>
          <w:sz w:val="20"/>
          <w:szCs w:val="20"/>
        </w:rPr>
        <w:t xml:space="preserve">This contributed critically to </w:t>
      </w:r>
      <w:r w:rsidRPr="00F829F5">
        <w:rPr>
          <w:rFonts w:cs="Times New Roman"/>
          <w:sz w:val="20"/>
          <w:szCs w:val="20"/>
        </w:rPr>
        <w:t>US domina</w:t>
      </w:r>
      <w:r>
        <w:rPr>
          <w:rFonts w:cs="Times New Roman"/>
          <w:sz w:val="20"/>
          <w:szCs w:val="20"/>
        </w:rPr>
        <w:t>nce</w:t>
      </w:r>
      <w:r w:rsidRPr="00F829F5">
        <w:rPr>
          <w:rFonts w:cs="Times New Roman"/>
          <w:sz w:val="20"/>
          <w:szCs w:val="20"/>
        </w:rPr>
        <w:t xml:space="preserve"> in military and commercial aviation after the war.   </w:t>
      </w:r>
      <w:r>
        <w:rPr>
          <w:rFonts w:cs="Times New Roman"/>
          <w:sz w:val="20"/>
          <w:szCs w:val="20"/>
        </w:rPr>
        <w:t xml:space="preserve">The </w:t>
      </w:r>
      <w:r w:rsidRPr="00F829F5">
        <w:rPr>
          <w:rFonts w:cs="Times New Roman"/>
          <w:sz w:val="20"/>
          <w:szCs w:val="20"/>
        </w:rPr>
        <w:t>new synthetic rubber industry</w:t>
      </w:r>
      <w:r>
        <w:rPr>
          <w:rFonts w:cs="Times New Roman"/>
          <w:sz w:val="20"/>
          <w:szCs w:val="20"/>
        </w:rPr>
        <w:t xml:space="preserve"> was</w:t>
      </w:r>
      <w:r w:rsidRPr="00F829F5">
        <w:rPr>
          <w:rFonts w:cs="Times New Roman"/>
          <w:sz w:val="20"/>
          <w:szCs w:val="20"/>
        </w:rPr>
        <w:t xml:space="preserve"> created in response to the cut off during the war of access to natural rubber supplies in the Far East.  Output increased from 28 million tons in 1942 to 922 million tons in 1945 (Koistinen, 2004, pp. 138, 149).  </w:t>
      </w:r>
      <w:r>
        <w:rPr>
          <w:rFonts w:cs="Times New Roman"/>
          <w:sz w:val="20"/>
          <w:szCs w:val="20"/>
        </w:rPr>
        <w:t>T</w:t>
      </w:r>
      <w:r w:rsidRPr="00F829F5">
        <w:rPr>
          <w:rFonts w:cs="Times New Roman"/>
          <w:sz w:val="20"/>
          <w:szCs w:val="20"/>
        </w:rPr>
        <w:t>he Big Inch and Little Inch pipelines</w:t>
      </w:r>
      <w:r>
        <w:rPr>
          <w:rFonts w:cs="Times New Roman"/>
          <w:sz w:val="20"/>
          <w:szCs w:val="20"/>
        </w:rPr>
        <w:t xml:space="preserve"> transported fuel </w:t>
      </w:r>
      <w:r w:rsidRPr="00F829F5">
        <w:rPr>
          <w:rFonts w:cs="Times New Roman"/>
          <w:sz w:val="20"/>
          <w:szCs w:val="20"/>
        </w:rPr>
        <w:t xml:space="preserve">without exposing it to the risk of submarine predation </w:t>
      </w:r>
      <w:r w:rsidR="00A62832">
        <w:rPr>
          <w:rFonts w:cs="Times New Roman"/>
          <w:sz w:val="20"/>
          <w:szCs w:val="20"/>
        </w:rPr>
        <w:t>along</w:t>
      </w:r>
      <w:r w:rsidRPr="00F829F5">
        <w:rPr>
          <w:rFonts w:cs="Times New Roman"/>
          <w:sz w:val="20"/>
          <w:szCs w:val="20"/>
        </w:rPr>
        <w:t xml:space="preserve"> the Gulf and Atlantic coasts.  </w:t>
      </w:r>
    </w:p>
    <w:p w14:paraId="4A391685" w14:textId="295442DC" w:rsidR="006B36FA" w:rsidRDefault="006B36FA">
      <w:pPr>
        <w:pStyle w:val="FootnoteText"/>
      </w:pPr>
    </w:p>
  </w:footnote>
  <w:footnote w:id="23">
    <w:p w14:paraId="584A87EE" w14:textId="77777777" w:rsidR="006B36FA" w:rsidRDefault="006B36FA" w:rsidP="00693C46">
      <w:pPr>
        <w:pStyle w:val="FootnoteText"/>
      </w:pPr>
      <w:r>
        <w:rPr>
          <w:rStyle w:val="FootnoteReference"/>
        </w:rPr>
        <w:footnoteRef/>
      </w:r>
      <w:r>
        <w:t xml:space="preserve"> A number of aircraft models were produced by more than one contractor.</w:t>
      </w:r>
    </w:p>
  </w:footnote>
  <w:footnote w:id="24">
    <w:p w14:paraId="11F0BC00" w14:textId="77777777" w:rsidR="006B36FA" w:rsidRDefault="006B36FA" w:rsidP="00F22F33">
      <w:pPr>
        <w:pStyle w:val="FootnoteText"/>
      </w:pPr>
      <w:r>
        <w:rPr>
          <w:rStyle w:val="FootnoteReference"/>
        </w:rPr>
        <w:footnoteRef/>
      </w:r>
      <w:r>
        <w:t xml:space="preserve"> The higher TFP growth rate between 1929 and 1941 compared with Field (2011) is principally driven by the measure of output growth in the calculations described above (4.43 percent), which exceeds that calculatable from Kendrick’s table D-II (3.81 percent), which was used in Field (2011).  For 1941-48, the 1.98 percent per year output growth calculated here is slightly less than a rate based on Kendrick’s output index, which grows at 2.20 percent per year over that period.</w:t>
      </w:r>
      <w:r>
        <w:rPr>
          <w:rFonts w:eastAsia="Times New Roman" w:cs="Times New Roman"/>
          <w:color w:val="222222"/>
          <w:szCs w:val="24"/>
        </w:rPr>
        <w:t xml:space="preserve">  </w:t>
      </w:r>
    </w:p>
  </w:footnote>
  <w:footnote w:id="25">
    <w:p w14:paraId="5B690791" w14:textId="77777777" w:rsidR="006B36FA" w:rsidRDefault="006B36FA" w:rsidP="00F22F33">
      <w:pPr>
        <w:pStyle w:val="FootnoteText"/>
      </w:pPr>
      <w:r>
        <w:rPr>
          <w:rStyle w:val="FootnoteReference"/>
        </w:rPr>
        <w:footnoteRef/>
      </w:r>
      <w:r>
        <w:t xml:space="preserve"> Note that because I have not attempted cyclical adjustments for the sectoral estimates, I am also not including a cyclical adjustment for the aggregate growth rate here.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23D56"/>
    <w:multiLevelType w:val="hybridMultilevel"/>
    <w:tmpl w:val="9BC2DD1A"/>
    <w:lvl w:ilvl="0" w:tplc="EB548790">
      <w:start w:val="1"/>
      <w:numFmt w:val="bullet"/>
      <w:lvlText w:val="•"/>
      <w:lvlJc w:val="left"/>
      <w:pPr>
        <w:tabs>
          <w:tab w:val="num" w:pos="720"/>
        </w:tabs>
        <w:ind w:left="720" w:hanging="360"/>
      </w:pPr>
      <w:rPr>
        <w:rFonts w:ascii="Arial" w:hAnsi="Arial" w:hint="default"/>
      </w:rPr>
    </w:lvl>
    <w:lvl w:ilvl="1" w:tplc="FF784242" w:tentative="1">
      <w:start w:val="1"/>
      <w:numFmt w:val="bullet"/>
      <w:lvlText w:val="•"/>
      <w:lvlJc w:val="left"/>
      <w:pPr>
        <w:tabs>
          <w:tab w:val="num" w:pos="1440"/>
        </w:tabs>
        <w:ind w:left="1440" w:hanging="360"/>
      </w:pPr>
      <w:rPr>
        <w:rFonts w:ascii="Arial" w:hAnsi="Arial" w:hint="default"/>
      </w:rPr>
    </w:lvl>
    <w:lvl w:ilvl="2" w:tplc="434ABC62" w:tentative="1">
      <w:start w:val="1"/>
      <w:numFmt w:val="bullet"/>
      <w:lvlText w:val="•"/>
      <w:lvlJc w:val="left"/>
      <w:pPr>
        <w:tabs>
          <w:tab w:val="num" w:pos="2160"/>
        </w:tabs>
        <w:ind w:left="2160" w:hanging="360"/>
      </w:pPr>
      <w:rPr>
        <w:rFonts w:ascii="Arial" w:hAnsi="Arial" w:hint="default"/>
      </w:rPr>
    </w:lvl>
    <w:lvl w:ilvl="3" w:tplc="74C42838" w:tentative="1">
      <w:start w:val="1"/>
      <w:numFmt w:val="bullet"/>
      <w:lvlText w:val="•"/>
      <w:lvlJc w:val="left"/>
      <w:pPr>
        <w:tabs>
          <w:tab w:val="num" w:pos="2880"/>
        </w:tabs>
        <w:ind w:left="2880" w:hanging="360"/>
      </w:pPr>
      <w:rPr>
        <w:rFonts w:ascii="Arial" w:hAnsi="Arial" w:hint="default"/>
      </w:rPr>
    </w:lvl>
    <w:lvl w:ilvl="4" w:tplc="69541334" w:tentative="1">
      <w:start w:val="1"/>
      <w:numFmt w:val="bullet"/>
      <w:lvlText w:val="•"/>
      <w:lvlJc w:val="left"/>
      <w:pPr>
        <w:tabs>
          <w:tab w:val="num" w:pos="3600"/>
        </w:tabs>
        <w:ind w:left="3600" w:hanging="360"/>
      </w:pPr>
      <w:rPr>
        <w:rFonts w:ascii="Arial" w:hAnsi="Arial" w:hint="default"/>
      </w:rPr>
    </w:lvl>
    <w:lvl w:ilvl="5" w:tplc="06D0DBA8" w:tentative="1">
      <w:start w:val="1"/>
      <w:numFmt w:val="bullet"/>
      <w:lvlText w:val="•"/>
      <w:lvlJc w:val="left"/>
      <w:pPr>
        <w:tabs>
          <w:tab w:val="num" w:pos="4320"/>
        </w:tabs>
        <w:ind w:left="4320" w:hanging="360"/>
      </w:pPr>
      <w:rPr>
        <w:rFonts w:ascii="Arial" w:hAnsi="Arial" w:hint="default"/>
      </w:rPr>
    </w:lvl>
    <w:lvl w:ilvl="6" w:tplc="46A810CE" w:tentative="1">
      <w:start w:val="1"/>
      <w:numFmt w:val="bullet"/>
      <w:lvlText w:val="•"/>
      <w:lvlJc w:val="left"/>
      <w:pPr>
        <w:tabs>
          <w:tab w:val="num" w:pos="5040"/>
        </w:tabs>
        <w:ind w:left="5040" w:hanging="360"/>
      </w:pPr>
      <w:rPr>
        <w:rFonts w:ascii="Arial" w:hAnsi="Arial" w:hint="default"/>
      </w:rPr>
    </w:lvl>
    <w:lvl w:ilvl="7" w:tplc="15D84124" w:tentative="1">
      <w:start w:val="1"/>
      <w:numFmt w:val="bullet"/>
      <w:lvlText w:val="•"/>
      <w:lvlJc w:val="left"/>
      <w:pPr>
        <w:tabs>
          <w:tab w:val="num" w:pos="5760"/>
        </w:tabs>
        <w:ind w:left="5760" w:hanging="360"/>
      </w:pPr>
      <w:rPr>
        <w:rFonts w:ascii="Arial" w:hAnsi="Arial" w:hint="default"/>
      </w:rPr>
    </w:lvl>
    <w:lvl w:ilvl="8" w:tplc="7178A82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6B176F7"/>
    <w:multiLevelType w:val="hybridMultilevel"/>
    <w:tmpl w:val="7ADA80D8"/>
    <w:lvl w:ilvl="0" w:tplc="6AA81A96">
      <w:start w:val="1"/>
      <w:numFmt w:val="bullet"/>
      <w:lvlText w:val="•"/>
      <w:lvlJc w:val="left"/>
      <w:pPr>
        <w:tabs>
          <w:tab w:val="num" w:pos="720"/>
        </w:tabs>
        <w:ind w:left="720" w:hanging="360"/>
      </w:pPr>
      <w:rPr>
        <w:rFonts w:ascii="Arial" w:hAnsi="Arial" w:hint="default"/>
      </w:rPr>
    </w:lvl>
    <w:lvl w:ilvl="1" w:tplc="4C40893E" w:tentative="1">
      <w:start w:val="1"/>
      <w:numFmt w:val="bullet"/>
      <w:lvlText w:val="•"/>
      <w:lvlJc w:val="left"/>
      <w:pPr>
        <w:tabs>
          <w:tab w:val="num" w:pos="1440"/>
        </w:tabs>
        <w:ind w:left="1440" w:hanging="360"/>
      </w:pPr>
      <w:rPr>
        <w:rFonts w:ascii="Arial" w:hAnsi="Arial" w:hint="default"/>
      </w:rPr>
    </w:lvl>
    <w:lvl w:ilvl="2" w:tplc="B9B85CF2" w:tentative="1">
      <w:start w:val="1"/>
      <w:numFmt w:val="bullet"/>
      <w:lvlText w:val="•"/>
      <w:lvlJc w:val="left"/>
      <w:pPr>
        <w:tabs>
          <w:tab w:val="num" w:pos="2160"/>
        </w:tabs>
        <w:ind w:left="2160" w:hanging="360"/>
      </w:pPr>
      <w:rPr>
        <w:rFonts w:ascii="Arial" w:hAnsi="Arial" w:hint="default"/>
      </w:rPr>
    </w:lvl>
    <w:lvl w:ilvl="3" w:tplc="1100B318" w:tentative="1">
      <w:start w:val="1"/>
      <w:numFmt w:val="bullet"/>
      <w:lvlText w:val="•"/>
      <w:lvlJc w:val="left"/>
      <w:pPr>
        <w:tabs>
          <w:tab w:val="num" w:pos="2880"/>
        </w:tabs>
        <w:ind w:left="2880" w:hanging="360"/>
      </w:pPr>
      <w:rPr>
        <w:rFonts w:ascii="Arial" w:hAnsi="Arial" w:hint="default"/>
      </w:rPr>
    </w:lvl>
    <w:lvl w:ilvl="4" w:tplc="49D26FCA" w:tentative="1">
      <w:start w:val="1"/>
      <w:numFmt w:val="bullet"/>
      <w:lvlText w:val="•"/>
      <w:lvlJc w:val="left"/>
      <w:pPr>
        <w:tabs>
          <w:tab w:val="num" w:pos="3600"/>
        </w:tabs>
        <w:ind w:left="3600" w:hanging="360"/>
      </w:pPr>
      <w:rPr>
        <w:rFonts w:ascii="Arial" w:hAnsi="Arial" w:hint="default"/>
      </w:rPr>
    </w:lvl>
    <w:lvl w:ilvl="5" w:tplc="F8BA79D4" w:tentative="1">
      <w:start w:val="1"/>
      <w:numFmt w:val="bullet"/>
      <w:lvlText w:val="•"/>
      <w:lvlJc w:val="left"/>
      <w:pPr>
        <w:tabs>
          <w:tab w:val="num" w:pos="4320"/>
        </w:tabs>
        <w:ind w:left="4320" w:hanging="360"/>
      </w:pPr>
      <w:rPr>
        <w:rFonts w:ascii="Arial" w:hAnsi="Arial" w:hint="default"/>
      </w:rPr>
    </w:lvl>
    <w:lvl w:ilvl="6" w:tplc="420C242E" w:tentative="1">
      <w:start w:val="1"/>
      <w:numFmt w:val="bullet"/>
      <w:lvlText w:val="•"/>
      <w:lvlJc w:val="left"/>
      <w:pPr>
        <w:tabs>
          <w:tab w:val="num" w:pos="5040"/>
        </w:tabs>
        <w:ind w:left="5040" w:hanging="360"/>
      </w:pPr>
      <w:rPr>
        <w:rFonts w:ascii="Arial" w:hAnsi="Arial" w:hint="default"/>
      </w:rPr>
    </w:lvl>
    <w:lvl w:ilvl="7" w:tplc="51D4A0E0" w:tentative="1">
      <w:start w:val="1"/>
      <w:numFmt w:val="bullet"/>
      <w:lvlText w:val="•"/>
      <w:lvlJc w:val="left"/>
      <w:pPr>
        <w:tabs>
          <w:tab w:val="num" w:pos="5760"/>
        </w:tabs>
        <w:ind w:left="5760" w:hanging="360"/>
      </w:pPr>
      <w:rPr>
        <w:rFonts w:ascii="Arial" w:hAnsi="Arial" w:hint="default"/>
      </w:rPr>
    </w:lvl>
    <w:lvl w:ilvl="8" w:tplc="54CC6CA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D040B25"/>
    <w:multiLevelType w:val="hybridMultilevel"/>
    <w:tmpl w:val="60287724"/>
    <w:lvl w:ilvl="0" w:tplc="0242EACE">
      <w:start w:val="1"/>
      <w:numFmt w:val="bullet"/>
      <w:lvlText w:val="•"/>
      <w:lvlJc w:val="left"/>
      <w:pPr>
        <w:tabs>
          <w:tab w:val="num" w:pos="720"/>
        </w:tabs>
        <w:ind w:left="720" w:hanging="360"/>
      </w:pPr>
      <w:rPr>
        <w:rFonts w:ascii="Arial" w:hAnsi="Arial" w:hint="default"/>
      </w:rPr>
    </w:lvl>
    <w:lvl w:ilvl="1" w:tplc="832EEBEA" w:tentative="1">
      <w:start w:val="1"/>
      <w:numFmt w:val="bullet"/>
      <w:lvlText w:val="•"/>
      <w:lvlJc w:val="left"/>
      <w:pPr>
        <w:tabs>
          <w:tab w:val="num" w:pos="1440"/>
        </w:tabs>
        <w:ind w:left="1440" w:hanging="360"/>
      </w:pPr>
      <w:rPr>
        <w:rFonts w:ascii="Arial" w:hAnsi="Arial" w:hint="default"/>
      </w:rPr>
    </w:lvl>
    <w:lvl w:ilvl="2" w:tplc="3106FD46" w:tentative="1">
      <w:start w:val="1"/>
      <w:numFmt w:val="bullet"/>
      <w:lvlText w:val="•"/>
      <w:lvlJc w:val="left"/>
      <w:pPr>
        <w:tabs>
          <w:tab w:val="num" w:pos="2160"/>
        </w:tabs>
        <w:ind w:left="2160" w:hanging="360"/>
      </w:pPr>
      <w:rPr>
        <w:rFonts w:ascii="Arial" w:hAnsi="Arial" w:hint="default"/>
      </w:rPr>
    </w:lvl>
    <w:lvl w:ilvl="3" w:tplc="2BACEDBA" w:tentative="1">
      <w:start w:val="1"/>
      <w:numFmt w:val="bullet"/>
      <w:lvlText w:val="•"/>
      <w:lvlJc w:val="left"/>
      <w:pPr>
        <w:tabs>
          <w:tab w:val="num" w:pos="2880"/>
        </w:tabs>
        <w:ind w:left="2880" w:hanging="360"/>
      </w:pPr>
      <w:rPr>
        <w:rFonts w:ascii="Arial" w:hAnsi="Arial" w:hint="default"/>
      </w:rPr>
    </w:lvl>
    <w:lvl w:ilvl="4" w:tplc="8B1087D2" w:tentative="1">
      <w:start w:val="1"/>
      <w:numFmt w:val="bullet"/>
      <w:lvlText w:val="•"/>
      <w:lvlJc w:val="left"/>
      <w:pPr>
        <w:tabs>
          <w:tab w:val="num" w:pos="3600"/>
        </w:tabs>
        <w:ind w:left="3600" w:hanging="360"/>
      </w:pPr>
      <w:rPr>
        <w:rFonts w:ascii="Arial" w:hAnsi="Arial" w:hint="default"/>
      </w:rPr>
    </w:lvl>
    <w:lvl w:ilvl="5" w:tplc="12FCBB16" w:tentative="1">
      <w:start w:val="1"/>
      <w:numFmt w:val="bullet"/>
      <w:lvlText w:val="•"/>
      <w:lvlJc w:val="left"/>
      <w:pPr>
        <w:tabs>
          <w:tab w:val="num" w:pos="4320"/>
        </w:tabs>
        <w:ind w:left="4320" w:hanging="360"/>
      </w:pPr>
      <w:rPr>
        <w:rFonts w:ascii="Arial" w:hAnsi="Arial" w:hint="default"/>
      </w:rPr>
    </w:lvl>
    <w:lvl w:ilvl="6" w:tplc="ACA8211E" w:tentative="1">
      <w:start w:val="1"/>
      <w:numFmt w:val="bullet"/>
      <w:lvlText w:val="•"/>
      <w:lvlJc w:val="left"/>
      <w:pPr>
        <w:tabs>
          <w:tab w:val="num" w:pos="5040"/>
        </w:tabs>
        <w:ind w:left="5040" w:hanging="360"/>
      </w:pPr>
      <w:rPr>
        <w:rFonts w:ascii="Arial" w:hAnsi="Arial" w:hint="default"/>
      </w:rPr>
    </w:lvl>
    <w:lvl w:ilvl="7" w:tplc="FFE0BF34" w:tentative="1">
      <w:start w:val="1"/>
      <w:numFmt w:val="bullet"/>
      <w:lvlText w:val="•"/>
      <w:lvlJc w:val="left"/>
      <w:pPr>
        <w:tabs>
          <w:tab w:val="num" w:pos="5760"/>
        </w:tabs>
        <w:ind w:left="5760" w:hanging="360"/>
      </w:pPr>
      <w:rPr>
        <w:rFonts w:ascii="Arial" w:hAnsi="Arial" w:hint="default"/>
      </w:rPr>
    </w:lvl>
    <w:lvl w:ilvl="8" w:tplc="DF8A409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3375183"/>
    <w:multiLevelType w:val="hybridMultilevel"/>
    <w:tmpl w:val="A880B8AE"/>
    <w:lvl w:ilvl="0" w:tplc="6D9A3202">
      <w:start w:val="1"/>
      <w:numFmt w:val="bullet"/>
      <w:lvlText w:val="•"/>
      <w:lvlJc w:val="left"/>
      <w:pPr>
        <w:tabs>
          <w:tab w:val="num" w:pos="720"/>
        </w:tabs>
        <w:ind w:left="720" w:hanging="360"/>
      </w:pPr>
      <w:rPr>
        <w:rFonts w:ascii="Arial" w:hAnsi="Arial" w:hint="default"/>
      </w:rPr>
    </w:lvl>
    <w:lvl w:ilvl="1" w:tplc="D2968122" w:tentative="1">
      <w:start w:val="1"/>
      <w:numFmt w:val="bullet"/>
      <w:lvlText w:val="•"/>
      <w:lvlJc w:val="left"/>
      <w:pPr>
        <w:tabs>
          <w:tab w:val="num" w:pos="1440"/>
        </w:tabs>
        <w:ind w:left="1440" w:hanging="360"/>
      </w:pPr>
      <w:rPr>
        <w:rFonts w:ascii="Arial" w:hAnsi="Arial" w:hint="default"/>
      </w:rPr>
    </w:lvl>
    <w:lvl w:ilvl="2" w:tplc="598EFF98" w:tentative="1">
      <w:start w:val="1"/>
      <w:numFmt w:val="bullet"/>
      <w:lvlText w:val="•"/>
      <w:lvlJc w:val="left"/>
      <w:pPr>
        <w:tabs>
          <w:tab w:val="num" w:pos="2160"/>
        </w:tabs>
        <w:ind w:left="2160" w:hanging="360"/>
      </w:pPr>
      <w:rPr>
        <w:rFonts w:ascii="Arial" w:hAnsi="Arial" w:hint="default"/>
      </w:rPr>
    </w:lvl>
    <w:lvl w:ilvl="3" w:tplc="ED5C63FC" w:tentative="1">
      <w:start w:val="1"/>
      <w:numFmt w:val="bullet"/>
      <w:lvlText w:val="•"/>
      <w:lvlJc w:val="left"/>
      <w:pPr>
        <w:tabs>
          <w:tab w:val="num" w:pos="2880"/>
        </w:tabs>
        <w:ind w:left="2880" w:hanging="360"/>
      </w:pPr>
      <w:rPr>
        <w:rFonts w:ascii="Arial" w:hAnsi="Arial" w:hint="default"/>
      </w:rPr>
    </w:lvl>
    <w:lvl w:ilvl="4" w:tplc="47029CF8" w:tentative="1">
      <w:start w:val="1"/>
      <w:numFmt w:val="bullet"/>
      <w:lvlText w:val="•"/>
      <w:lvlJc w:val="left"/>
      <w:pPr>
        <w:tabs>
          <w:tab w:val="num" w:pos="3600"/>
        </w:tabs>
        <w:ind w:left="3600" w:hanging="360"/>
      </w:pPr>
      <w:rPr>
        <w:rFonts w:ascii="Arial" w:hAnsi="Arial" w:hint="default"/>
      </w:rPr>
    </w:lvl>
    <w:lvl w:ilvl="5" w:tplc="53901B98" w:tentative="1">
      <w:start w:val="1"/>
      <w:numFmt w:val="bullet"/>
      <w:lvlText w:val="•"/>
      <w:lvlJc w:val="left"/>
      <w:pPr>
        <w:tabs>
          <w:tab w:val="num" w:pos="4320"/>
        </w:tabs>
        <w:ind w:left="4320" w:hanging="360"/>
      </w:pPr>
      <w:rPr>
        <w:rFonts w:ascii="Arial" w:hAnsi="Arial" w:hint="default"/>
      </w:rPr>
    </w:lvl>
    <w:lvl w:ilvl="6" w:tplc="01C65CB2" w:tentative="1">
      <w:start w:val="1"/>
      <w:numFmt w:val="bullet"/>
      <w:lvlText w:val="•"/>
      <w:lvlJc w:val="left"/>
      <w:pPr>
        <w:tabs>
          <w:tab w:val="num" w:pos="5040"/>
        </w:tabs>
        <w:ind w:left="5040" w:hanging="360"/>
      </w:pPr>
      <w:rPr>
        <w:rFonts w:ascii="Arial" w:hAnsi="Arial" w:hint="default"/>
      </w:rPr>
    </w:lvl>
    <w:lvl w:ilvl="7" w:tplc="702EFB4A" w:tentative="1">
      <w:start w:val="1"/>
      <w:numFmt w:val="bullet"/>
      <w:lvlText w:val="•"/>
      <w:lvlJc w:val="left"/>
      <w:pPr>
        <w:tabs>
          <w:tab w:val="num" w:pos="5760"/>
        </w:tabs>
        <w:ind w:left="5760" w:hanging="360"/>
      </w:pPr>
      <w:rPr>
        <w:rFonts w:ascii="Arial" w:hAnsi="Arial" w:hint="default"/>
      </w:rPr>
    </w:lvl>
    <w:lvl w:ilvl="8" w:tplc="C7908C3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3E72A56"/>
    <w:multiLevelType w:val="hybridMultilevel"/>
    <w:tmpl w:val="B89EF9B2"/>
    <w:lvl w:ilvl="0" w:tplc="B7AE022E">
      <w:start w:val="1"/>
      <w:numFmt w:val="bullet"/>
      <w:lvlText w:val="•"/>
      <w:lvlJc w:val="left"/>
      <w:pPr>
        <w:tabs>
          <w:tab w:val="num" w:pos="720"/>
        </w:tabs>
        <w:ind w:left="720" w:hanging="360"/>
      </w:pPr>
      <w:rPr>
        <w:rFonts w:ascii="Arial" w:hAnsi="Arial" w:hint="default"/>
      </w:rPr>
    </w:lvl>
    <w:lvl w:ilvl="1" w:tplc="125A68A4" w:tentative="1">
      <w:start w:val="1"/>
      <w:numFmt w:val="bullet"/>
      <w:lvlText w:val="•"/>
      <w:lvlJc w:val="left"/>
      <w:pPr>
        <w:tabs>
          <w:tab w:val="num" w:pos="1440"/>
        </w:tabs>
        <w:ind w:left="1440" w:hanging="360"/>
      </w:pPr>
      <w:rPr>
        <w:rFonts w:ascii="Arial" w:hAnsi="Arial" w:hint="default"/>
      </w:rPr>
    </w:lvl>
    <w:lvl w:ilvl="2" w:tplc="E504869A" w:tentative="1">
      <w:start w:val="1"/>
      <w:numFmt w:val="bullet"/>
      <w:lvlText w:val="•"/>
      <w:lvlJc w:val="left"/>
      <w:pPr>
        <w:tabs>
          <w:tab w:val="num" w:pos="2160"/>
        </w:tabs>
        <w:ind w:left="2160" w:hanging="360"/>
      </w:pPr>
      <w:rPr>
        <w:rFonts w:ascii="Arial" w:hAnsi="Arial" w:hint="default"/>
      </w:rPr>
    </w:lvl>
    <w:lvl w:ilvl="3" w:tplc="25860A6C" w:tentative="1">
      <w:start w:val="1"/>
      <w:numFmt w:val="bullet"/>
      <w:lvlText w:val="•"/>
      <w:lvlJc w:val="left"/>
      <w:pPr>
        <w:tabs>
          <w:tab w:val="num" w:pos="2880"/>
        </w:tabs>
        <w:ind w:left="2880" w:hanging="360"/>
      </w:pPr>
      <w:rPr>
        <w:rFonts w:ascii="Arial" w:hAnsi="Arial" w:hint="default"/>
      </w:rPr>
    </w:lvl>
    <w:lvl w:ilvl="4" w:tplc="337228F4" w:tentative="1">
      <w:start w:val="1"/>
      <w:numFmt w:val="bullet"/>
      <w:lvlText w:val="•"/>
      <w:lvlJc w:val="left"/>
      <w:pPr>
        <w:tabs>
          <w:tab w:val="num" w:pos="3600"/>
        </w:tabs>
        <w:ind w:left="3600" w:hanging="360"/>
      </w:pPr>
      <w:rPr>
        <w:rFonts w:ascii="Arial" w:hAnsi="Arial" w:hint="default"/>
      </w:rPr>
    </w:lvl>
    <w:lvl w:ilvl="5" w:tplc="5DFE5AC0" w:tentative="1">
      <w:start w:val="1"/>
      <w:numFmt w:val="bullet"/>
      <w:lvlText w:val="•"/>
      <w:lvlJc w:val="left"/>
      <w:pPr>
        <w:tabs>
          <w:tab w:val="num" w:pos="4320"/>
        </w:tabs>
        <w:ind w:left="4320" w:hanging="360"/>
      </w:pPr>
      <w:rPr>
        <w:rFonts w:ascii="Arial" w:hAnsi="Arial" w:hint="default"/>
      </w:rPr>
    </w:lvl>
    <w:lvl w:ilvl="6" w:tplc="FC6EA31E" w:tentative="1">
      <w:start w:val="1"/>
      <w:numFmt w:val="bullet"/>
      <w:lvlText w:val="•"/>
      <w:lvlJc w:val="left"/>
      <w:pPr>
        <w:tabs>
          <w:tab w:val="num" w:pos="5040"/>
        </w:tabs>
        <w:ind w:left="5040" w:hanging="360"/>
      </w:pPr>
      <w:rPr>
        <w:rFonts w:ascii="Arial" w:hAnsi="Arial" w:hint="default"/>
      </w:rPr>
    </w:lvl>
    <w:lvl w:ilvl="7" w:tplc="4E163A7A" w:tentative="1">
      <w:start w:val="1"/>
      <w:numFmt w:val="bullet"/>
      <w:lvlText w:val="•"/>
      <w:lvlJc w:val="left"/>
      <w:pPr>
        <w:tabs>
          <w:tab w:val="num" w:pos="5760"/>
        </w:tabs>
        <w:ind w:left="5760" w:hanging="360"/>
      </w:pPr>
      <w:rPr>
        <w:rFonts w:ascii="Arial" w:hAnsi="Arial" w:hint="default"/>
      </w:rPr>
    </w:lvl>
    <w:lvl w:ilvl="8" w:tplc="DF50A98C"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5186703"/>
    <w:multiLevelType w:val="hybridMultilevel"/>
    <w:tmpl w:val="682CF132"/>
    <w:lvl w:ilvl="0" w:tplc="915A900A">
      <w:start w:val="1"/>
      <w:numFmt w:val="bullet"/>
      <w:lvlText w:val="•"/>
      <w:lvlJc w:val="left"/>
      <w:pPr>
        <w:tabs>
          <w:tab w:val="num" w:pos="720"/>
        </w:tabs>
        <w:ind w:left="720" w:hanging="360"/>
      </w:pPr>
      <w:rPr>
        <w:rFonts w:ascii="Arial" w:hAnsi="Arial" w:hint="default"/>
      </w:rPr>
    </w:lvl>
    <w:lvl w:ilvl="1" w:tplc="46EEA4E0" w:tentative="1">
      <w:start w:val="1"/>
      <w:numFmt w:val="bullet"/>
      <w:lvlText w:val="•"/>
      <w:lvlJc w:val="left"/>
      <w:pPr>
        <w:tabs>
          <w:tab w:val="num" w:pos="1440"/>
        </w:tabs>
        <w:ind w:left="1440" w:hanging="360"/>
      </w:pPr>
      <w:rPr>
        <w:rFonts w:ascii="Arial" w:hAnsi="Arial" w:hint="default"/>
      </w:rPr>
    </w:lvl>
    <w:lvl w:ilvl="2" w:tplc="9DDA3CA4" w:tentative="1">
      <w:start w:val="1"/>
      <w:numFmt w:val="bullet"/>
      <w:lvlText w:val="•"/>
      <w:lvlJc w:val="left"/>
      <w:pPr>
        <w:tabs>
          <w:tab w:val="num" w:pos="2160"/>
        </w:tabs>
        <w:ind w:left="2160" w:hanging="360"/>
      </w:pPr>
      <w:rPr>
        <w:rFonts w:ascii="Arial" w:hAnsi="Arial" w:hint="default"/>
      </w:rPr>
    </w:lvl>
    <w:lvl w:ilvl="3" w:tplc="E878DA56" w:tentative="1">
      <w:start w:val="1"/>
      <w:numFmt w:val="bullet"/>
      <w:lvlText w:val="•"/>
      <w:lvlJc w:val="left"/>
      <w:pPr>
        <w:tabs>
          <w:tab w:val="num" w:pos="2880"/>
        </w:tabs>
        <w:ind w:left="2880" w:hanging="360"/>
      </w:pPr>
      <w:rPr>
        <w:rFonts w:ascii="Arial" w:hAnsi="Arial" w:hint="default"/>
      </w:rPr>
    </w:lvl>
    <w:lvl w:ilvl="4" w:tplc="A6BE5CA2" w:tentative="1">
      <w:start w:val="1"/>
      <w:numFmt w:val="bullet"/>
      <w:lvlText w:val="•"/>
      <w:lvlJc w:val="left"/>
      <w:pPr>
        <w:tabs>
          <w:tab w:val="num" w:pos="3600"/>
        </w:tabs>
        <w:ind w:left="3600" w:hanging="360"/>
      </w:pPr>
      <w:rPr>
        <w:rFonts w:ascii="Arial" w:hAnsi="Arial" w:hint="default"/>
      </w:rPr>
    </w:lvl>
    <w:lvl w:ilvl="5" w:tplc="25FA2D10" w:tentative="1">
      <w:start w:val="1"/>
      <w:numFmt w:val="bullet"/>
      <w:lvlText w:val="•"/>
      <w:lvlJc w:val="left"/>
      <w:pPr>
        <w:tabs>
          <w:tab w:val="num" w:pos="4320"/>
        </w:tabs>
        <w:ind w:left="4320" w:hanging="360"/>
      </w:pPr>
      <w:rPr>
        <w:rFonts w:ascii="Arial" w:hAnsi="Arial" w:hint="default"/>
      </w:rPr>
    </w:lvl>
    <w:lvl w:ilvl="6" w:tplc="136EE1BC" w:tentative="1">
      <w:start w:val="1"/>
      <w:numFmt w:val="bullet"/>
      <w:lvlText w:val="•"/>
      <w:lvlJc w:val="left"/>
      <w:pPr>
        <w:tabs>
          <w:tab w:val="num" w:pos="5040"/>
        </w:tabs>
        <w:ind w:left="5040" w:hanging="360"/>
      </w:pPr>
      <w:rPr>
        <w:rFonts w:ascii="Arial" w:hAnsi="Arial" w:hint="default"/>
      </w:rPr>
    </w:lvl>
    <w:lvl w:ilvl="7" w:tplc="AE7E95A2" w:tentative="1">
      <w:start w:val="1"/>
      <w:numFmt w:val="bullet"/>
      <w:lvlText w:val="•"/>
      <w:lvlJc w:val="left"/>
      <w:pPr>
        <w:tabs>
          <w:tab w:val="num" w:pos="5760"/>
        </w:tabs>
        <w:ind w:left="5760" w:hanging="360"/>
      </w:pPr>
      <w:rPr>
        <w:rFonts w:ascii="Arial" w:hAnsi="Arial" w:hint="default"/>
      </w:rPr>
    </w:lvl>
    <w:lvl w:ilvl="8" w:tplc="EDFEAF9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8A06299"/>
    <w:multiLevelType w:val="hybridMultilevel"/>
    <w:tmpl w:val="832EFD80"/>
    <w:lvl w:ilvl="0" w:tplc="CBF87B72">
      <w:start w:val="1"/>
      <w:numFmt w:val="bullet"/>
      <w:lvlText w:val="•"/>
      <w:lvlJc w:val="left"/>
      <w:pPr>
        <w:tabs>
          <w:tab w:val="num" w:pos="720"/>
        </w:tabs>
        <w:ind w:left="720" w:hanging="360"/>
      </w:pPr>
      <w:rPr>
        <w:rFonts w:ascii="Arial" w:hAnsi="Arial" w:hint="default"/>
      </w:rPr>
    </w:lvl>
    <w:lvl w:ilvl="1" w:tplc="25C2E6A2" w:tentative="1">
      <w:start w:val="1"/>
      <w:numFmt w:val="bullet"/>
      <w:lvlText w:val="•"/>
      <w:lvlJc w:val="left"/>
      <w:pPr>
        <w:tabs>
          <w:tab w:val="num" w:pos="1440"/>
        </w:tabs>
        <w:ind w:left="1440" w:hanging="360"/>
      </w:pPr>
      <w:rPr>
        <w:rFonts w:ascii="Arial" w:hAnsi="Arial" w:hint="default"/>
      </w:rPr>
    </w:lvl>
    <w:lvl w:ilvl="2" w:tplc="71C4DAB0" w:tentative="1">
      <w:start w:val="1"/>
      <w:numFmt w:val="bullet"/>
      <w:lvlText w:val="•"/>
      <w:lvlJc w:val="left"/>
      <w:pPr>
        <w:tabs>
          <w:tab w:val="num" w:pos="2160"/>
        </w:tabs>
        <w:ind w:left="2160" w:hanging="360"/>
      </w:pPr>
      <w:rPr>
        <w:rFonts w:ascii="Arial" w:hAnsi="Arial" w:hint="default"/>
      </w:rPr>
    </w:lvl>
    <w:lvl w:ilvl="3" w:tplc="1E0CF57C" w:tentative="1">
      <w:start w:val="1"/>
      <w:numFmt w:val="bullet"/>
      <w:lvlText w:val="•"/>
      <w:lvlJc w:val="left"/>
      <w:pPr>
        <w:tabs>
          <w:tab w:val="num" w:pos="2880"/>
        </w:tabs>
        <w:ind w:left="2880" w:hanging="360"/>
      </w:pPr>
      <w:rPr>
        <w:rFonts w:ascii="Arial" w:hAnsi="Arial" w:hint="default"/>
      </w:rPr>
    </w:lvl>
    <w:lvl w:ilvl="4" w:tplc="3C62CCD8" w:tentative="1">
      <w:start w:val="1"/>
      <w:numFmt w:val="bullet"/>
      <w:lvlText w:val="•"/>
      <w:lvlJc w:val="left"/>
      <w:pPr>
        <w:tabs>
          <w:tab w:val="num" w:pos="3600"/>
        </w:tabs>
        <w:ind w:left="3600" w:hanging="360"/>
      </w:pPr>
      <w:rPr>
        <w:rFonts w:ascii="Arial" w:hAnsi="Arial" w:hint="default"/>
      </w:rPr>
    </w:lvl>
    <w:lvl w:ilvl="5" w:tplc="220A58CE" w:tentative="1">
      <w:start w:val="1"/>
      <w:numFmt w:val="bullet"/>
      <w:lvlText w:val="•"/>
      <w:lvlJc w:val="left"/>
      <w:pPr>
        <w:tabs>
          <w:tab w:val="num" w:pos="4320"/>
        </w:tabs>
        <w:ind w:left="4320" w:hanging="360"/>
      </w:pPr>
      <w:rPr>
        <w:rFonts w:ascii="Arial" w:hAnsi="Arial" w:hint="default"/>
      </w:rPr>
    </w:lvl>
    <w:lvl w:ilvl="6" w:tplc="6BEA7236" w:tentative="1">
      <w:start w:val="1"/>
      <w:numFmt w:val="bullet"/>
      <w:lvlText w:val="•"/>
      <w:lvlJc w:val="left"/>
      <w:pPr>
        <w:tabs>
          <w:tab w:val="num" w:pos="5040"/>
        </w:tabs>
        <w:ind w:left="5040" w:hanging="360"/>
      </w:pPr>
      <w:rPr>
        <w:rFonts w:ascii="Arial" w:hAnsi="Arial" w:hint="default"/>
      </w:rPr>
    </w:lvl>
    <w:lvl w:ilvl="7" w:tplc="1F58EB24" w:tentative="1">
      <w:start w:val="1"/>
      <w:numFmt w:val="bullet"/>
      <w:lvlText w:val="•"/>
      <w:lvlJc w:val="left"/>
      <w:pPr>
        <w:tabs>
          <w:tab w:val="num" w:pos="5760"/>
        </w:tabs>
        <w:ind w:left="5760" w:hanging="360"/>
      </w:pPr>
      <w:rPr>
        <w:rFonts w:ascii="Arial" w:hAnsi="Arial" w:hint="default"/>
      </w:rPr>
    </w:lvl>
    <w:lvl w:ilvl="8" w:tplc="78BA0F62"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0A92C4F"/>
    <w:multiLevelType w:val="hybridMultilevel"/>
    <w:tmpl w:val="06925AFC"/>
    <w:lvl w:ilvl="0" w:tplc="E20EBFF2">
      <w:start w:val="1"/>
      <w:numFmt w:val="bullet"/>
      <w:lvlText w:val="•"/>
      <w:lvlJc w:val="left"/>
      <w:pPr>
        <w:tabs>
          <w:tab w:val="num" w:pos="720"/>
        </w:tabs>
        <w:ind w:left="720" w:hanging="360"/>
      </w:pPr>
      <w:rPr>
        <w:rFonts w:ascii="Arial" w:hAnsi="Arial" w:hint="default"/>
      </w:rPr>
    </w:lvl>
    <w:lvl w:ilvl="1" w:tplc="5D1A0F08" w:tentative="1">
      <w:start w:val="1"/>
      <w:numFmt w:val="bullet"/>
      <w:lvlText w:val="•"/>
      <w:lvlJc w:val="left"/>
      <w:pPr>
        <w:tabs>
          <w:tab w:val="num" w:pos="1440"/>
        </w:tabs>
        <w:ind w:left="1440" w:hanging="360"/>
      </w:pPr>
      <w:rPr>
        <w:rFonts w:ascii="Arial" w:hAnsi="Arial" w:hint="default"/>
      </w:rPr>
    </w:lvl>
    <w:lvl w:ilvl="2" w:tplc="FF96EB18" w:tentative="1">
      <w:start w:val="1"/>
      <w:numFmt w:val="bullet"/>
      <w:lvlText w:val="•"/>
      <w:lvlJc w:val="left"/>
      <w:pPr>
        <w:tabs>
          <w:tab w:val="num" w:pos="2160"/>
        </w:tabs>
        <w:ind w:left="2160" w:hanging="360"/>
      </w:pPr>
      <w:rPr>
        <w:rFonts w:ascii="Arial" w:hAnsi="Arial" w:hint="default"/>
      </w:rPr>
    </w:lvl>
    <w:lvl w:ilvl="3" w:tplc="8F68FB96" w:tentative="1">
      <w:start w:val="1"/>
      <w:numFmt w:val="bullet"/>
      <w:lvlText w:val="•"/>
      <w:lvlJc w:val="left"/>
      <w:pPr>
        <w:tabs>
          <w:tab w:val="num" w:pos="2880"/>
        </w:tabs>
        <w:ind w:left="2880" w:hanging="360"/>
      </w:pPr>
      <w:rPr>
        <w:rFonts w:ascii="Arial" w:hAnsi="Arial" w:hint="default"/>
      </w:rPr>
    </w:lvl>
    <w:lvl w:ilvl="4" w:tplc="6CC08106" w:tentative="1">
      <w:start w:val="1"/>
      <w:numFmt w:val="bullet"/>
      <w:lvlText w:val="•"/>
      <w:lvlJc w:val="left"/>
      <w:pPr>
        <w:tabs>
          <w:tab w:val="num" w:pos="3600"/>
        </w:tabs>
        <w:ind w:left="3600" w:hanging="360"/>
      </w:pPr>
      <w:rPr>
        <w:rFonts w:ascii="Arial" w:hAnsi="Arial" w:hint="default"/>
      </w:rPr>
    </w:lvl>
    <w:lvl w:ilvl="5" w:tplc="37588AD8" w:tentative="1">
      <w:start w:val="1"/>
      <w:numFmt w:val="bullet"/>
      <w:lvlText w:val="•"/>
      <w:lvlJc w:val="left"/>
      <w:pPr>
        <w:tabs>
          <w:tab w:val="num" w:pos="4320"/>
        </w:tabs>
        <w:ind w:left="4320" w:hanging="360"/>
      </w:pPr>
      <w:rPr>
        <w:rFonts w:ascii="Arial" w:hAnsi="Arial" w:hint="default"/>
      </w:rPr>
    </w:lvl>
    <w:lvl w:ilvl="6" w:tplc="029ED76E" w:tentative="1">
      <w:start w:val="1"/>
      <w:numFmt w:val="bullet"/>
      <w:lvlText w:val="•"/>
      <w:lvlJc w:val="left"/>
      <w:pPr>
        <w:tabs>
          <w:tab w:val="num" w:pos="5040"/>
        </w:tabs>
        <w:ind w:left="5040" w:hanging="360"/>
      </w:pPr>
      <w:rPr>
        <w:rFonts w:ascii="Arial" w:hAnsi="Arial" w:hint="default"/>
      </w:rPr>
    </w:lvl>
    <w:lvl w:ilvl="7" w:tplc="0DFCD11C" w:tentative="1">
      <w:start w:val="1"/>
      <w:numFmt w:val="bullet"/>
      <w:lvlText w:val="•"/>
      <w:lvlJc w:val="left"/>
      <w:pPr>
        <w:tabs>
          <w:tab w:val="num" w:pos="5760"/>
        </w:tabs>
        <w:ind w:left="5760" w:hanging="360"/>
      </w:pPr>
      <w:rPr>
        <w:rFonts w:ascii="Arial" w:hAnsi="Arial" w:hint="default"/>
      </w:rPr>
    </w:lvl>
    <w:lvl w:ilvl="8" w:tplc="A7DC2D5A"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25E3AA2"/>
    <w:multiLevelType w:val="hybridMultilevel"/>
    <w:tmpl w:val="3F4830A6"/>
    <w:lvl w:ilvl="0" w:tplc="DECCF782">
      <w:start w:val="1"/>
      <w:numFmt w:val="bullet"/>
      <w:lvlText w:val="•"/>
      <w:lvlJc w:val="left"/>
      <w:pPr>
        <w:tabs>
          <w:tab w:val="num" w:pos="720"/>
        </w:tabs>
        <w:ind w:left="720" w:hanging="360"/>
      </w:pPr>
      <w:rPr>
        <w:rFonts w:ascii="Arial" w:hAnsi="Arial" w:hint="default"/>
      </w:rPr>
    </w:lvl>
    <w:lvl w:ilvl="1" w:tplc="E8140872" w:tentative="1">
      <w:start w:val="1"/>
      <w:numFmt w:val="bullet"/>
      <w:lvlText w:val="•"/>
      <w:lvlJc w:val="left"/>
      <w:pPr>
        <w:tabs>
          <w:tab w:val="num" w:pos="1440"/>
        </w:tabs>
        <w:ind w:left="1440" w:hanging="360"/>
      </w:pPr>
      <w:rPr>
        <w:rFonts w:ascii="Arial" w:hAnsi="Arial" w:hint="default"/>
      </w:rPr>
    </w:lvl>
    <w:lvl w:ilvl="2" w:tplc="444A52DA" w:tentative="1">
      <w:start w:val="1"/>
      <w:numFmt w:val="bullet"/>
      <w:lvlText w:val="•"/>
      <w:lvlJc w:val="left"/>
      <w:pPr>
        <w:tabs>
          <w:tab w:val="num" w:pos="2160"/>
        </w:tabs>
        <w:ind w:left="2160" w:hanging="360"/>
      </w:pPr>
      <w:rPr>
        <w:rFonts w:ascii="Arial" w:hAnsi="Arial" w:hint="default"/>
      </w:rPr>
    </w:lvl>
    <w:lvl w:ilvl="3" w:tplc="D632C42E" w:tentative="1">
      <w:start w:val="1"/>
      <w:numFmt w:val="bullet"/>
      <w:lvlText w:val="•"/>
      <w:lvlJc w:val="left"/>
      <w:pPr>
        <w:tabs>
          <w:tab w:val="num" w:pos="2880"/>
        </w:tabs>
        <w:ind w:left="2880" w:hanging="360"/>
      </w:pPr>
      <w:rPr>
        <w:rFonts w:ascii="Arial" w:hAnsi="Arial" w:hint="default"/>
      </w:rPr>
    </w:lvl>
    <w:lvl w:ilvl="4" w:tplc="C8006092" w:tentative="1">
      <w:start w:val="1"/>
      <w:numFmt w:val="bullet"/>
      <w:lvlText w:val="•"/>
      <w:lvlJc w:val="left"/>
      <w:pPr>
        <w:tabs>
          <w:tab w:val="num" w:pos="3600"/>
        </w:tabs>
        <w:ind w:left="3600" w:hanging="360"/>
      </w:pPr>
      <w:rPr>
        <w:rFonts w:ascii="Arial" w:hAnsi="Arial" w:hint="default"/>
      </w:rPr>
    </w:lvl>
    <w:lvl w:ilvl="5" w:tplc="46D0E880" w:tentative="1">
      <w:start w:val="1"/>
      <w:numFmt w:val="bullet"/>
      <w:lvlText w:val="•"/>
      <w:lvlJc w:val="left"/>
      <w:pPr>
        <w:tabs>
          <w:tab w:val="num" w:pos="4320"/>
        </w:tabs>
        <w:ind w:left="4320" w:hanging="360"/>
      </w:pPr>
      <w:rPr>
        <w:rFonts w:ascii="Arial" w:hAnsi="Arial" w:hint="default"/>
      </w:rPr>
    </w:lvl>
    <w:lvl w:ilvl="6" w:tplc="014AB500" w:tentative="1">
      <w:start w:val="1"/>
      <w:numFmt w:val="bullet"/>
      <w:lvlText w:val="•"/>
      <w:lvlJc w:val="left"/>
      <w:pPr>
        <w:tabs>
          <w:tab w:val="num" w:pos="5040"/>
        </w:tabs>
        <w:ind w:left="5040" w:hanging="360"/>
      </w:pPr>
      <w:rPr>
        <w:rFonts w:ascii="Arial" w:hAnsi="Arial" w:hint="default"/>
      </w:rPr>
    </w:lvl>
    <w:lvl w:ilvl="7" w:tplc="49A6EFFA" w:tentative="1">
      <w:start w:val="1"/>
      <w:numFmt w:val="bullet"/>
      <w:lvlText w:val="•"/>
      <w:lvlJc w:val="left"/>
      <w:pPr>
        <w:tabs>
          <w:tab w:val="num" w:pos="5760"/>
        </w:tabs>
        <w:ind w:left="5760" w:hanging="360"/>
      </w:pPr>
      <w:rPr>
        <w:rFonts w:ascii="Arial" w:hAnsi="Arial" w:hint="default"/>
      </w:rPr>
    </w:lvl>
    <w:lvl w:ilvl="8" w:tplc="F4089176"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5BA7D5B"/>
    <w:multiLevelType w:val="hybridMultilevel"/>
    <w:tmpl w:val="AA38AB08"/>
    <w:lvl w:ilvl="0" w:tplc="06904384">
      <w:start w:val="1"/>
      <w:numFmt w:val="bullet"/>
      <w:lvlText w:val="•"/>
      <w:lvlJc w:val="left"/>
      <w:pPr>
        <w:tabs>
          <w:tab w:val="num" w:pos="720"/>
        </w:tabs>
        <w:ind w:left="720" w:hanging="360"/>
      </w:pPr>
      <w:rPr>
        <w:rFonts w:ascii="Arial" w:hAnsi="Arial" w:hint="default"/>
      </w:rPr>
    </w:lvl>
    <w:lvl w:ilvl="1" w:tplc="AD4A903A" w:tentative="1">
      <w:start w:val="1"/>
      <w:numFmt w:val="bullet"/>
      <w:lvlText w:val="•"/>
      <w:lvlJc w:val="left"/>
      <w:pPr>
        <w:tabs>
          <w:tab w:val="num" w:pos="1440"/>
        </w:tabs>
        <w:ind w:left="1440" w:hanging="360"/>
      </w:pPr>
      <w:rPr>
        <w:rFonts w:ascii="Arial" w:hAnsi="Arial" w:hint="default"/>
      </w:rPr>
    </w:lvl>
    <w:lvl w:ilvl="2" w:tplc="9AA4F09A" w:tentative="1">
      <w:start w:val="1"/>
      <w:numFmt w:val="bullet"/>
      <w:lvlText w:val="•"/>
      <w:lvlJc w:val="left"/>
      <w:pPr>
        <w:tabs>
          <w:tab w:val="num" w:pos="2160"/>
        </w:tabs>
        <w:ind w:left="2160" w:hanging="360"/>
      </w:pPr>
      <w:rPr>
        <w:rFonts w:ascii="Arial" w:hAnsi="Arial" w:hint="default"/>
      </w:rPr>
    </w:lvl>
    <w:lvl w:ilvl="3" w:tplc="DDC4460C" w:tentative="1">
      <w:start w:val="1"/>
      <w:numFmt w:val="bullet"/>
      <w:lvlText w:val="•"/>
      <w:lvlJc w:val="left"/>
      <w:pPr>
        <w:tabs>
          <w:tab w:val="num" w:pos="2880"/>
        </w:tabs>
        <w:ind w:left="2880" w:hanging="360"/>
      </w:pPr>
      <w:rPr>
        <w:rFonts w:ascii="Arial" w:hAnsi="Arial" w:hint="default"/>
      </w:rPr>
    </w:lvl>
    <w:lvl w:ilvl="4" w:tplc="A440D110" w:tentative="1">
      <w:start w:val="1"/>
      <w:numFmt w:val="bullet"/>
      <w:lvlText w:val="•"/>
      <w:lvlJc w:val="left"/>
      <w:pPr>
        <w:tabs>
          <w:tab w:val="num" w:pos="3600"/>
        </w:tabs>
        <w:ind w:left="3600" w:hanging="360"/>
      </w:pPr>
      <w:rPr>
        <w:rFonts w:ascii="Arial" w:hAnsi="Arial" w:hint="default"/>
      </w:rPr>
    </w:lvl>
    <w:lvl w:ilvl="5" w:tplc="FA34540C" w:tentative="1">
      <w:start w:val="1"/>
      <w:numFmt w:val="bullet"/>
      <w:lvlText w:val="•"/>
      <w:lvlJc w:val="left"/>
      <w:pPr>
        <w:tabs>
          <w:tab w:val="num" w:pos="4320"/>
        </w:tabs>
        <w:ind w:left="4320" w:hanging="360"/>
      </w:pPr>
      <w:rPr>
        <w:rFonts w:ascii="Arial" w:hAnsi="Arial" w:hint="default"/>
      </w:rPr>
    </w:lvl>
    <w:lvl w:ilvl="6" w:tplc="C3F4E1DA" w:tentative="1">
      <w:start w:val="1"/>
      <w:numFmt w:val="bullet"/>
      <w:lvlText w:val="•"/>
      <w:lvlJc w:val="left"/>
      <w:pPr>
        <w:tabs>
          <w:tab w:val="num" w:pos="5040"/>
        </w:tabs>
        <w:ind w:left="5040" w:hanging="360"/>
      </w:pPr>
      <w:rPr>
        <w:rFonts w:ascii="Arial" w:hAnsi="Arial" w:hint="default"/>
      </w:rPr>
    </w:lvl>
    <w:lvl w:ilvl="7" w:tplc="FFD64FD6" w:tentative="1">
      <w:start w:val="1"/>
      <w:numFmt w:val="bullet"/>
      <w:lvlText w:val="•"/>
      <w:lvlJc w:val="left"/>
      <w:pPr>
        <w:tabs>
          <w:tab w:val="num" w:pos="5760"/>
        </w:tabs>
        <w:ind w:left="5760" w:hanging="360"/>
      </w:pPr>
      <w:rPr>
        <w:rFonts w:ascii="Arial" w:hAnsi="Arial" w:hint="default"/>
      </w:rPr>
    </w:lvl>
    <w:lvl w:ilvl="8" w:tplc="244006F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D6357DB"/>
    <w:multiLevelType w:val="hybridMultilevel"/>
    <w:tmpl w:val="44C475F0"/>
    <w:lvl w:ilvl="0" w:tplc="05828EF4">
      <w:start w:val="1"/>
      <w:numFmt w:val="bullet"/>
      <w:lvlText w:val="•"/>
      <w:lvlJc w:val="left"/>
      <w:pPr>
        <w:tabs>
          <w:tab w:val="num" w:pos="720"/>
        </w:tabs>
        <w:ind w:left="720" w:hanging="360"/>
      </w:pPr>
      <w:rPr>
        <w:rFonts w:ascii="Arial" w:hAnsi="Arial" w:hint="default"/>
      </w:rPr>
    </w:lvl>
    <w:lvl w:ilvl="1" w:tplc="883E4C6A" w:tentative="1">
      <w:start w:val="1"/>
      <w:numFmt w:val="bullet"/>
      <w:lvlText w:val="•"/>
      <w:lvlJc w:val="left"/>
      <w:pPr>
        <w:tabs>
          <w:tab w:val="num" w:pos="1440"/>
        </w:tabs>
        <w:ind w:left="1440" w:hanging="360"/>
      </w:pPr>
      <w:rPr>
        <w:rFonts w:ascii="Arial" w:hAnsi="Arial" w:hint="default"/>
      </w:rPr>
    </w:lvl>
    <w:lvl w:ilvl="2" w:tplc="0A3879BA" w:tentative="1">
      <w:start w:val="1"/>
      <w:numFmt w:val="bullet"/>
      <w:lvlText w:val="•"/>
      <w:lvlJc w:val="left"/>
      <w:pPr>
        <w:tabs>
          <w:tab w:val="num" w:pos="2160"/>
        </w:tabs>
        <w:ind w:left="2160" w:hanging="360"/>
      </w:pPr>
      <w:rPr>
        <w:rFonts w:ascii="Arial" w:hAnsi="Arial" w:hint="default"/>
      </w:rPr>
    </w:lvl>
    <w:lvl w:ilvl="3" w:tplc="3CBC6A30" w:tentative="1">
      <w:start w:val="1"/>
      <w:numFmt w:val="bullet"/>
      <w:lvlText w:val="•"/>
      <w:lvlJc w:val="left"/>
      <w:pPr>
        <w:tabs>
          <w:tab w:val="num" w:pos="2880"/>
        </w:tabs>
        <w:ind w:left="2880" w:hanging="360"/>
      </w:pPr>
      <w:rPr>
        <w:rFonts w:ascii="Arial" w:hAnsi="Arial" w:hint="default"/>
      </w:rPr>
    </w:lvl>
    <w:lvl w:ilvl="4" w:tplc="20608C5E" w:tentative="1">
      <w:start w:val="1"/>
      <w:numFmt w:val="bullet"/>
      <w:lvlText w:val="•"/>
      <w:lvlJc w:val="left"/>
      <w:pPr>
        <w:tabs>
          <w:tab w:val="num" w:pos="3600"/>
        </w:tabs>
        <w:ind w:left="3600" w:hanging="360"/>
      </w:pPr>
      <w:rPr>
        <w:rFonts w:ascii="Arial" w:hAnsi="Arial" w:hint="default"/>
      </w:rPr>
    </w:lvl>
    <w:lvl w:ilvl="5" w:tplc="8FDEE16C" w:tentative="1">
      <w:start w:val="1"/>
      <w:numFmt w:val="bullet"/>
      <w:lvlText w:val="•"/>
      <w:lvlJc w:val="left"/>
      <w:pPr>
        <w:tabs>
          <w:tab w:val="num" w:pos="4320"/>
        </w:tabs>
        <w:ind w:left="4320" w:hanging="360"/>
      </w:pPr>
      <w:rPr>
        <w:rFonts w:ascii="Arial" w:hAnsi="Arial" w:hint="default"/>
      </w:rPr>
    </w:lvl>
    <w:lvl w:ilvl="6" w:tplc="82FC61D4" w:tentative="1">
      <w:start w:val="1"/>
      <w:numFmt w:val="bullet"/>
      <w:lvlText w:val="•"/>
      <w:lvlJc w:val="left"/>
      <w:pPr>
        <w:tabs>
          <w:tab w:val="num" w:pos="5040"/>
        </w:tabs>
        <w:ind w:left="5040" w:hanging="360"/>
      </w:pPr>
      <w:rPr>
        <w:rFonts w:ascii="Arial" w:hAnsi="Arial" w:hint="default"/>
      </w:rPr>
    </w:lvl>
    <w:lvl w:ilvl="7" w:tplc="912CDB10" w:tentative="1">
      <w:start w:val="1"/>
      <w:numFmt w:val="bullet"/>
      <w:lvlText w:val="•"/>
      <w:lvlJc w:val="left"/>
      <w:pPr>
        <w:tabs>
          <w:tab w:val="num" w:pos="5760"/>
        </w:tabs>
        <w:ind w:left="5760" w:hanging="360"/>
      </w:pPr>
      <w:rPr>
        <w:rFonts w:ascii="Arial" w:hAnsi="Arial" w:hint="default"/>
      </w:rPr>
    </w:lvl>
    <w:lvl w:ilvl="8" w:tplc="9AC6204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EFA5EA3"/>
    <w:multiLevelType w:val="hybridMultilevel"/>
    <w:tmpl w:val="A82E5764"/>
    <w:lvl w:ilvl="0" w:tplc="FCCA6560">
      <w:start w:val="1"/>
      <w:numFmt w:val="bullet"/>
      <w:lvlText w:val="•"/>
      <w:lvlJc w:val="left"/>
      <w:pPr>
        <w:tabs>
          <w:tab w:val="num" w:pos="720"/>
        </w:tabs>
        <w:ind w:left="720" w:hanging="360"/>
      </w:pPr>
      <w:rPr>
        <w:rFonts w:ascii="Arial" w:hAnsi="Arial" w:hint="default"/>
      </w:rPr>
    </w:lvl>
    <w:lvl w:ilvl="1" w:tplc="AB2E7660" w:tentative="1">
      <w:start w:val="1"/>
      <w:numFmt w:val="bullet"/>
      <w:lvlText w:val="•"/>
      <w:lvlJc w:val="left"/>
      <w:pPr>
        <w:tabs>
          <w:tab w:val="num" w:pos="1440"/>
        </w:tabs>
        <w:ind w:left="1440" w:hanging="360"/>
      </w:pPr>
      <w:rPr>
        <w:rFonts w:ascii="Arial" w:hAnsi="Arial" w:hint="default"/>
      </w:rPr>
    </w:lvl>
    <w:lvl w:ilvl="2" w:tplc="BD4CA1DA" w:tentative="1">
      <w:start w:val="1"/>
      <w:numFmt w:val="bullet"/>
      <w:lvlText w:val="•"/>
      <w:lvlJc w:val="left"/>
      <w:pPr>
        <w:tabs>
          <w:tab w:val="num" w:pos="2160"/>
        </w:tabs>
        <w:ind w:left="2160" w:hanging="360"/>
      </w:pPr>
      <w:rPr>
        <w:rFonts w:ascii="Arial" w:hAnsi="Arial" w:hint="default"/>
      </w:rPr>
    </w:lvl>
    <w:lvl w:ilvl="3" w:tplc="ADFAFADC" w:tentative="1">
      <w:start w:val="1"/>
      <w:numFmt w:val="bullet"/>
      <w:lvlText w:val="•"/>
      <w:lvlJc w:val="left"/>
      <w:pPr>
        <w:tabs>
          <w:tab w:val="num" w:pos="2880"/>
        </w:tabs>
        <w:ind w:left="2880" w:hanging="360"/>
      </w:pPr>
      <w:rPr>
        <w:rFonts w:ascii="Arial" w:hAnsi="Arial" w:hint="default"/>
      </w:rPr>
    </w:lvl>
    <w:lvl w:ilvl="4" w:tplc="7764AEFE" w:tentative="1">
      <w:start w:val="1"/>
      <w:numFmt w:val="bullet"/>
      <w:lvlText w:val="•"/>
      <w:lvlJc w:val="left"/>
      <w:pPr>
        <w:tabs>
          <w:tab w:val="num" w:pos="3600"/>
        </w:tabs>
        <w:ind w:left="3600" w:hanging="360"/>
      </w:pPr>
      <w:rPr>
        <w:rFonts w:ascii="Arial" w:hAnsi="Arial" w:hint="default"/>
      </w:rPr>
    </w:lvl>
    <w:lvl w:ilvl="5" w:tplc="E8362646" w:tentative="1">
      <w:start w:val="1"/>
      <w:numFmt w:val="bullet"/>
      <w:lvlText w:val="•"/>
      <w:lvlJc w:val="left"/>
      <w:pPr>
        <w:tabs>
          <w:tab w:val="num" w:pos="4320"/>
        </w:tabs>
        <w:ind w:left="4320" w:hanging="360"/>
      </w:pPr>
      <w:rPr>
        <w:rFonts w:ascii="Arial" w:hAnsi="Arial" w:hint="default"/>
      </w:rPr>
    </w:lvl>
    <w:lvl w:ilvl="6" w:tplc="9A483C4A" w:tentative="1">
      <w:start w:val="1"/>
      <w:numFmt w:val="bullet"/>
      <w:lvlText w:val="•"/>
      <w:lvlJc w:val="left"/>
      <w:pPr>
        <w:tabs>
          <w:tab w:val="num" w:pos="5040"/>
        </w:tabs>
        <w:ind w:left="5040" w:hanging="360"/>
      </w:pPr>
      <w:rPr>
        <w:rFonts w:ascii="Arial" w:hAnsi="Arial" w:hint="default"/>
      </w:rPr>
    </w:lvl>
    <w:lvl w:ilvl="7" w:tplc="3EE89B78" w:tentative="1">
      <w:start w:val="1"/>
      <w:numFmt w:val="bullet"/>
      <w:lvlText w:val="•"/>
      <w:lvlJc w:val="left"/>
      <w:pPr>
        <w:tabs>
          <w:tab w:val="num" w:pos="5760"/>
        </w:tabs>
        <w:ind w:left="5760" w:hanging="360"/>
      </w:pPr>
      <w:rPr>
        <w:rFonts w:ascii="Arial" w:hAnsi="Arial" w:hint="default"/>
      </w:rPr>
    </w:lvl>
    <w:lvl w:ilvl="8" w:tplc="E24AC82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30B6F4A"/>
    <w:multiLevelType w:val="hybridMultilevel"/>
    <w:tmpl w:val="4E021A80"/>
    <w:lvl w:ilvl="0" w:tplc="EA22AD08">
      <w:start w:val="1"/>
      <w:numFmt w:val="bullet"/>
      <w:lvlText w:val="•"/>
      <w:lvlJc w:val="left"/>
      <w:pPr>
        <w:tabs>
          <w:tab w:val="num" w:pos="720"/>
        </w:tabs>
        <w:ind w:left="720" w:hanging="360"/>
      </w:pPr>
      <w:rPr>
        <w:rFonts w:ascii="Arial" w:hAnsi="Arial" w:hint="default"/>
      </w:rPr>
    </w:lvl>
    <w:lvl w:ilvl="1" w:tplc="88584018" w:tentative="1">
      <w:start w:val="1"/>
      <w:numFmt w:val="bullet"/>
      <w:lvlText w:val="•"/>
      <w:lvlJc w:val="left"/>
      <w:pPr>
        <w:tabs>
          <w:tab w:val="num" w:pos="1440"/>
        </w:tabs>
        <w:ind w:left="1440" w:hanging="360"/>
      </w:pPr>
      <w:rPr>
        <w:rFonts w:ascii="Arial" w:hAnsi="Arial" w:hint="default"/>
      </w:rPr>
    </w:lvl>
    <w:lvl w:ilvl="2" w:tplc="54C8ED3C" w:tentative="1">
      <w:start w:val="1"/>
      <w:numFmt w:val="bullet"/>
      <w:lvlText w:val="•"/>
      <w:lvlJc w:val="left"/>
      <w:pPr>
        <w:tabs>
          <w:tab w:val="num" w:pos="2160"/>
        </w:tabs>
        <w:ind w:left="2160" w:hanging="360"/>
      </w:pPr>
      <w:rPr>
        <w:rFonts w:ascii="Arial" w:hAnsi="Arial" w:hint="default"/>
      </w:rPr>
    </w:lvl>
    <w:lvl w:ilvl="3" w:tplc="D3DC184A" w:tentative="1">
      <w:start w:val="1"/>
      <w:numFmt w:val="bullet"/>
      <w:lvlText w:val="•"/>
      <w:lvlJc w:val="left"/>
      <w:pPr>
        <w:tabs>
          <w:tab w:val="num" w:pos="2880"/>
        </w:tabs>
        <w:ind w:left="2880" w:hanging="360"/>
      </w:pPr>
      <w:rPr>
        <w:rFonts w:ascii="Arial" w:hAnsi="Arial" w:hint="default"/>
      </w:rPr>
    </w:lvl>
    <w:lvl w:ilvl="4" w:tplc="54106DB8" w:tentative="1">
      <w:start w:val="1"/>
      <w:numFmt w:val="bullet"/>
      <w:lvlText w:val="•"/>
      <w:lvlJc w:val="left"/>
      <w:pPr>
        <w:tabs>
          <w:tab w:val="num" w:pos="3600"/>
        </w:tabs>
        <w:ind w:left="3600" w:hanging="360"/>
      </w:pPr>
      <w:rPr>
        <w:rFonts w:ascii="Arial" w:hAnsi="Arial" w:hint="default"/>
      </w:rPr>
    </w:lvl>
    <w:lvl w:ilvl="5" w:tplc="ABD0F4CA" w:tentative="1">
      <w:start w:val="1"/>
      <w:numFmt w:val="bullet"/>
      <w:lvlText w:val="•"/>
      <w:lvlJc w:val="left"/>
      <w:pPr>
        <w:tabs>
          <w:tab w:val="num" w:pos="4320"/>
        </w:tabs>
        <w:ind w:left="4320" w:hanging="360"/>
      </w:pPr>
      <w:rPr>
        <w:rFonts w:ascii="Arial" w:hAnsi="Arial" w:hint="default"/>
      </w:rPr>
    </w:lvl>
    <w:lvl w:ilvl="6" w:tplc="731698B4" w:tentative="1">
      <w:start w:val="1"/>
      <w:numFmt w:val="bullet"/>
      <w:lvlText w:val="•"/>
      <w:lvlJc w:val="left"/>
      <w:pPr>
        <w:tabs>
          <w:tab w:val="num" w:pos="5040"/>
        </w:tabs>
        <w:ind w:left="5040" w:hanging="360"/>
      </w:pPr>
      <w:rPr>
        <w:rFonts w:ascii="Arial" w:hAnsi="Arial" w:hint="default"/>
      </w:rPr>
    </w:lvl>
    <w:lvl w:ilvl="7" w:tplc="B9B4A752" w:tentative="1">
      <w:start w:val="1"/>
      <w:numFmt w:val="bullet"/>
      <w:lvlText w:val="•"/>
      <w:lvlJc w:val="left"/>
      <w:pPr>
        <w:tabs>
          <w:tab w:val="num" w:pos="5760"/>
        </w:tabs>
        <w:ind w:left="5760" w:hanging="360"/>
      </w:pPr>
      <w:rPr>
        <w:rFonts w:ascii="Arial" w:hAnsi="Arial" w:hint="default"/>
      </w:rPr>
    </w:lvl>
    <w:lvl w:ilvl="8" w:tplc="7E2E467A"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46421EF"/>
    <w:multiLevelType w:val="hybridMultilevel"/>
    <w:tmpl w:val="15248AA8"/>
    <w:lvl w:ilvl="0" w:tplc="FB06C516">
      <w:start w:val="1"/>
      <w:numFmt w:val="bullet"/>
      <w:lvlText w:val="•"/>
      <w:lvlJc w:val="left"/>
      <w:pPr>
        <w:tabs>
          <w:tab w:val="num" w:pos="720"/>
        </w:tabs>
        <w:ind w:left="720" w:hanging="360"/>
      </w:pPr>
      <w:rPr>
        <w:rFonts w:ascii="Arial" w:hAnsi="Arial" w:hint="default"/>
      </w:rPr>
    </w:lvl>
    <w:lvl w:ilvl="1" w:tplc="8482F752" w:tentative="1">
      <w:start w:val="1"/>
      <w:numFmt w:val="bullet"/>
      <w:lvlText w:val="•"/>
      <w:lvlJc w:val="left"/>
      <w:pPr>
        <w:tabs>
          <w:tab w:val="num" w:pos="1440"/>
        </w:tabs>
        <w:ind w:left="1440" w:hanging="360"/>
      </w:pPr>
      <w:rPr>
        <w:rFonts w:ascii="Arial" w:hAnsi="Arial" w:hint="default"/>
      </w:rPr>
    </w:lvl>
    <w:lvl w:ilvl="2" w:tplc="872C0EDC" w:tentative="1">
      <w:start w:val="1"/>
      <w:numFmt w:val="bullet"/>
      <w:lvlText w:val="•"/>
      <w:lvlJc w:val="left"/>
      <w:pPr>
        <w:tabs>
          <w:tab w:val="num" w:pos="2160"/>
        </w:tabs>
        <w:ind w:left="2160" w:hanging="360"/>
      </w:pPr>
      <w:rPr>
        <w:rFonts w:ascii="Arial" w:hAnsi="Arial" w:hint="default"/>
      </w:rPr>
    </w:lvl>
    <w:lvl w:ilvl="3" w:tplc="936E9006" w:tentative="1">
      <w:start w:val="1"/>
      <w:numFmt w:val="bullet"/>
      <w:lvlText w:val="•"/>
      <w:lvlJc w:val="left"/>
      <w:pPr>
        <w:tabs>
          <w:tab w:val="num" w:pos="2880"/>
        </w:tabs>
        <w:ind w:left="2880" w:hanging="360"/>
      </w:pPr>
      <w:rPr>
        <w:rFonts w:ascii="Arial" w:hAnsi="Arial" w:hint="default"/>
      </w:rPr>
    </w:lvl>
    <w:lvl w:ilvl="4" w:tplc="CFA6A162" w:tentative="1">
      <w:start w:val="1"/>
      <w:numFmt w:val="bullet"/>
      <w:lvlText w:val="•"/>
      <w:lvlJc w:val="left"/>
      <w:pPr>
        <w:tabs>
          <w:tab w:val="num" w:pos="3600"/>
        </w:tabs>
        <w:ind w:left="3600" w:hanging="360"/>
      </w:pPr>
      <w:rPr>
        <w:rFonts w:ascii="Arial" w:hAnsi="Arial" w:hint="default"/>
      </w:rPr>
    </w:lvl>
    <w:lvl w:ilvl="5" w:tplc="A1F0F78A" w:tentative="1">
      <w:start w:val="1"/>
      <w:numFmt w:val="bullet"/>
      <w:lvlText w:val="•"/>
      <w:lvlJc w:val="left"/>
      <w:pPr>
        <w:tabs>
          <w:tab w:val="num" w:pos="4320"/>
        </w:tabs>
        <w:ind w:left="4320" w:hanging="360"/>
      </w:pPr>
      <w:rPr>
        <w:rFonts w:ascii="Arial" w:hAnsi="Arial" w:hint="default"/>
      </w:rPr>
    </w:lvl>
    <w:lvl w:ilvl="6" w:tplc="15AE01D6" w:tentative="1">
      <w:start w:val="1"/>
      <w:numFmt w:val="bullet"/>
      <w:lvlText w:val="•"/>
      <w:lvlJc w:val="left"/>
      <w:pPr>
        <w:tabs>
          <w:tab w:val="num" w:pos="5040"/>
        </w:tabs>
        <w:ind w:left="5040" w:hanging="360"/>
      </w:pPr>
      <w:rPr>
        <w:rFonts w:ascii="Arial" w:hAnsi="Arial" w:hint="default"/>
      </w:rPr>
    </w:lvl>
    <w:lvl w:ilvl="7" w:tplc="E9701E5E" w:tentative="1">
      <w:start w:val="1"/>
      <w:numFmt w:val="bullet"/>
      <w:lvlText w:val="•"/>
      <w:lvlJc w:val="left"/>
      <w:pPr>
        <w:tabs>
          <w:tab w:val="num" w:pos="5760"/>
        </w:tabs>
        <w:ind w:left="5760" w:hanging="360"/>
      </w:pPr>
      <w:rPr>
        <w:rFonts w:ascii="Arial" w:hAnsi="Arial" w:hint="default"/>
      </w:rPr>
    </w:lvl>
    <w:lvl w:ilvl="8" w:tplc="6B2267E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A05248B"/>
    <w:multiLevelType w:val="hybridMultilevel"/>
    <w:tmpl w:val="297844FA"/>
    <w:lvl w:ilvl="0" w:tplc="9608204E">
      <w:start w:val="1"/>
      <w:numFmt w:val="bullet"/>
      <w:lvlText w:val="•"/>
      <w:lvlJc w:val="left"/>
      <w:pPr>
        <w:tabs>
          <w:tab w:val="num" w:pos="720"/>
        </w:tabs>
        <w:ind w:left="720" w:hanging="360"/>
      </w:pPr>
      <w:rPr>
        <w:rFonts w:ascii="Arial" w:hAnsi="Arial" w:hint="default"/>
      </w:rPr>
    </w:lvl>
    <w:lvl w:ilvl="1" w:tplc="9A346D3C" w:tentative="1">
      <w:start w:val="1"/>
      <w:numFmt w:val="bullet"/>
      <w:lvlText w:val="•"/>
      <w:lvlJc w:val="left"/>
      <w:pPr>
        <w:tabs>
          <w:tab w:val="num" w:pos="1440"/>
        </w:tabs>
        <w:ind w:left="1440" w:hanging="360"/>
      </w:pPr>
      <w:rPr>
        <w:rFonts w:ascii="Arial" w:hAnsi="Arial" w:hint="default"/>
      </w:rPr>
    </w:lvl>
    <w:lvl w:ilvl="2" w:tplc="20E2E9E2" w:tentative="1">
      <w:start w:val="1"/>
      <w:numFmt w:val="bullet"/>
      <w:lvlText w:val="•"/>
      <w:lvlJc w:val="left"/>
      <w:pPr>
        <w:tabs>
          <w:tab w:val="num" w:pos="2160"/>
        </w:tabs>
        <w:ind w:left="2160" w:hanging="360"/>
      </w:pPr>
      <w:rPr>
        <w:rFonts w:ascii="Arial" w:hAnsi="Arial" w:hint="default"/>
      </w:rPr>
    </w:lvl>
    <w:lvl w:ilvl="3" w:tplc="3C0C0682" w:tentative="1">
      <w:start w:val="1"/>
      <w:numFmt w:val="bullet"/>
      <w:lvlText w:val="•"/>
      <w:lvlJc w:val="left"/>
      <w:pPr>
        <w:tabs>
          <w:tab w:val="num" w:pos="2880"/>
        </w:tabs>
        <w:ind w:left="2880" w:hanging="360"/>
      </w:pPr>
      <w:rPr>
        <w:rFonts w:ascii="Arial" w:hAnsi="Arial" w:hint="default"/>
      </w:rPr>
    </w:lvl>
    <w:lvl w:ilvl="4" w:tplc="230CF6C0" w:tentative="1">
      <w:start w:val="1"/>
      <w:numFmt w:val="bullet"/>
      <w:lvlText w:val="•"/>
      <w:lvlJc w:val="left"/>
      <w:pPr>
        <w:tabs>
          <w:tab w:val="num" w:pos="3600"/>
        </w:tabs>
        <w:ind w:left="3600" w:hanging="360"/>
      </w:pPr>
      <w:rPr>
        <w:rFonts w:ascii="Arial" w:hAnsi="Arial" w:hint="default"/>
      </w:rPr>
    </w:lvl>
    <w:lvl w:ilvl="5" w:tplc="EE08605A" w:tentative="1">
      <w:start w:val="1"/>
      <w:numFmt w:val="bullet"/>
      <w:lvlText w:val="•"/>
      <w:lvlJc w:val="left"/>
      <w:pPr>
        <w:tabs>
          <w:tab w:val="num" w:pos="4320"/>
        </w:tabs>
        <w:ind w:left="4320" w:hanging="360"/>
      </w:pPr>
      <w:rPr>
        <w:rFonts w:ascii="Arial" w:hAnsi="Arial" w:hint="default"/>
      </w:rPr>
    </w:lvl>
    <w:lvl w:ilvl="6" w:tplc="CC5A2DEA" w:tentative="1">
      <w:start w:val="1"/>
      <w:numFmt w:val="bullet"/>
      <w:lvlText w:val="•"/>
      <w:lvlJc w:val="left"/>
      <w:pPr>
        <w:tabs>
          <w:tab w:val="num" w:pos="5040"/>
        </w:tabs>
        <w:ind w:left="5040" w:hanging="360"/>
      </w:pPr>
      <w:rPr>
        <w:rFonts w:ascii="Arial" w:hAnsi="Arial" w:hint="default"/>
      </w:rPr>
    </w:lvl>
    <w:lvl w:ilvl="7" w:tplc="F1DADA26" w:tentative="1">
      <w:start w:val="1"/>
      <w:numFmt w:val="bullet"/>
      <w:lvlText w:val="•"/>
      <w:lvlJc w:val="left"/>
      <w:pPr>
        <w:tabs>
          <w:tab w:val="num" w:pos="5760"/>
        </w:tabs>
        <w:ind w:left="5760" w:hanging="360"/>
      </w:pPr>
      <w:rPr>
        <w:rFonts w:ascii="Arial" w:hAnsi="Arial" w:hint="default"/>
      </w:rPr>
    </w:lvl>
    <w:lvl w:ilvl="8" w:tplc="A7A4E2B0"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B6C562A"/>
    <w:multiLevelType w:val="hybridMultilevel"/>
    <w:tmpl w:val="9490F796"/>
    <w:lvl w:ilvl="0" w:tplc="C94AD108">
      <w:start w:val="1"/>
      <w:numFmt w:val="bullet"/>
      <w:lvlText w:val="•"/>
      <w:lvlJc w:val="left"/>
      <w:pPr>
        <w:tabs>
          <w:tab w:val="num" w:pos="720"/>
        </w:tabs>
        <w:ind w:left="720" w:hanging="360"/>
      </w:pPr>
      <w:rPr>
        <w:rFonts w:ascii="Arial" w:hAnsi="Arial" w:hint="default"/>
      </w:rPr>
    </w:lvl>
    <w:lvl w:ilvl="1" w:tplc="A426B312" w:tentative="1">
      <w:start w:val="1"/>
      <w:numFmt w:val="bullet"/>
      <w:lvlText w:val="•"/>
      <w:lvlJc w:val="left"/>
      <w:pPr>
        <w:tabs>
          <w:tab w:val="num" w:pos="1440"/>
        </w:tabs>
        <w:ind w:left="1440" w:hanging="360"/>
      </w:pPr>
      <w:rPr>
        <w:rFonts w:ascii="Arial" w:hAnsi="Arial" w:hint="default"/>
      </w:rPr>
    </w:lvl>
    <w:lvl w:ilvl="2" w:tplc="69BE3CB2" w:tentative="1">
      <w:start w:val="1"/>
      <w:numFmt w:val="bullet"/>
      <w:lvlText w:val="•"/>
      <w:lvlJc w:val="left"/>
      <w:pPr>
        <w:tabs>
          <w:tab w:val="num" w:pos="2160"/>
        </w:tabs>
        <w:ind w:left="2160" w:hanging="360"/>
      </w:pPr>
      <w:rPr>
        <w:rFonts w:ascii="Arial" w:hAnsi="Arial" w:hint="default"/>
      </w:rPr>
    </w:lvl>
    <w:lvl w:ilvl="3" w:tplc="FFAAE070" w:tentative="1">
      <w:start w:val="1"/>
      <w:numFmt w:val="bullet"/>
      <w:lvlText w:val="•"/>
      <w:lvlJc w:val="left"/>
      <w:pPr>
        <w:tabs>
          <w:tab w:val="num" w:pos="2880"/>
        </w:tabs>
        <w:ind w:left="2880" w:hanging="360"/>
      </w:pPr>
      <w:rPr>
        <w:rFonts w:ascii="Arial" w:hAnsi="Arial" w:hint="default"/>
      </w:rPr>
    </w:lvl>
    <w:lvl w:ilvl="4" w:tplc="EE5A80BE" w:tentative="1">
      <w:start w:val="1"/>
      <w:numFmt w:val="bullet"/>
      <w:lvlText w:val="•"/>
      <w:lvlJc w:val="left"/>
      <w:pPr>
        <w:tabs>
          <w:tab w:val="num" w:pos="3600"/>
        </w:tabs>
        <w:ind w:left="3600" w:hanging="360"/>
      </w:pPr>
      <w:rPr>
        <w:rFonts w:ascii="Arial" w:hAnsi="Arial" w:hint="default"/>
      </w:rPr>
    </w:lvl>
    <w:lvl w:ilvl="5" w:tplc="A1CC7F12" w:tentative="1">
      <w:start w:val="1"/>
      <w:numFmt w:val="bullet"/>
      <w:lvlText w:val="•"/>
      <w:lvlJc w:val="left"/>
      <w:pPr>
        <w:tabs>
          <w:tab w:val="num" w:pos="4320"/>
        </w:tabs>
        <w:ind w:left="4320" w:hanging="360"/>
      </w:pPr>
      <w:rPr>
        <w:rFonts w:ascii="Arial" w:hAnsi="Arial" w:hint="default"/>
      </w:rPr>
    </w:lvl>
    <w:lvl w:ilvl="6" w:tplc="50D68E4E" w:tentative="1">
      <w:start w:val="1"/>
      <w:numFmt w:val="bullet"/>
      <w:lvlText w:val="•"/>
      <w:lvlJc w:val="left"/>
      <w:pPr>
        <w:tabs>
          <w:tab w:val="num" w:pos="5040"/>
        </w:tabs>
        <w:ind w:left="5040" w:hanging="360"/>
      </w:pPr>
      <w:rPr>
        <w:rFonts w:ascii="Arial" w:hAnsi="Arial" w:hint="default"/>
      </w:rPr>
    </w:lvl>
    <w:lvl w:ilvl="7" w:tplc="B5C032A0" w:tentative="1">
      <w:start w:val="1"/>
      <w:numFmt w:val="bullet"/>
      <w:lvlText w:val="•"/>
      <w:lvlJc w:val="left"/>
      <w:pPr>
        <w:tabs>
          <w:tab w:val="num" w:pos="5760"/>
        </w:tabs>
        <w:ind w:left="5760" w:hanging="360"/>
      </w:pPr>
      <w:rPr>
        <w:rFonts w:ascii="Arial" w:hAnsi="Arial" w:hint="default"/>
      </w:rPr>
    </w:lvl>
    <w:lvl w:ilvl="8" w:tplc="72267DA8"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3E3416DF"/>
    <w:multiLevelType w:val="hybridMultilevel"/>
    <w:tmpl w:val="4D704D54"/>
    <w:lvl w:ilvl="0" w:tplc="14E02AB6">
      <w:start w:val="1"/>
      <w:numFmt w:val="bullet"/>
      <w:lvlText w:val="•"/>
      <w:lvlJc w:val="left"/>
      <w:pPr>
        <w:tabs>
          <w:tab w:val="num" w:pos="720"/>
        </w:tabs>
        <w:ind w:left="720" w:hanging="360"/>
      </w:pPr>
      <w:rPr>
        <w:rFonts w:ascii="Arial" w:hAnsi="Arial" w:hint="default"/>
      </w:rPr>
    </w:lvl>
    <w:lvl w:ilvl="1" w:tplc="FC8E9DD6" w:tentative="1">
      <w:start w:val="1"/>
      <w:numFmt w:val="bullet"/>
      <w:lvlText w:val="•"/>
      <w:lvlJc w:val="left"/>
      <w:pPr>
        <w:tabs>
          <w:tab w:val="num" w:pos="1440"/>
        </w:tabs>
        <w:ind w:left="1440" w:hanging="360"/>
      </w:pPr>
      <w:rPr>
        <w:rFonts w:ascii="Arial" w:hAnsi="Arial" w:hint="default"/>
      </w:rPr>
    </w:lvl>
    <w:lvl w:ilvl="2" w:tplc="BF326A3C" w:tentative="1">
      <w:start w:val="1"/>
      <w:numFmt w:val="bullet"/>
      <w:lvlText w:val="•"/>
      <w:lvlJc w:val="left"/>
      <w:pPr>
        <w:tabs>
          <w:tab w:val="num" w:pos="2160"/>
        </w:tabs>
        <w:ind w:left="2160" w:hanging="360"/>
      </w:pPr>
      <w:rPr>
        <w:rFonts w:ascii="Arial" w:hAnsi="Arial" w:hint="default"/>
      </w:rPr>
    </w:lvl>
    <w:lvl w:ilvl="3" w:tplc="E10C41A4" w:tentative="1">
      <w:start w:val="1"/>
      <w:numFmt w:val="bullet"/>
      <w:lvlText w:val="•"/>
      <w:lvlJc w:val="left"/>
      <w:pPr>
        <w:tabs>
          <w:tab w:val="num" w:pos="2880"/>
        </w:tabs>
        <w:ind w:left="2880" w:hanging="360"/>
      </w:pPr>
      <w:rPr>
        <w:rFonts w:ascii="Arial" w:hAnsi="Arial" w:hint="default"/>
      </w:rPr>
    </w:lvl>
    <w:lvl w:ilvl="4" w:tplc="7ACC55B0" w:tentative="1">
      <w:start w:val="1"/>
      <w:numFmt w:val="bullet"/>
      <w:lvlText w:val="•"/>
      <w:lvlJc w:val="left"/>
      <w:pPr>
        <w:tabs>
          <w:tab w:val="num" w:pos="3600"/>
        </w:tabs>
        <w:ind w:left="3600" w:hanging="360"/>
      </w:pPr>
      <w:rPr>
        <w:rFonts w:ascii="Arial" w:hAnsi="Arial" w:hint="default"/>
      </w:rPr>
    </w:lvl>
    <w:lvl w:ilvl="5" w:tplc="B73E3852" w:tentative="1">
      <w:start w:val="1"/>
      <w:numFmt w:val="bullet"/>
      <w:lvlText w:val="•"/>
      <w:lvlJc w:val="left"/>
      <w:pPr>
        <w:tabs>
          <w:tab w:val="num" w:pos="4320"/>
        </w:tabs>
        <w:ind w:left="4320" w:hanging="360"/>
      </w:pPr>
      <w:rPr>
        <w:rFonts w:ascii="Arial" w:hAnsi="Arial" w:hint="default"/>
      </w:rPr>
    </w:lvl>
    <w:lvl w:ilvl="6" w:tplc="12CEBDFE" w:tentative="1">
      <w:start w:val="1"/>
      <w:numFmt w:val="bullet"/>
      <w:lvlText w:val="•"/>
      <w:lvlJc w:val="left"/>
      <w:pPr>
        <w:tabs>
          <w:tab w:val="num" w:pos="5040"/>
        </w:tabs>
        <w:ind w:left="5040" w:hanging="360"/>
      </w:pPr>
      <w:rPr>
        <w:rFonts w:ascii="Arial" w:hAnsi="Arial" w:hint="default"/>
      </w:rPr>
    </w:lvl>
    <w:lvl w:ilvl="7" w:tplc="70864796" w:tentative="1">
      <w:start w:val="1"/>
      <w:numFmt w:val="bullet"/>
      <w:lvlText w:val="•"/>
      <w:lvlJc w:val="left"/>
      <w:pPr>
        <w:tabs>
          <w:tab w:val="num" w:pos="5760"/>
        </w:tabs>
        <w:ind w:left="5760" w:hanging="360"/>
      </w:pPr>
      <w:rPr>
        <w:rFonts w:ascii="Arial" w:hAnsi="Arial" w:hint="default"/>
      </w:rPr>
    </w:lvl>
    <w:lvl w:ilvl="8" w:tplc="B1CA15DE"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ED12444"/>
    <w:multiLevelType w:val="hybridMultilevel"/>
    <w:tmpl w:val="E90296B4"/>
    <w:lvl w:ilvl="0" w:tplc="044C3104">
      <w:start w:val="1"/>
      <w:numFmt w:val="bullet"/>
      <w:lvlText w:val="•"/>
      <w:lvlJc w:val="left"/>
      <w:pPr>
        <w:tabs>
          <w:tab w:val="num" w:pos="720"/>
        </w:tabs>
        <w:ind w:left="720" w:hanging="360"/>
      </w:pPr>
      <w:rPr>
        <w:rFonts w:ascii="Arial" w:hAnsi="Arial" w:hint="default"/>
      </w:rPr>
    </w:lvl>
    <w:lvl w:ilvl="1" w:tplc="B2642722" w:tentative="1">
      <w:start w:val="1"/>
      <w:numFmt w:val="bullet"/>
      <w:lvlText w:val="•"/>
      <w:lvlJc w:val="left"/>
      <w:pPr>
        <w:tabs>
          <w:tab w:val="num" w:pos="1440"/>
        </w:tabs>
        <w:ind w:left="1440" w:hanging="360"/>
      </w:pPr>
      <w:rPr>
        <w:rFonts w:ascii="Arial" w:hAnsi="Arial" w:hint="default"/>
      </w:rPr>
    </w:lvl>
    <w:lvl w:ilvl="2" w:tplc="A8A697EA" w:tentative="1">
      <w:start w:val="1"/>
      <w:numFmt w:val="bullet"/>
      <w:lvlText w:val="•"/>
      <w:lvlJc w:val="left"/>
      <w:pPr>
        <w:tabs>
          <w:tab w:val="num" w:pos="2160"/>
        </w:tabs>
        <w:ind w:left="2160" w:hanging="360"/>
      </w:pPr>
      <w:rPr>
        <w:rFonts w:ascii="Arial" w:hAnsi="Arial" w:hint="default"/>
      </w:rPr>
    </w:lvl>
    <w:lvl w:ilvl="3" w:tplc="5CEE7D3C" w:tentative="1">
      <w:start w:val="1"/>
      <w:numFmt w:val="bullet"/>
      <w:lvlText w:val="•"/>
      <w:lvlJc w:val="left"/>
      <w:pPr>
        <w:tabs>
          <w:tab w:val="num" w:pos="2880"/>
        </w:tabs>
        <w:ind w:left="2880" w:hanging="360"/>
      </w:pPr>
      <w:rPr>
        <w:rFonts w:ascii="Arial" w:hAnsi="Arial" w:hint="default"/>
      </w:rPr>
    </w:lvl>
    <w:lvl w:ilvl="4" w:tplc="DFF44898" w:tentative="1">
      <w:start w:val="1"/>
      <w:numFmt w:val="bullet"/>
      <w:lvlText w:val="•"/>
      <w:lvlJc w:val="left"/>
      <w:pPr>
        <w:tabs>
          <w:tab w:val="num" w:pos="3600"/>
        </w:tabs>
        <w:ind w:left="3600" w:hanging="360"/>
      </w:pPr>
      <w:rPr>
        <w:rFonts w:ascii="Arial" w:hAnsi="Arial" w:hint="default"/>
      </w:rPr>
    </w:lvl>
    <w:lvl w:ilvl="5" w:tplc="58727B4A" w:tentative="1">
      <w:start w:val="1"/>
      <w:numFmt w:val="bullet"/>
      <w:lvlText w:val="•"/>
      <w:lvlJc w:val="left"/>
      <w:pPr>
        <w:tabs>
          <w:tab w:val="num" w:pos="4320"/>
        </w:tabs>
        <w:ind w:left="4320" w:hanging="360"/>
      </w:pPr>
      <w:rPr>
        <w:rFonts w:ascii="Arial" w:hAnsi="Arial" w:hint="default"/>
      </w:rPr>
    </w:lvl>
    <w:lvl w:ilvl="6" w:tplc="57A4B4E0" w:tentative="1">
      <w:start w:val="1"/>
      <w:numFmt w:val="bullet"/>
      <w:lvlText w:val="•"/>
      <w:lvlJc w:val="left"/>
      <w:pPr>
        <w:tabs>
          <w:tab w:val="num" w:pos="5040"/>
        </w:tabs>
        <w:ind w:left="5040" w:hanging="360"/>
      </w:pPr>
      <w:rPr>
        <w:rFonts w:ascii="Arial" w:hAnsi="Arial" w:hint="default"/>
      </w:rPr>
    </w:lvl>
    <w:lvl w:ilvl="7" w:tplc="72F46D30" w:tentative="1">
      <w:start w:val="1"/>
      <w:numFmt w:val="bullet"/>
      <w:lvlText w:val="•"/>
      <w:lvlJc w:val="left"/>
      <w:pPr>
        <w:tabs>
          <w:tab w:val="num" w:pos="5760"/>
        </w:tabs>
        <w:ind w:left="5760" w:hanging="360"/>
      </w:pPr>
      <w:rPr>
        <w:rFonts w:ascii="Arial" w:hAnsi="Arial" w:hint="default"/>
      </w:rPr>
    </w:lvl>
    <w:lvl w:ilvl="8" w:tplc="69C8A7BA"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237726C"/>
    <w:multiLevelType w:val="hybridMultilevel"/>
    <w:tmpl w:val="BA2CE0DE"/>
    <w:lvl w:ilvl="0" w:tplc="400A1E34">
      <w:start w:val="1"/>
      <w:numFmt w:val="bullet"/>
      <w:lvlText w:val="•"/>
      <w:lvlJc w:val="left"/>
      <w:pPr>
        <w:tabs>
          <w:tab w:val="num" w:pos="720"/>
        </w:tabs>
        <w:ind w:left="720" w:hanging="360"/>
      </w:pPr>
      <w:rPr>
        <w:rFonts w:ascii="Arial" w:hAnsi="Arial" w:hint="default"/>
      </w:rPr>
    </w:lvl>
    <w:lvl w:ilvl="1" w:tplc="FDE851FA" w:tentative="1">
      <w:start w:val="1"/>
      <w:numFmt w:val="bullet"/>
      <w:lvlText w:val="•"/>
      <w:lvlJc w:val="left"/>
      <w:pPr>
        <w:tabs>
          <w:tab w:val="num" w:pos="1440"/>
        </w:tabs>
        <w:ind w:left="1440" w:hanging="360"/>
      </w:pPr>
      <w:rPr>
        <w:rFonts w:ascii="Arial" w:hAnsi="Arial" w:hint="default"/>
      </w:rPr>
    </w:lvl>
    <w:lvl w:ilvl="2" w:tplc="390CDBC2" w:tentative="1">
      <w:start w:val="1"/>
      <w:numFmt w:val="bullet"/>
      <w:lvlText w:val="•"/>
      <w:lvlJc w:val="left"/>
      <w:pPr>
        <w:tabs>
          <w:tab w:val="num" w:pos="2160"/>
        </w:tabs>
        <w:ind w:left="2160" w:hanging="360"/>
      </w:pPr>
      <w:rPr>
        <w:rFonts w:ascii="Arial" w:hAnsi="Arial" w:hint="default"/>
      </w:rPr>
    </w:lvl>
    <w:lvl w:ilvl="3" w:tplc="5888BE82" w:tentative="1">
      <w:start w:val="1"/>
      <w:numFmt w:val="bullet"/>
      <w:lvlText w:val="•"/>
      <w:lvlJc w:val="left"/>
      <w:pPr>
        <w:tabs>
          <w:tab w:val="num" w:pos="2880"/>
        </w:tabs>
        <w:ind w:left="2880" w:hanging="360"/>
      </w:pPr>
      <w:rPr>
        <w:rFonts w:ascii="Arial" w:hAnsi="Arial" w:hint="default"/>
      </w:rPr>
    </w:lvl>
    <w:lvl w:ilvl="4" w:tplc="194E1410" w:tentative="1">
      <w:start w:val="1"/>
      <w:numFmt w:val="bullet"/>
      <w:lvlText w:val="•"/>
      <w:lvlJc w:val="left"/>
      <w:pPr>
        <w:tabs>
          <w:tab w:val="num" w:pos="3600"/>
        </w:tabs>
        <w:ind w:left="3600" w:hanging="360"/>
      </w:pPr>
      <w:rPr>
        <w:rFonts w:ascii="Arial" w:hAnsi="Arial" w:hint="default"/>
      </w:rPr>
    </w:lvl>
    <w:lvl w:ilvl="5" w:tplc="047A285C" w:tentative="1">
      <w:start w:val="1"/>
      <w:numFmt w:val="bullet"/>
      <w:lvlText w:val="•"/>
      <w:lvlJc w:val="left"/>
      <w:pPr>
        <w:tabs>
          <w:tab w:val="num" w:pos="4320"/>
        </w:tabs>
        <w:ind w:left="4320" w:hanging="360"/>
      </w:pPr>
      <w:rPr>
        <w:rFonts w:ascii="Arial" w:hAnsi="Arial" w:hint="default"/>
      </w:rPr>
    </w:lvl>
    <w:lvl w:ilvl="6" w:tplc="B6CE94F0" w:tentative="1">
      <w:start w:val="1"/>
      <w:numFmt w:val="bullet"/>
      <w:lvlText w:val="•"/>
      <w:lvlJc w:val="left"/>
      <w:pPr>
        <w:tabs>
          <w:tab w:val="num" w:pos="5040"/>
        </w:tabs>
        <w:ind w:left="5040" w:hanging="360"/>
      </w:pPr>
      <w:rPr>
        <w:rFonts w:ascii="Arial" w:hAnsi="Arial" w:hint="default"/>
      </w:rPr>
    </w:lvl>
    <w:lvl w:ilvl="7" w:tplc="5CA6B724" w:tentative="1">
      <w:start w:val="1"/>
      <w:numFmt w:val="bullet"/>
      <w:lvlText w:val="•"/>
      <w:lvlJc w:val="left"/>
      <w:pPr>
        <w:tabs>
          <w:tab w:val="num" w:pos="5760"/>
        </w:tabs>
        <w:ind w:left="5760" w:hanging="360"/>
      </w:pPr>
      <w:rPr>
        <w:rFonts w:ascii="Arial" w:hAnsi="Arial" w:hint="default"/>
      </w:rPr>
    </w:lvl>
    <w:lvl w:ilvl="8" w:tplc="79D2F23E"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52E40D8"/>
    <w:multiLevelType w:val="hybridMultilevel"/>
    <w:tmpl w:val="E048CA0A"/>
    <w:lvl w:ilvl="0" w:tplc="9F306AF0">
      <w:start w:val="1"/>
      <w:numFmt w:val="bullet"/>
      <w:lvlText w:val="•"/>
      <w:lvlJc w:val="left"/>
      <w:pPr>
        <w:tabs>
          <w:tab w:val="num" w:pos="720"/>
        </w:tabs>
        <w:ind w:left="720" w:hanging="360"/>
      </w:pPr>
      <w:rPr>
        <w:rFonts w:ascii="Arial" w:hAnsi="Arial" w:hint="default"/>
      </w:rPr>
    </w:lvl>
    <w:lvl w:ilvl="1" w:tplc="DDE0882E" w:tentative="1">
      <w:start w:val="1"/>
      <w:numFmt w:val="bullet"/>
      <w:lvlText w:val="•"/>
      <w:lvlJc w:val="left"/>
      <w:pPr>
        <w:tabs>
          <w:tab w:val="num" w:pos="1440"/>
        </w:tabs>
        <w:ind w:left="1440" w:hanging="360"/>
      </w:pPr>
      <w:rPr>
        <w:rFonts w:ascii="Arial" w:hAnsi="Arial" w:hint="default"/>
      </w:rPr>
    </w:lvl>
    <w:lvl w:ilvl="2" w:tplc="E74C0D16" w:tentative="1">
      <w:start w:val="1"/>
      <w:numFmt w:val="bullet"/>
      <w:lvlText w:val="•"/>
      <w:lvlJc w:val="left"/>
      <w:pPr>
        <w:tabs>
          <w:tab w:val="num" w:pos="2160"/>
        </w:tabs>
        <w:ind w:left="2160" w:hanging="360"/>
      </w:pPr>
      <w:rPr>
        <w:rFonts w:ascii="Arial" w:hAnsi="Arial" w:hint="default"/>
      </w:rPr>
    </w:lvl>
    <w:lvl w:ilvl="3" w:tplc="77F2F9B0" w:tentative="1">
      <w:start w:val="1"/>
      <w:numFmt w:val="bullet"/>
      <w:lvlText w:val="•"/>
      <w:lvlJc w:val="left"/>
      <w:pPr>
        <w:tabs>
          <w:tab w:val="num" w:pos="2880"/>
        </w:tabs>
        <w:ind w:left="2880" w:hanging="360"/>
      </w:pPr>
      <w:rPr>
        <w:rFonts w:ascii="Arial" w:hAnsi="Arial" w:hint="default"/>
      </w:rPr>
    </w:lvl>
    <w:lvl w:ilvl="4" w:tplc="94644E96" w:tentative="1">
      <w:start w:val="1"/>
      <w:numFmt w:val="bullet"/>
      <w:lvlText w:val="•"/>
      <w:lvlJc w:val="left"/>
      <w:pPr>
        <w:tabs>
          <w:tab w:val="num" w:pos="3600"/>
        </w:tabs>
        <w:ind w:left="3600" w:hanging="360"/>
      </w:pPr>
      <w:rPr>
        <w:rFonts w:ascii="Arial" w:hAnsi="Arial" w:hint="default"/>
      </w:rPr>
    </w:lvl>
    <w:lvl w:ilvl="5" w:tplc="5F4C7B8C" w:tentative="1">
      <w:start w:val="1"/>
      <w:numFmt w:val="bullet"/>
      <w:lvlText w:val="•"/>
      <w:lvlJc w:val="left"/>
      <w:pPr>
        <w:tabs>
          <w:tab w:val="num" w:pos="4320"/>
        </w:tabs>
        <w:ind w:left="4320" w:hanging="360"/>
      </w:pPr>
      <w:rPr>
        <w:rFonts w:ascii="Arial" w:hAnsi="Arial" w:hint="default"/>
      </w:rPr>
    </w:lvl>
    <w:lvl w:ilvl="6" w:tplc="2548A6AC" w:tentative="1">
      <w:start w:val="1"/>
      <w:numFmt w:val="bullet"/>
      <w:lvlText w:val="•"/>
      <w:lvlJc w:val="left"/>
      <w:pPr>
        <w:tabs>
          <w:tab w:val="num" w:pos="5040"/>
        </w:tabs>
        <w:ind w:left="5040" w:hanging="360"/>
      </w:pPr>
      <w:rPr>
        <w:rFonts w:ascii="Arial" w:hAnsi="Arial" w:hint="default"/>
      </w:rPr>
    </w:lvl>
    <w:lvl w:ilvl="7" w:tplc="8668BDF0" w:tentative="1">
      <w:start w:val="1"/>
      <w:numFmt w:val="bullet"/>
      <w:lvlText w:val="•"/>
      <w:lvlJc w:val="left"/>
      <w:pPr>
        <w:tabs>
          <w:tab w:val="num" w:pos="5760"/>
        </w:tabs>
        <w:ind w:left="5760" w:hanging="360"/>
      </w:pPr>
      <w:rPr>
        <w:rFonts w:ascii="Arial" w:hAnsi="Arial" w:hint="default"/>
      </w:rPr>
    </w:lvl>
    <w:lvl w:ilvl="8" w:tplc="23D4E99A"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E9B62FF"/>
    <w:multiLevelType w:val="hybridMultilevel"/>
    <w:tmpl w:val="46045C0E"/>
    <w:lvl w:ilvl="0" w:tplc="11F42D4C">
      <w:start w:val="1"/>
      <w:numFmt w:val="bullet"/>
      <w:lvlText w:val="•"/>
      <w:lvlJc w:val="left"/>
      <w:pPr>
        <w:tabs>
          <w:tab w:val="num" w:pos="720"/>
        </w:tabs>
        <w:ind w:left="720" w:hanging="360"/>
      </w:pPr>
      <w:rPr>
        <w:rFonts w:ascii="Arial" w:hAnsi="Arial" w:hint="default"/>
      </w:rPr>
    </w:lvl>
    <w:lvl w:ilvl="1" w:tplc="38D6D998" w:tentative="1">
      <w:start w:val="1"/>
      <w:numFmt w:val="bullet"/>
      <w:lvlText w:val="•"/>
      <w:lvlJc w:val="left"/>
      <w:pPr>
        <w:tabs>
          <w:tab w:val="num" w:pos="1440"/>
        </w:tabs>
        <w:ind w:left="1440" w:hanging="360"/>
      </w:pPr>
      <w:rPr>
        <w:rFonts w:ascii="Arial" w:hAnsi="Arial" w:hint="default"/>
      </w:rPr>
    </w:lvl>
    <w:lvl w:ilvl="2" w:tplc="215288A6" w:tentative="1">
      <w:start w:val="1"/>
      <w:numFmt w:val="bullet"/>
      <w:lvlText w:val="•"/>
      <w:lvlJc w:val="left"/>
      <w:pPr>
        <w:tabs>
          <w:tab w:val="num" w:pos="2160"/>
        </w:tabs>
        <w:ind w:left="2160" w:hanging="360"/>
      </w:pPr>
      <w:rPr>
        <w:rFonts w:ascii="Arial" w:hAnsi="Arial" w:hint="default"/>
      </w:rPr>
    </w:lvl>
    <w:lvl w:ilvl="3" w:tplc="D18EE6EA" w:tentative="1">
      <w:start w:val="1"/>
      <w:numFmt w:val="bullet"/>
      <w:lvlText w:val="•"/>
      <w:lvlJc w:val="left"/>
      <w:pPr>
        <w:tabs>
          <w:tab w:val="num" w:pos="2880"/>
        </w:tabs>
        <w:ind w:left="2880" w:hanging="360"/>
      </w:pPr>
      <w:rPr>
        <w:rFonts w:ascii="Arial" w:hAnsi="Arial" w:hint="default"/>
      </w:rPr>
    </w:lvl>
    <w:lvl w:ilvl="4" w:tplc="2F42692C" w:tentative="1">
      <w:start w:val="1"/>
      <w:numFmt w:val="bullet"/>
      <w:lvlText w:val="•"/>
      <w:lvlJc w:val="left"/>
      <w:pPr>
        <w:tabs>
          <w:tab w:val="num" w:pos="3600"/>
        </w:tabs>
        <w:ind w:left="3600" w:hanging="360"/>
      </w:pPr>
      <w:rPr>
        <w:rFonts w:ascii="Arial" w:hAnsi="Arial" w:hint="default"/>
      </w:rPr>
    </w:lvl>
    <w:lvl w:ilvl="5" w:tplc="364A2424" w:tentative="1">
      <w:start w:val="1"/>
      <w:numFmt w:val="bullet"/>
      <w:lvlText w:val="•"/>
      <w:lvlJc w:val="left"/>
      <w:pPr>
        <w:tabs>
          <w:tab w:val="num" w:pos="4320"/>
        </w:tabs>
        <w:ind w:left="4320" w:hanging="360"/>
      </w:pPr>
      <w:rPr>
        <w:rFonts w:ascii="Arial" w:hAnsi="Arial" w:hint="default"/>
      </w:rPr>
    </w:lvl>
    <w:lvl w:ilvl="6" w:tplc="F7505660" w:tentative="1">
      <w:start w:val="1"/>
      <w:numFmt w:val="bullet"/>
      <w:lvlText w:val="•"/>
      <w:lvlJc w:val="left"/>
      <w:pPr>
        <w:tabs>
          <w:tab w:val="num" w:pos="5040"/>
        </w:tabs>
        <w:ind w:left="5040" w:hanging="360"/>
      </w:pPr>
      <w:rPr>
        <w:rFonts w:ascii="Arial" w:hAnsi="Arial" w:hint="default"/>
      </w:rPr>
    </w:lvl>
    <w:lvl w:ilvl="7" w:tplc="FF8ADF62" w:tentative="1">
      <w:start w:val="1"/>
      <w:numFmt w:val="bullet"/>
      <w:lvlText w:val="•"/>
      <w:lvlJc w:val="left"/>
      <w:pPr>
        <w:tabs>
          <w:tab w:val="num" w:pos="5760"/>
        </w:tabs>
        <w:ind w:left="5760" w:hanging="360"/>
      </w:pPr>
      <w:rPr>
        <w:rFonts w:ascii="Arial" w:hAnsi="Arial" w:hint="default"/>
      </w:rPr>
    </w:lvl>
    <w:lvl w:ilvl="8" w:tplc="49884EC2"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FB052F6"/>
    <w:multiLevelType w:val="hybridMultilevel"/>
    <w:tmpl w:val="C7B04F60"/>
    <w:lvl w:ilvl="0" w:tplc="887EB152">
      <w:start w:val="1"/>
      <w:numFmt w:val="bullet"/>
      <w:lvlText w:val="•"/>
      <w:lvlJc w:val="left"/>
      <w:pPr>
        <w:tabs>
          <w:tab w:val="num" w:pos="720"/>
        </w:tabs>
        <w:ind w:left="720" w:hanging="360"/>
      </w:pPr>
      <w:rPr>
        <w:rFonts w:ascii="Arial" w:hAnsi="Arial" w:hint="default"/>
      </w:rPr>
    </w:lvl>
    <w:lvl w:ilvl="1" w:tplc="4E98B2E2" w:tentative="1">
      <w:start w:val="1"/>
      <w:numFmt w:val="bullet"/>
      <w:lvlText w:val="•"/>
      <w:lvlJc w:val="left"/>
      <w:pPr>
        <w:tabs>
          <w:tab w:val="num" w:pos="1440"/>
        </w:tabs>
        <w:ind w:left="1440" w:hanging="360"/>
      </w:pPr>
      <w:rPr>
        <w:rFonts w:ascii="Arial" w:hAnsi="Arial" w:hint="default"/>
      </w:rPr>
    </w:lvl>
    <w:lvl w:ilvl="2" w:tplc="0A107048" w:tentative="1">
      <w:start w:val="1"/>
      <w:numFmt w:val="bullet"/>
      <w:lvlText w:val="•"/>
      <w:lvlJc w:val="left"/>
      <w:pPr>
        <w:tabs>
          <w:tab w:val="num" w:pos="2160"/>
        </w:tabs>
        <w:ind w:left="2160" w:hanging="360"/>
      </w:pPr>
      <w:rPr>
        <w:rFonts w:ascii="Arial" w:hAnsi="Arial" w:hint="default"/>
      </w:rPr>
    </w:lvl>
    <w:lvl w:ilvl="3" w:tplc="15280D5A" w:tentative="1">
      <w:start w:val="1"/>
      <w:numFmt w:val="bullet"/>
      <w:lvlText w:val="•"/>
      <w:lvlJc w:val="left"/>
      <w:pPr>
        <w:tabs>
          <w:tab w:val="num" w:pos="2880"/>
        </w:tabs>
        <w:ind w:left="2880" w:hanging="360"/>
      </w:pPr>
      <w:rPr>
        <w:rFonts w:ascii="Arial" w:hAnsi="Arial" w:hint="default"/>
      </w:rPr>
    </w:lvl>
    <w:lvl w:ilvl="4" w:tplc="75C226CC" w:tentative="1">
      <w:start w:val="1"/>
      <w:numFmt w:val="bullet"/>
      <w:lvlText w:val="•"/>
      <w:lvlJc w:val="left"/>
      <w:pPr>
        <w:tabs>
          <w:tab w:val="num" w:pos="3600"/>
        </w:tabs>
        <w:ind w:left="3600" w:hanging="360"/>
      </w:pPr>
      <w:rPr>
        <w:rFonts w:ascii="Arial" w:hAnsi="Arial" w:hint="default"/>
      </w:rPr>
    </w:lvl>
    <w:lvl w:ilvl="5" w:tplc="C5E8F214" w:tentative="1">
      <w:start w:val="1"/>
      <w:numFmt w:val="bullet"/>
      <w:lvlText w:val="•"/>
      <w:lvlJc w:val="left"/>
      <w:pPr>
        <w:tabs>
          <w:tab w:val="num" w:pos="4320"/>
        </w:tabs>
        <w:ind w:left="4320" w:hanging="360"/>
      </w:pPr>
      <w:rPr>
        <w:rFonts w:ascii="Arial" w:hAnsi="Arial" w:hint="default"/>
      </w:rPr>
    </w:lvl>
    <w:lvl w:ilvl="6" w:tplc="9A342DC4" w:tentative="1">
      <w:start w:val="1"/>
      <w:numFmt w:val="bullet"/>
      <w:lvlText w:val="•"/>
      <w:lvlJc w:val="left"/>
      <w:pPr>
        <w:tabs>
          <w:tab w:val="num" w:pos="5040"/>
        </w:tabs>
        <w:ind w:left="5040" w:hanging="360"/>
      </w:pPr>
      <w:rPr>
        <w:rFonts w:ascii="Arial" w:hAnsi="Arial" w:hint="default"/>
      </w:rPr>
    </w:lvl>
    <w:lvl w:ilvl="7" w:tplc="254894CC" w:tentative="1">
      <w:start w:val="1"/>
      <w:numFmt w:val="bullet"/>
      <w:lvlText w:val="•"/>
      <w:lvlJc w:val="left"/>
      <w:pPr>
        <w:tabs>
          <w:tab w:val="num" w:pos="5760"/>
        </w:tabs>
        <w:ind w:left="5760" w:hanging="360"/>
      </w:pPr>
      <w:rPr>
        <w:rFonts w:ascii="Arial" w:hAnsi="Arial" w:hint="default"/>
      </w:rPr>
    </w:lvl>
    <w:lvl w:ilvl="8" w:tplc="F47CCC4E"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543B1E14"/>
    <w:multiLevelType w:val="hybridMultilevel"/>
    <w:tmpl w:val="41CA3B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7693138"/>
    <w:multiLevelType w:val="hybridMultilevel"/>
    <w:tmpl w:val="D220BDFE"/>
    <w:lvl w:ilvl="0" w:tplc="5F96716E">
      <w:start w:val="1"/>
      <w:numFmt w:val="bullet"/>
      <w:lvlText w:val="•"/>
      <w:lvlJc w:val="left"/>
      <w:pPr>
        <w:tabs>
          <w:tab w:val="num" w:pos="720"/>
        </w:tabs>
        <w:ind w:left="720" w:hanging="360"/>
      </w:pPr>
      <w:rPr>
        <w:rFonts w:ascii="Arial" w:hAnsi="Arial" w:hint="default"/>
      </w:rPr>
    </w:lvl>
    <w:lvl w:ilvl="1" w:tplc="0BDC53F0" w:tentative="1">
      <w:start w:val="1"/>
      <w:numFmt w:val="bullet"/>
      <w:lvlText w:val="•"/>
      <w:lvlJc w:val="left"/>
      <w:pPr>
        <w:tabs>
          <w:tab w:val="num" w:pos="1440"/>
        </w:tabs>
        <w:ind w:left="1440" w:hanging="360"/>
      </w:pPr>
      <w:rPr>
        <w:rFonts w:ascii="Arial" w:hAnsi="Arial" w:hint="default"/>
      </w:rPr>
    </w:lvl>
    <w:lvl w:ilvl="2" w:tplc="B09CD1D2" w:tentative="1">
      <w:start w:val="1"/>
      <w:numFmt w:val="bullet"/>
      <w:lvlText w:val="•"/>
      <w:lvlJc w:val="left"/>
      <w:pPr>
        <w:tabs>
          <w:tab w:val="num" w:pos="2160"/>
        </w:tabs>
        <w:ind w:left="2160" w:hanging="360"/>
      </w:pPr>
      <w:rPr>
        <w:rFonts w:ascii="Arial" w:hAnsi="Arial" w:hint="default"/>
      </w:rPr>
    </w:lvl>
    <w:lvl w:ilvl="3" w:tplc="15360888" w:tentative="1">
      <w:start w:val="1"/>
      <w:numFmt w:val="bullet"/>
      <w:lvlText w:val="•"/>
      <w:lvlJc w:val="left"/>
      <w:pPr>
        <w:tabs>
          <w:tab w:val="num" w:pos="2880"/>
        </w:tabs>
        <w:ind w:left="2880" w:hanging="360"/>
      </w:pPr>
      <w:rPr>
        <w:rFonts w:ascii="Arial" w:hAnsi="Arial" w:hint="default"/>
      </w:rPr>
    </w:lvl>
    <w:lvl w:ilvl="4" w:tplc="8632A738" w:tentative="1">
      <w:start w:val="1"/>
      <w:numFmt w:val="bullet"/>
      <w:lvlText w:val="•"/>
      <w:lvlJc w:val="left"/>
      <w:pPr>
        <w:tabs>
          <w:tab w:val="num" w:pos="3600"/>
        </w:tabs>
        <w:ind w:left="3600" w:hanging="360"/>
      </w:pPr>
      <w:rPr>
        <w:rFonts w:ascii="Arial" w:hAnsi="Arial" w:hint="default"/>
      </w:rPr>
    </w:lvl>
    <w:lvl w:ilvl="5" w:tplc="8764A680" w:tentative="1">
      <w:start w:val="1"/>
      <w:numFmt w:val="bullet"/>
      <w:lvlText w:val="•"/>
      <w:lvlJc w:val="left"/>
      <w:pPr>
        <w:tabs>
          <w:tab w:val="num" w:pos="4320"/>
        </w:tabs>
        <w:ind w:left="4320" w:hanging="360"/>
      </w:pPr>
      <w:rPr>
        <w:rFonts w:ascii="Arial" w:hAnsi="Arial" w:hint="default"/>
      </w:rPr>
    </w:lvl>
    <w:lvl w:ilvl="6" w:tplc="08BC6842" w:tentative="1">
      <w:start w:val="1"/>
      <w:numFmt w:val="bullet"/>
      <w:lvlText w:val="•"/>
      <w:lvlJc w:val="left"/>
      <w:pPr>
        <w:tabs>
          <w:tab w:val="num" w:pos="5040"/>
        </w:tabs>
        <w:ind w:left="5040" w:hanging="360"/>
      </w:pPr>
      <w:rPr>
        <w:rFonts w:ascii="Arial" w:hAnsi="Arial" w:hint="default"/>
      </w:rPr>
    </w:lvl>
    <w:lvl w:ilvl="7" w:tplc="0F8E00DA" w:tentative="1">
      <w:start w:val="1"/>
      <w:numFmt w:val="bullet"/>
      <w:lvlText w:val="•"/>
      <w:lvlJc w:val="left"/>
      <w:pPr>
        <w:tabs>
          <w:tab w:val="num" w:pos="5760"/>
        </w:tabs>
        <w:ind w:left="5760" w:hanging="360"/>
      </w:pPr>
      <w:rPr>
        <w:rFonts w:ascii="Arial" w:hAnsi="Arial" w:hint="default"/>
      </w:rPr>
    </w:lvl>
    <w:lvl w:ilvl="8" w:tplc="19564C7C"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6B5748FA"/>
    <w:multiLevelType w:val="hybridMultilevel"/>
    <w:tmpl w:val="BE94D68C"/>
    <w:lvl w:ilvl="0" w:tplc="5734EE3A">
      <w:start w:val="1"/>
      <w:numFmt w:val="bullet"/>
      <w:lvlText w:val="•"/>
      <w:lvlJc w:val="left"/>
      <w:pPr>
        <w:tabs>
          <w:tab w:val="num" w:pos="720"/>
        </w:tabs>
        <w:ind w:left="720" w:hanging="360"/>
      </w:pPr>
      <w:rPr>
        <w:rFonts w:ascii="Arial" w:hAnsi="Arial" w:hint="default"/>
      </w:rPr>
    </w:lvl>
    <w:lvl w:ilvl="1" w:tplc="AE509FB0" w:tentative="1">
      <w:start w:val="1"/>
      <w:numFmt w:val="bullet"/>
      <w:lvlText w:val="•"/>
      <w:lvlJc w:val="left"/>
      <w:pPr>
        <w:tabs>
          <w:tab w:val="num" w:pos="1440"/>
        </w:tabs>
        <w:ind w:left="1440" w:hanging="360"/>
      </w:pPr>
      <w:rPr>
        <w:rFonts w:ascii="Arial" w:hAnsi="Arial" w:hint="default"/>
      </w:rPr>
    </w:lvl>
    <w:lvl w:ilvl="2" w:tplc="D1C64F92" w:tentative="1">
      <w:start w:val="1"/>
      <w:numFmt w:val="bullet"/>
      <w:lvlText w:val="•"/>
      <w:lvlJc w:val="left"/>
      <w:pPr>
        <w:tabs>
          <w:tab w:val="num" w:pos="2160"/>
        </w:tabs>
        <w:ind w:left="2160" w:hanging="360"/>
      </w:pPr>
      <w:rPr>
        <w:rFonts w:ascii="Arial" w:hAnsi="Arial" w:hint="default"/>
      </w:rPr>
    </w:lvl>
    <w:lvl w:ilvl="3" w:tplc="E2464210" w:tentative="1">
      <w:start w:val="1"/>
      <w:numFmt w:val="bullet"/>
      <w:lvlText w:val="•"/>
      <w:lvlJc w:val="left"/>
      <w:pPr>
        <w:tabs>
          <w:tab w:val="num" w:pos="2880"/>
        </w:tabs>
        <w:ind w:left="2880" w:hanging="360"/>
      </w:pPr>
      <w:rPr>
        <w:rFonts w:ascii="Arial" w:hAnsi="Arial" w:hint="default"/>
      </w:rPr>
    </w:lvl>
    <w:lvl w:ilvl="4" w:tplc="AA620442" w:tentative="1">
      <w:start w:val="1"/>
      <w:numFmt w:val="bullet"/>
      <w:lvlText w:val="•"/>
      <w:lvlJc w:val="left"/>
      <w:pPr>
        <w:tabs>
          <w:tab w:val="num" w:pos="3600"/>
        </w:tabs>
        <w:ind w:left="3600" w:hanging="360"/>
      </w:pPr>
      <w:rPr>
        <w:rFonts w:ascii="Arial" w:hAnsi="Arial" w:hint="default"/>
      </w:rPr>
    </w:lvl>
    <w:lvl w:ilvl="5" w:tplc="D4E27A48" w:tentative="1">
      <w:start w:val="1"/>
      <w:numFmt w:val="bullet"/>
      <w:lvlText w:val="•"/>
      <w:lvlJc w:val="left"/>
      <w:pPr>
        <w:tabs>
          <w:tab w:val="num" w:pos="4320"/>
        </w:tabs>
        <w:ind w:left="4320" w:hanging="360"/>
      </w:pPr>
      <w:rPr>
        <w:rFonts w:ascii="Arial" w:hAnsi="Arial" w:hint="default"/>
      </w:rPr>
    </w:lvl>
    <w:lvl w:ilvl="6" w:tplc="9BFA3750" w:tentative="1">
      <w:start w:val="1"/>
      <w:numFmt w:val="bullet"/>
      <w:lvlText w:val="•"/>
      <w:lvlJc w:val="left"/>
      <w:pPr>
        <w:tabs>
          <w:tab w:val="num" w:pos="5040"/>
        </w:tabs>
        <w:ind w:left="5040" w:hanging="360"/>
      </w:pPr>
      <w:rPr>
        <w:rFonts w:ascii="Arial" w:hAnsi="Arial" w:hint="default"/>
      </w:rPr>
    </w:lvl>
    <w:lvl w:ilvl="7" w:tplc="4D9E0D82" w:tentative="1">
      <w:start w:val="1"/>
      <w:numFmt w:val="bullet"/>
      <w:lvlText w:val="•"/>
      <w:lvlJc w:val="left"/>
      <w:pPr>
        <w:tabs>
          <w:tab w:val="num" w:pos="5760"/>
        </w:tabs>
        <w:ind w:left="5760" w:hanging="360"/>
      </w:pPr>
      <w:rPr>
        <w:rFonts w:ascii="Arial" w:hAnsi="Arial" w:hint="default"/>
      </w:rPr>
    </w:lvl>
    <w:lvl w:ilvl="8" w:tplc="B9348FBC"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E086A07"/>
    <w:multiLevelType w:val="hybridMultilevel"/>
    <w:tmpl w:val="A1E2EABC"/>
    <w:lvl w:ilvl="0" w:tplc="E2D0EDCA">
      <w:start w:val="1"/>
      <w:numFmt w:val="bullet"/>
      <w:lvlText w:val="•"/>
      <w:lvlJc w:val="left"/>
      <w:pPr>
        <w:tabs>
          <w:tab w:val="num" w:pos="720"/>
        </w:tabs>
        <w:ind w:left="720" w:hanging="360"/>
      </w:pPr>
      <w:rPr>
        <w:rFonts w:ascii="Arial" w:hAnsi="Arial" w:hint="default"/>
      </w:rPr>
    </w:lvl>
    <w:lvl w:ilvl="1" w:tplc="04EA0764" w:tentative="1">
      <w:start w:val="1"/>
      <w:numFmt w:val="bullet"/>
      <w:lvlText w:val="•"/>
      <w:lvlJc w:val="left"/>
      <w:pPr>
        <w:tabs>
          <w:tab w:val="num" w:pos="1440"/>
        </w:tabs>
        <w:ind w:left="1440" w:hanging="360"/>
      </w:pPr>
      <w:rPr>
        <w:rFonts w:ascii="Arial" w:hAnsi="Arial" w:hint="default"/>
      </w:rPr>
    </w:lvl>
    <w:lvl w:ilvl="2" w:tplc="FE84CCA2" w:tentative="1">
      <w:start w:val="1"/>
      <w:numFmt w:val="bullet"/>
      <w:lvlText w:val="•"/>
      <w:lvlJc w:val="left"/>
      <w:pPr>
        <w:tabs>
          <w:tab w:val="num" w:pos="2160"/>
        </w:tabs>
        <w:ind w:left="2160" w:hanging="360"/>
      </w:pPr>
      <w:rPr>
        <w:rFonts w:ascii="Arial" w:hAnsi="Arial" w:hint="default"/>
      </w:rPr>
    </w:lvl>
    <w:lvl w:ilvl="3" w:tplc="F7F07970" w:tentative="1">
      <w:start w:val="1"/>
      <w:numFmt w:val="bullet"/>
      <w:lvlText w:val="•"/>
      <w:lvlJc w:val="left"/>
      <w:pPr>
        <w:tabs>
          <w:tab w:val="num" w:pos="2880"/>
        </w:tabs>
        <w:ind w:left="2880" w:hanging="360"/>
      </w:pPr>
      <w:rPr>
        <w:rFonts w:ascii="Arial" w:hAnsi="Arial" w:hint="default"/>
      </w:rPr>
    </w:lvl>
    <w:lvl w:ilvl="4" w:tplc="293A0730" w:tentative="1">
      <w:start w:val="1"/>
      <w:numFmt w:val="bullet"/>
      <w:lvlText w:val="•"/>
      <w:lvlJc w:val="left"/>
      <w:pPr>
        <w:tabs>
          <w:tab w:val="num" w:pos="3600"/>
        </w:tabs>
        <w:ind w:left="3600" w:hanging="360"/>
      </w:pPr>
      <w:rPr>
        <w:rFonts w:ascii="Arial" w:hAnsi="Arial" w:hint="default"/>
      </w:rPr>
    </w:lvl>
    <w:lvl w:ilvl="5" w:tplc="3D821E0C" w:tentative="1">
      <w:start w:val="1"/>
      <w:numFmt w:val="bullet"/>
      <w:lvlText w:val="•"/>
      <w:lvlJc w:val="left"/>
      <w:pPr>
        <w:tabs>
          <w:tab w:val="num" w:pos="4320"/>
        </w:tabs>
        <w:ind w:left="4320" w:hanging="360"/>
      </w:pPr>
      <w:rPr>
        <w:rFonts w:ascii="Arial" w:hAnsi="Arial" w:hint="default"/>
      </w:rPr>
    </w:lvl>
    <w:lvl w:ilvl="6" w:tplc="1D465918" w:tentative="1">
      <w:start w:val="1"/>
      <w:numFmt w:val="bullet"/>
      <w:lvlText w:val="•"/>
      <w:lvlJc w:val="left"/>
      <w:pPr>
        <w:tabs>
          <w:tab w:val="num" w:pos="5040"/>
        </w:tabs>
        <w:ind w:left="5040" w:hanging="360"/>
      </w:pPr>
      <w:rPr>
        <w:rFonts w:ascii="Arial" w:hAnsi="Arial" w:hint="default"/>
      </w:rPr>
    </w:lvl>
    <w:lvl w:ilvl="7" w:tplc="8318A776" w:tentative="1">
      <w:start w:val="1"/>
      <w:numFmt w:val="bullet"/>
      <w:lvlText w:val="•"/>
      <w:lvlJc w:val="left"/>
      <w:pPr>
        <w:tabs>
          <w:tab w:val="num" w:pos="5760"/>
        </w:tabs>
        <w:ind w:left="5760" w:hanging="360"/>
      </w:pPr>
      <w:rPr>
        <w:rFonts w:ascii="Arial" w:hAnsi="Arial" w:hint="default"/>
      </w:rPr>
    </w:lvl>
    <w:lvl w:ilvl="8" w:tplc="F95032AA"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736E0206"/>
    <w:multiLevelType w:val="hybridMultilevel"/>
    <w:tmpl w:val="8872E406"/>
    <w:lvl w:ilvl="0" w:tplc="78DC169A">
      <w:start w:val="1"/>
      <w:numFmt w:val="bullet"/>
      <w:lvlText w:val="•"/>
      <w:lvlJc w:val="left"/>
      <w:pPr>
        <w:tabs>
          <w:tab w:val="num" w:pos="720"/>
        </w:tabs>
        <w:ind w:left="720" w:hanging="360"/>
      </w:pPr>
      <w:rPr>
        <w:rFonts w:ascii="Arial" w:hAnsi="Arial" w:hint="default"/>
      </w:rPr>
    </w:lvl>
    <w:lvl w:ilvl="1" w:tplc="87568608" w:tentative="1">
      <w:start w:val="1"/>
      <w:numFmt w:val="bullet"/>
      <w:lvlText w:val="•"/>
      <w:lvlJc w:val="left"/>
      <w:pPr>
        <w:tabs>
          <w:tab w:val="num" w:pos="1440"/>
        </w:tabs>
        <w:ind w:left="1440" w:hanging="360"/>
      </w:pPr>
      <w:rPr>
        <w:rFonts w:ascii="Arial" w:hAnsi="Arial" w:hint="default"/>
      </w:rPr>
    </w:lvl>
    <w:lvl w:ilvl="2" w:tplc="50B6E9C0" w:tentative="1">
      <w:start w:val="1"/>
      <w:numFmt w:val="bullet"/>
      <w:lvlText w:val="•"/>
      <w:lvlJc w:val="left"/>
      <w:pPr>
        <w:tabs>
          <w:tab w:val="num" w:pos="2160"/>
        </w:tabs>
        <w:ind w:left="2160" w:hanging="360"/>
      </w:pPr>
      <w:rPr>
        <w:rFonts w:ascii="Arial" w:hAnsi="Arial" w:hint="default"/>
      </w:rPr>
    </w:lvl>
    <w:lvl w:ilvl="3" w:tplc="21EA71A4" w:tentative="1">
      <w:start w:val="1"/>
      <w:numFmt w:val="bullet"/>
      <w:lvlText w:val="•"/>
      <w:lvlJc w:val="left"/>
      <w:pPr>
        <w:tabs>
          <w:tab w:val="num" w:pos="2880"/>
        </w:tabs>
        <w:ind w:left="2880" w:hanging="360"/>
      </w:pPr>
      <w:rPr>
        <w:rFonts w:ascii="Arial" w:hAnsi="Arial" w:hint="default"/>
      </w:rPr>
    </w:lvl>
    <w:lvl w:ilvl="4" w:tplc="383A578C" w:tentative="1">
      <w:start w:val="1"/>
      <w:numFmt w:val="bullet"/>
      <w:lvlText w:val="•"/>
      <w:lvlJc w:val="left"/>
      <w:pPr>
        <w:tabs>
          <w:tab w:val="num" w:pos="3600"/>
        </w:tabs>
        <w:ind w:left="3600" w:hanging="360"/>
      </w:pPr>
      <w:rPr>
        <w:rFonts w:ascii="Arial" w:hAnsi="Arial" w:hint="default"/>
      </w:rPr>
    </w:lvl>
    <w:lvl w:ilvl="5" w:tplc="11ECF546" w:tentative="1">
      <w:start w:val="1"/>
      <w:numFmt w:val="bullet"/>
      <w:lvlText w:val="•"/>
      <w:lvlJc w:val="left"/>
      <w:pPr>
        <w:tabs>
          <w:tab w:val="num" w:pos="4320"/>
        </w:tabs>
        <w:ind w:left="4320" w:hanging="360"/>
      </w:pPr>
      <w:rPr>
        <w:rFonts w:ascii="Arial" w:hAnsi="Arial" w:hint="default"/>
      </w:rPr>
    </w:lvl>
    <w:lvl w:ilvl="6" w:tplc="2926FB9C" w:tentative="1">
      <w:start w:val="1"/>
      <w:numFmt w:val="bullet"/>
      <w:lvlText w:val="•"/>
      <w:lvlJc w:val="left"/>
      <w:pPr>
        <w:tabs>
          <w:tab w:val="num" w:pos="5040"/>
        </w:tabs>
        <w:ind w:left="5040" w:hanging="360"/>
      </w:pPr>
      <w:rPr>
        <w:rFonts w:ascii="Arial" w:hAnsi="Arial" w:hint="default"/>
      </w:rPr>
    </w:lvl>
    <w:lvl w:ilvl="7" w:tplc="4C76ADB0" w:tentative="1">
      <w:start w:val="1"/>
      <w:numFmt w:val="bullet"/>
      <w:lvlText w:val="•"/>
      <w:lvlJc w:val="left"/>
      <w:pPr>
        <w:tabs>
          <w:tab w:val="num" w:pos="5760"/>
        </w:tabs>
        <w:ind w:left="5760" w:hanging="360"/>
      </w:pPr>
      <w:rPr>
        <w:rFonts w:ascii="Arial" w:hAnsi="Arial" w:hint="default"/>
      </w:rPr>
    </w:lvl>
    <w:lvl w:ilvl="8" w:tplc="C15C9C28"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7D3B080B"/>
    <w:multiLevelType w:val="hybridMultilevel"/>
    <w:tmpl w:val="7B42333C"/>
    <w:lvl w:ilvl="0" w:tplc="043262EC">
      <w:start w:val="1"/>
      <w:numFmt w:val="bullet"/>
      <w:lvlText w:val="•"/>
      <w:lvlJc w:val="left"/>
      <w:pPr>
        <w:tabs>
          <w:tab w:val="num" w:pos="720"/>
        </w:tabs>
        <w:ind w:left="720" w:hanging="360"/>
      </w:pPr>
      <w:rPr>
        <w:rFonts w:ascii="Arial" w:hAnsi="Arial" w:hint="default"/>
      </w:rPr>
    </w:lvl>
    <w:lvl w:ilvl="1" w:tplc="67C692F8" w:tentative="1">
      <w:start w:val="1"/>
      <w:numFmt w:val="bullet"/>
      <w:lvlText w:val="•"/>
      <w:lvlJc w:val="left"/>
      <w:pPr>
        <w:tabs>
          <w:tab w:val="num" w:pos="1440"/>
        </w:tabs>
        <w:ind w:left="1440" w:hanging="360"/>
      </w:pPr>
      <w:rPr>
        <w:rFonts w:ascii="Arial" w:hAnsi="Arial" w:hint="default"/>
      </w:rPr>
    </w:lvl>
    <w:lvl w:ilvl="2" w:tplc="9BEAED1E" w:tentative="1">
      <w:start w:val="1"/>
      <w:numFmt w:val="bullet"/>
      <w:lvlText w:val="•"/>
      <w:lvlJc w:val="left"/>
      <w:pPr>
        <w:tabs>
          <w:tab w:val="num" w:pos="2160"/>
        </w:tabs>
        <w:ind w:left="2160" w:hanging="360"/>
      </w:pPr>
      <w:rPr>
        <w:rFonts w:ascii="Arial" w:hAnsi="Arial" w:hint="default"/>
      </w:rPr>
    </w:lvl>
    <w:lvl w:ilvl="3" w:tplc="57CEDE30" w:tentative="1">
      <w:start w:val="1"/>
      <w:numFmt w:val="bullet"/>
      <w:lvlText w:val="•"/>
      <w:lvlJc w:val="left"/>
      <w:pPr>
        <w:tabs>
          <w:tab w:val="num" w:pos="2880"/>
        </w:tabs>
        <w:ind w:left="2880" w:hanging="360"/>
      </w:pPr>
      <w:rPr>
        <w:rFonts w:ascii="Arial" w:hAnsi="Arial" w:hint="default"/>
      </w:rPr>
    </w:lvl>
    <w:lvl w:ilvl="4" w:tplc="9CBA34B4" w:tentative="1">
      <w:start w:val="1"/>
      <w:numFmt w:val="bullet"/>
      <w:lvlText w:val="•"/>
      <w:lvlJc w:val="left"/>
      <w:pPr>
        <w:tabs>
          <w:tab w:val="num" w:pos="3600"/>
        </w:tabs>
        <w:ind w:left="3600" w:hanging="360"/>
      </w:pPr>
      <w:rPr>
        <w:rFonts w:ascii="Arial" w:hAnsi="Arial" w:hint="default"/>
      </w:rPr>
    </w:lvl>
    <w:lvl w:ilvl="5" w:tplc="422E3BC0" w:tentative="1">
      <w:start w:val="1"/>
      <w:numFmt w:val="bullet"/>
      <w:lvlText w:val="•"/>
      <w:lvlJc w:val="left"/>
      <w:pPr>
        <w:tabs>
          <w:tab w:val="num" w:pos="4320"/>
        </w:tabs>
        <w:ind w:left="4320" w:hanging="360"/>
      </w:pPr>
      <w:rPr>
        <w:rFonts w:ascii="Arial" w:hAnsi="Arial" w:hint="default"/>
      </w:rPr>
    </w:lvl>
    <w:lvl w:ilvl="6" w:tplc="82EE643E" w:tentative="1">
      <w:start w:val="1"/>
      <w:numFmt w:val="bullet"/>
      <w:lvlText w:val="•"/>
      <w:lvlJc w:val="left"/>
      <w:pPr>
        <w:tabs>
          <w:tab w:val="num" w:pos="5040"/>
        </w:tabs>
        <w:ind w:left="5040" w:hanging="360"/>
      </w:pPr>
      <w:rPr>
        <w:rFonts w:ascii="Arial" w:hAnsi="Arial" w:hint="default"/>
      </w:rPr>
    </w:lvl>
    <w:lvl w:ilvl="7" w:tplc="3956F394" w:tentative="1">
      <w:start w:val="1"/>
      <w:numFmt w:val="bullet"/>
      <w:lvlText w:val="•"/>
      <w:lvlJc w:val="left"/>
      <w:pPr>
        <w:tabs>
          <w:tab w:val="num" w:pos="5760"/>
        </w:tabs>
        <w:ind w:left="5760" w:hanging="360"/>
      </w:pPr>
      <w:rPr>
        <w:rFonts w:ascii="Arial" w:hAnsi="Arial" w:hint="default"/>
      </w:rPr>
    </w:lvl>
    <w:lvl w:ilvl="8" w:tplc="25324CF4" w:tentative="1">
      <w:start w:val="1"/>
      <w:numFmt w:val="bullet"/>
      <w:lvlText w:val="•"/>
      <w:lvlJc w:val="left"/>
      <w:pPr>
        <w:tabs>
          <w:tab w:val="num" w:pos="6480"/>
        </w:tabs>
        <w:ind w:left="6480" w:hanging="360"/>
      </w:pPr>
      <w:rPr>
        <w:rFonts w:ascii="Arial" w:hAnsi="Arial" w:hint="default"/>
      </w:rPr>
    </w:lvl>
  </w:abstractNum>
  <w:num w:numId="1">
    <w:abstractNumId w:val="24"/>
  </w:num>
  <w:num w:numId="2">
    <w:abstractNumId w:val="20"/>
  </w:num>
  <w:num w:numId="3">
    <w:abstractNumId w:val="1"/>
  </w:num>
  <w:num w:numId="4">
    <w:abstractNumId w:val="15"/>
  </w:num>
  <w:num w:numId="5">
    <w:abstractNumId w:val="4"/>
  </w:num>
  <w:num w:numId="6">
    <w:abstractNumId w:val="9"/>
  </w:num>
  <w:num w:numId="7">
    <w:abstractNumId w:val="26"/>
  </w:num>
  <w:num w:numId="8">
    <w:abstractNumId w:val="27"/>
  </w:num>
  <w:num w:numId="9">
    <w:abstractNumId w:val="8"/>
  </w:num>
  <w:num w:numId="10">
    <w:abstractNumId w:val="10"/>
  </w:num>
  <w:num w:numId="11">
    <w:abstractNumId w:val="13"/>
  </w:num>
  <w:num w:numId="12">
    <w:abstractNumId w:val="25"/>
  </w:num>
  <w:num w:numId="13">
    <w:abstractNumId w:val="11"/>
  </w:num>
  <w:num w:numId="14">
    <w:abstractNumId w:val="18"/>
  </w:num>
  <w:num w:numId="15">
    <w:abstractNumId w:val="21"/>
  </w:num>
  <w:num w:numId="16">
    <w:abstractNumId w:val="12"/>
  </w:num>
  <w:num w:numId="17">
    <w:abstractNumId w:val="3"/>
  </w:num>
  <w:num w:numId="18">
    <w:abstractNumId w:val="19"/>
  </w:num>
  <w:num w:numId="19">
    <w:abstractNumId w:val="16"/>
  </w:num>
  <w:num w:numId="20">
    <w:abstractNumId w:val="23"/>
  </w:num>
  <w:num w:numId="21">
    <w:abstractNumId w:val="14"/>
  </w:num>
  <w:num w:numId="22">
    <w:abstractNumId w:val="2"/>
  </w:num>
  <w:num w:numId="23">
    <w:abstractNumId w:val="22"/>
  </w:num>
  <w:num w:numId="24">
    <w:abstractNumId w:val="6"/>
  </w:num>
  <w:num w:numId="25">
    <w:abstractNumId w:val="17"/>
  </w:num>
  <w:num w:numId="26">
    <w:abstractNumId w:val="7"/>
  </w:num>
  <w:num w:numId="27">
    <w:abstractNumId w:val="0"/>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6C1"/>
    <w:rsid w:val="000017C9"/>
    <w:rsid w:val="00002424"/>
    <w:rsid w:val="00003196"/>
    <w:rsid w:val="000056FC"/>
    <w:rsid w:val="00005F05"/>
    <w:rsid w:val="000118DB"/>
    <w:rsid w:val="00020A76"/>
    <w:rsid w:val="00022635"/>
    <w:rsid w:val="0002308F"/>
    <w:rsid w:val="0002445E"/>
    <w:rsid w:val="00024A15"/>
    <w:rsid w:val="000251EE"/>
    <w:rsid w:val="00025374"/>
    <w:rsid w:val="000260AB"/>
    <w:rsid w:val="00030784"/>
    <w:rsid w:val="0003258E"/>
    <w:rsid w:val="00032A92"/>
    <w:rsid w:val="00033670"/>
    <w:rsid w:val="00033F41"/>
    <w:rsid w:val="00035095"/>
    <w:rsid w:val="00037210"/>
    <w:rsid w:val="0003753A"/>
    <w:rsid w:val="00037D5D"/>
    <w:rsid w:val="00041C8C"/>
    <w:rsid w:val="000437AD"/>
    <w:rsid w:val="00044689"/>
    <w:rsid w:val="000455F2"/>
    <w:rsid w:val="00045986"/>
    <w:rsid w:val="0005143B"/>
    <w:rsid w:val="000525E6"/>
    <w:rsid w:val="00053736"/>
    <w:rsid w:val="00055027"/>
    <w:rsid w:val="00056A46"/>
    <w:rsid w:val="00056FE2"/>
    <w:rsid w:val="00057B97"/>
    <w:rsid w:val="00061B83"/>
    <w:rsid w:val="00063B17"/>
    <w:rsid w:val="000645D4"/>
    <w:rsid w:val="00065B16"/>
    <w:rsid w:val="00066658"/>
    <w:rsid w:val="00066F90"/>
    <w:rsid w:val="00071D03"/>
    <w:rsid w:val="00073D34"/>
    <w:rsid w:val="00073D3C"/>
    <w:rsid w:val="0007535C"/>
    <w:rsid w:val="00080C2F"/>
    <w:rsid w:val="00080CAB"/>
    <w:rsid w:val="00080E83"/>
    <w:rsid w:val="00081F7B"/>
    <w:rsid w:val="00082226"/>
    <w:rsid w:val="0008493C"/>
    <w:rsid w:val="00085EC9"/>
    <w:rsid w:val="00090E20"/>
    <w:rsid w:val="00092FE8"/>
    <w:rsid w:val="0009436D"/>
    <w:rsid w:val="000945C8"/>
    <w:rsid w:val="00095829"/>
    <w:rsid w:val="00095E0E"/>
    <w:rsid w:val="000A1FD3"/>
    <w:rsid w:val="000A3A80"/>
    <w:rsid w:val="000A3B0C"/>
    <w:rsid w:val="000A4ECB"/>
    <w:rsid w:val="000A55BC"/>
    <w:rsid w:val="000A6F83"/>
    <w:rsid w:val="000A7108"/>
    <w:rsid w:val="000B34E1"/>
    <w:rsid w:val="000B4019"/>
    <w:rsid w:val="000B6545"/>
    <w:rsid w:val="000B73DE"/>
    <w:rsid w:val="000C082F"/>
    <w:rsid w:val="000C2456"/>
    <w:rsid w:val="000C31B6"/>
    <w:rsid w:val="000C6A2F"/>
    <w:rsid w:val="000C740A"/>
    <w:rsid w:val="000D1326"/>
    <w:rsid w:val="000D41A1"/>
    <w:rsid w:val="000D6BFC"/>
    <w:rsid w:val="000D7472"/>
    <w:rsid w:val="000D7F85"/>
    <w:rsid w:val="000E01ED"/>
    <w:rsid w:val="000E0299"/>
    <w:rsid w:val="000E10DE"/>
    <w:rsid w:val="000E1A29"/>
    <w:rsid w:val="000E2C4C"/>
    <w:rsid w:val="000E2F7D"/>
    <w:rsid w:val="000E3B6C"/>
    <w:rsid w:val="000E49F6"/>
    <w:rsid w:val="000F186C"/>
    <w:rsid w:val="000F7C52"/>
    <w:rsid w:val="000F7CFA"/>
    <w:rsid w:val="001033D5"/>
    <w:rsid w:val="001050EE"/>
    <w:rsid w:val="00105CC3"/>
    <w:rsid w:val="00110218"/>
    <w:rsid w:val="001103B5"/>
    <w:rsid w:val="00110DBA"/>
    <w:rsid w:val="00111FBE"/>
    <w:rsid w:val="00114169"/>
    <w:rsid w:val="00116077"/>
    <w:rsid w:val="001161FB"/>
    <w:rsid w:val="00117648"/>
    <w:rsid w:val="00120566"/>
    <w:rsid w:val="00123C1A"/>
    <w:rsid w:val="001253B5"/>
    <w:rsid w:val="00126822"/>
    <w:rsid w:val="00126893"/>
    <w:rsid w:val="0013185A"/>
    <w:rsid w:val="001321A0"/>
    <w:rsid w:val="0013294A"/>
    <w:rsid w:val="001335F4"/>
    <w:rsid w:val="00135EFE"/>
    <w:rsid w:val="001410B2"/>
    <w:rsid w:val="0014348A"/>
    <w:rsid w:val="00144E0C"/>
    <w:rsid w:val="00145773"/>
    <w:rsid w:val="00150657"/>
    <w:rsid w:val="00151D69"/>
    <w:rsid w:val="00152320"/>
    <w:rsid w:val="00153E50"/>
    <w:rsid w:val="001559DC"/>
    <w:rsid w:val="00155FBA"/>
    <w:rsid w:val="0015653A"/>
    <w:rsid w:val="00160356"/>
    <w:rsid w:val="00173B8C"/>
    <w:rsid w:val="00174A5E"/>
    <w:rsid w:val="00177E51"/>
    <w:rsid w:val="0018215C"/>
    <w:rsid w:val="00182400"/>
    <w:rsid w:val="00182A4A"/>
    <w:rsid w:val="00184EE0"/>
    <w:rsid w:val="00185D51"/>
    <w:rsid w:val="00187673"/>
    <w:rsid w:val="00191317"/>
    <w:rsid w:val="00194D7D"/>
    <w:rsid w:val="001957DC"/>
    <w:rsid w:val="00197C9D"/>
    <w:rsid w:val="001A03C7"/>
    <w:rsid w:val="001A0764"/>
    <w:rsid w:val="001A5824"/>
    <w:rsid w:val="001A79C9"/>
    <w:rsid w:val="001B5684"/>
    <w:rsid w:val="001B687C"/>
    <w:rsid w:val="001B7FBD"/>
    <w:rsid w:val="001C0777"/>
    <w:rsid w:val="001C1209"/>
    <w:rsid w:val="001C1DAF"/>
    <w:rsid w:val="001C46C6"/>
    <w:rsid w:val="001C695A"/>
    <w:rsid w:val="001C7823"/>
    <w:rsid w:val="001D6180"/>
    <w:rsid w:val="001D633A"/>
    <w:rsid w:val="001E049B"/>
    <w:rsid w:val="001E0C33"/>
    <w:rsid w:val="001E0DF5"/>
    <w:rsid w:val="001E1932"/>
    <w:rsid w:val="001E288B"/>
    <w:rsid w:val="001E3033"/>
    <w:rsid w:val="001E3A6B"/>
    <w:rsid w:val="001E4261"/>
    <w:rsid w:val="001E5F99"/>
    <w:rsid w:val="001F52B5"/>
    <w:rsid w:val="001F6C5F"/>
    <w:rsid w:val="001F77FA"/>
    <w:rsid w:val="002040E1"/>
    <w:rsid w:val="002043CE"/>
    <w:rsid w:val="00204951"/>
    <w:rsid w:val="002052BA"/>
    <w:rsid w:val="002067A4"/>
    <w:rsid w:val="00207C01"/>
    <w:rsid w:val="002136AE"/>
    <w:rsid w:val="00213B0D"/>
    <w:rsid w:val="00213F51"/>
    <w:rsid w:val="00217283"/>
    <w:rsid w:val="00217C3B"/>
    <w:rsid w:val="002214F9"/>
    <w:rsid w:val="0022272C"/>
    <w:rsid w:val="00224DDE"/>
    <w:rsid w:val="00225BE0"/>
    <w:rsid w:val="002261AD"/>
    <w:rsid w:val="002270A6"/>
    <w:rsid w:val="0023120C"/>
    <w:rsid w:val="002344B4"/>
    <w:rsid w:val="002359BC"/>
    <w:rsid w:val="002415FF"/>
    <w:rsid w:val="0024351C"/>
    <w:rsid w:val="00243685"/>
    <w:rsid w:val="00247331"/>
    <w:rsid w:val="0025766A"/>
    <w:rsid w:val="00261E56"/>
    <w:rsid w:val="00262AA7"/>
    <w:rsid w:val="00262D41"/>
    <w:rsid w:val="0026493A"/>
    <w:rsid w:val="00266FE6"/>
    <w:rsid w:val="00271A4E"/>
    <w:rsid w:val="00272B21"/>
    <w:rsid w:val="00273E37"/>
    <w:rsid w:val="00274737"/>
    <w:rsid w:val="00276264"/>
    <w:rsid w:val="00277974"/>
    <w:rsid w:val="00277F17"/>
    <w:rsid w:val="002815CC"/>
    <w:rsid w:val="0028392B"/>
    <w:rsid w:val="00284B33"/>
    <w:rsid w:val="002862A1"/>
    <w:rsid w:val="002901A3"/>
    <w:rsid w:val="002905AE"/>
    <w:rsid w:val="00292B02"/>
    <w:rsid w:val="002940E9"/>
    <w:rsid w:val="00294475"/>
    <w:rsid w:val="002A0476"/>
    <w:rsid w:val="002A1CF7"/>
    <w:rsid w:val="002A518A"/>
    <w:rsid w:val="002A5269"/>
    <w:rsid w:val="002A6E40"/>
    <w:rsid w:val="002A7FB5"/>
    <w:rsid w:val="002B0972"/>
    <w:rsid w:val="002B26E2"/>
    <w:rsid w:val="002C0700"/>
    <w:rsid w:val="002C10DC"/>
    <w:rsid w:val="002C11B0"/>
    <w:rsid w:val="002C16CF"/>
    <w:rsid w:val="002C1868"/>
    <w:rsid w:val="002C34ED"/>
    <w:rsid w:val="002C3B00"/>
    <w:rsid w:val="002C44A1"/>
    <w:rsid w:val="002C47E2"/>
    <w:rsid w:val="002D08ED"/>
    <w:rsid w:val="002D1F56"/>
    <w:rsid w:val="002D5811"/>
    <w:rsid w:val="002D685E"/>
    <w:rsid w:val="002D7633"/>
    <w:rsid w:val="002E0DD9"/>
    <w:rsid w:val="002E14BC"/>
    <w:rsid w:val="002E4D11"/>
    <w:rsid w:val="002E618F"/>
    <w:rsid w:val="002E6550"/>
    <w:rsid w:val="002E7B0B"/>
    <w:rsid w:val="002F1B8D"/>
    <w:rsid w:val="002F2281"/>
    <w:rsid w:val="002F25BB"/>
    <w:rsid w:val="002F266E"/>
    <w:rsid w:val="002F39EA"/>
    <w:rsid w:val="002F53B7"/>
    <w:rsid w:val="002F5B00"/>
    <w:rsid w:val="002F6B7C"/>
    <w:rsid w:val="002F77DF"/>
    <w:rsid w:val="002F7D56"/>
    <w:rsid w:val="00301229"/>
    <w:rsid w:val="00301376"/>
    <w:rsid w:val="00301960"/>
    <w:rsid w:val="00302100"/>
    <w:rsid w:val="003031DF"/>
    <w:rsid w:val="00305386"/>
    <w:rsid w:val="00306382"/>
    <w:rsid w:val="0030776E"/>
    <w:rsid w:val="003079E6"/>
    <w:rsid w:val="00311F28"/>
    <w:rsid w:val="00313385"/>
    <w:rsid w:val="0031341F"/>
    <w:rsid w:val="003150E8"/>
    <w:rsid w:val="0031560A"/>
    <w:rsid w:val="00317A22"/>
    <w:rsid w:val="00320B4C"/>
    <w:rsid w:val="00321DD8"/>
    <w:rsid w:val="00322E7E"/>
    <w:rsid w:val="00323588"/>
    <w:rsid w:val="00324BA1"/>
    <w:rsid w:val="0033126E"/>
    <w:rsid w:val="00336AB5"/>
    <w:rsid w:val="00336AC7"/>
    <w:rsid w:val="003424A7"/>
    <w:rsid w:val="00344D22"/>
    <w:rsid w:val="003472A2"/>
    <w:rsid w:val="00347CD2"/>
    <w:rsid w:val="00350CC2"/>
    <w:rsid w:val="003513A1"/>
    <w:rsid w:val="003529C5"/>
    <w:rsid w:val="00352C03"/>
    <w:rsid w:val="00353BB4"/>
    <w:rsid w:val="00353BC4"/>
    <w:rsid w:val="003547D4"/>
    <w:rsid w:val="00355324"/>
    <w:rsid w:val="00357E07"/>
    <w:rsid w:val="00361AD4"/>
    <w:rsid w:val="00361FD5"/>
    <w:rsid w:val="003628EF"/>
    <w:rsid w:val="00362EC5"/>
    <w:rsid w:val="003639E2"/>
    <w:rsid w:val="0036451B"/>
    <w:rsid w:val="0036558B"/>
    <w:rsid w:val="00365816"/>
    <w:rsid w:val="00366384"/>
    <w:rsid w:val="00373467"/>
    <w:rsid w:val="00373DB0"/>
    <w:rsid w:val="00374B0C"/>
    <w:rsid w:val="003767D8"/>
    <w:rsid w:val="00377391"/>
    <w:rsid w:val="00382D8A"/>
    <w:rsid w:val="00384CE1"/>
    <w:rsid w:val="0038584B"/>
    <w:rsid w:val="003869BD"/>
    <w:rsid w:val="003871DF"/>
    <w:rsid w:val="003875D1"/>
    <w:rsid w:val="00387B22"/>
    <w:rsid w:val="003905F1"/>
    <w:rsid w:val="00391EAC"/>
    <w:rsid w:val="00392F61"/>
    <w:rsid w:val="0039326A"/>
    <w:rsid w:val="00395029"/>
    <w:rsid w:val="003966C1"/>
    <w:rsid w:val="003A2AE5"/>
    <w:rsid w:val="003A7B3A"/>
    <w:rsid w:val="003B1F27"/>
    <w:rsid w:val="003B238B"/>
    <w:rsid w:val="003B3D2B"/>
    <w:rsid w:val="003B43DF"/>
    <w:rsid w:val="003B650C"/>
    <w:rsid w:val="003B6689"/>
    <w:rsid w:val="003C1AE7"/>
    <w:rsid w:val="003C4B46"/>
    <w:rsid w:val="003C6066"/>
    <w:rsid w:val="003C6BCF"/>
    <w:rsid w:val="003C6CD4"/>
    <w:rsid w:val="003D1141"/>
    <w:rsid w:val="003D1678"/>
    <w:rsid w:val="003D16AF"/>
    <w:rsid w:val="003D371A"/>
    <w:rsid w:val="003D50FE"/>
    <w:rsid w:val="003D55F3"/>
    <w:rsid w:val="003D697D"/>
    <w:rsid w:val="003D7689"/>
    <w:rsid w:val="003E37A0"/>
    <w:rsid w:val="003E3F74"/>
    <w:rsid w:val="003E45DD"/>
    <w:rsid w:val="003E56F5"/>
    <w:rsid w:val="003F0497"/>
    <w:rsid w:val="003F0813"/>
    <w:rsid w:val="003F0D4E"/>
    <w:rsid w:val="003F0DC4"/>
    <w:rsid w:val="003F1E29"/>
    <w:rsid w:val="003F3E65"/>
    <w:rsid w:val="003F4925"/>
    <w:rsid w:val="003F7D59"/>
    <w:rsid w:val="0040299F"/>
    <w:rsid w:val="00407BFB"/>
    <w:rsid w:val="004138D6"/>
    <w:rsid w:val="00413A87"/>
    <w:rsid w:val="00415056"/>
    <w:rsid w:val="00422B0F"/>
    <w:rsid w:val="00424EA1"/>
    <w:rsid w:val="004263C8"/>
    <w:rsid w:val="00426FE3"/>
    <w:rsid w:val="004275EA"/>
    <w:rsid w:val="004275F3"/>
    <w:rsid w:val="004318CD"/>
    <w:rsid w:val="00431CD1"/>
    <w:rsid w:val="00434C91"/>
    <w:rsid w:val="004352E7"/>
    <w:rsid w:val="00437CE7"/>
    <w:rsid w:val="00440DE7"/>
    <w:rsid w:val="004415FA"/>
    <w:rsid w:val="00452CE1"/>
    <w:rsid w:val="00453C2A"/>
    <w:rsid w:val="004557A1"/>
    <w:rsid w:val="00456B08"/>
    <w:rsid w:val="00460B63"/>
    <w:rsid w:val="00460CFB"/>
    <w:rsid w:val="00460D2B"/>
    <w:rsid w:val="0046227F"/>
    <w:rsid w:val="00462ACB"/>
    <w:rsid w:val="00462C64"/>
    <w:rsid w:val="00464571"/>
    <w:rsid w:val="00467F49"/>
    <w:rsid w:val="00474204"/>
    <w:rsid w:val="0047579E"/>
    <w:rsid w:val="00475918"/>
    <w:rsid w:val="00476E26"/>
    <w:rsid w:val="004822BD"/>
    <w:rsid w:val="00484314"/>
    <w:rsid w:val="00484504"/>
    <w:rsid w:val="00493838"/>
    <w:rsid w:val="00495DFC"/>
    <w:rsid w:val="00496AE6"/>
    <w:rsid w:val="004A16E1"/>
    <w:rsid w:val="004A4118"/>
    <w:rsid w:val="004A4AE4"/>
    <w:rsid w:val="004A53AB"/>
    <w:rsid w:val="004A6C46"/>
    <w:rsid w:val="004B251E"/>
    <w:rsid w:val="004B439E"/>
    <w:rsid w:val="004B5A4B"/>
    <w:rsid w:val="004C10BE"/>
    <w:rsid w:val="004C2868"/>
    <w:rsid w:val="004C2941"/>
    <w:rsid w:val="004C5281"/>
    <w:rsid w:val="004D1DEB"/>
    <w:rsid w:val="004D48E1"/>
    <w:rsid w:val="004D6815"/>
    <w:rsid w:val="004D6DAE"/>
    <w:rsid w:val="004E4557"/>
    <w:rsid w:val="004E5399"/>
    <w:rsid w:val="004E546B"/>
    <w:rsid w:val="004E64B2"/>
    <w:rsid w:val="004F429E"/>
    <w:rsid w:val="004F4749"/>
    <w:rsid w:val="004F52A7"/>
    <w:rsid w:val="005017D2"/>
    <w:rsid w:val="00502138"/>
    <w:rsid w:val="00504294"/>
    <w:rsid w:val="005071AA"/>
    <w:rsid w:val="00511847"/>
    <w:rsid w:val="00511EA3"/>
    <w:rsid w:val="0051394E"/>
    <w:rsid w:val="00514A7D"/>
    <w:rsid w:val="00515A1E"/>
    <w:rsid w:val="00517A55"/>
    <w:rsid w:val="005202E3"/>
    <w:rsid w:val="005212FF"/>
    <w:rsid w:val="00521645"/>
    <w:rsid w:val="005248C7"/>
    <w:rsid w:val="00524C7C"/>
    <w:rsid w:val="005257E4"/>
    <w:rsid w:val="00531EB7"/>
    <w:rsid w:val="005348C6"/>
    <w:rsid w:val="005350C3"/>
    <w:rsid w:val="00535FB7"/>
    <w:rsid w:val="0054092B"/>
    <w:rsid w:val="00540BD1"/>
    <w:rsid w:val="00542969"/>
    <w:rsid w:val="005429CC"/>
    <w:rsid w:val="00543ED5"/>
    <w:rsid w:val="00547DD9"/>
    <w:rsid w:val="00552F6A"/>
    <w:rsid w:val="00557278"/>
    <w:rsid w:val="0056023E"/>
    <w:rsid w:val="00563B28"/>
    <w:rsid w:val="005646E6"/>
    <w:rsid w:val="00565C7B"/>
    <w:rsid w:val="00570613"/>
    <w:rsid w:val="005714FC"/>
    <w:rsid w:val="00571D5F"/>
    <w:rsid w:val="00577195"/>
    <w:rsid w:val="00580524"/>
    <w:rsid w:val="00584C5A"/>
    <w:rsid w:val="005863F8"/>
    <w:rsid w:val="0059101C"/>
    <w:rsid w:val="00591AFC"/>
    <w:rsid w:val="00597989"/>
    <w:rsid w:val="005A3791"/>
    <w:rsid w:val="005A42DB"/>
    <w:rsid w:val="005A457A"/>
    <w:rsid w:val="005A716D"/>
    <w:rsid w:val="005A73C6"/>
    <w:rsid w:val="005B0DF6"/>
    <w:rsid w:val="005C0A7B"/>
    <w:rsid w:val="005C1FF5"/>
    <w:rsid w:val="005C5D90"/>
    <w:rsid w:val="005C689A"/>
    <w:rsid w:val="005C6A9F"/>
    <w:rsid w:val="005D0BDD"/>
    <w:rsid w:val="005D0C1B"/>
    <w:rsid w:val="005D119A"/>
    <w:rsid w:val="005D17AC"/>
    <w:rsid w:val="005D270B"/>
    <w:rsid w:val="005D4A92"/>
    <w:rsid w:val="005E26F2"/>
    <w:rsid w:val="005E3B3F"/>
    <w:rsid w:val="005E41BE"/>
    <w:rsid w:val="005E44AF"/>
    <w:rsid w:val="005E46B3"/>
    <w:rsid w:val="005E4C6F"/>
    <w:rsid w:val="005E63D3"/>
    <w:rsid w:val="005E701B"/>
    <w:rsid w:val="005F03C6"/>
    <w:rsid w:val="005F1C7F"/>
    <w:rsid w:val="005F2596"/>
    <w:rsid w:val="005F305E"/>
    <w:rsid w:val="005F4FC2"/>
    <w:rsid w:val="005F5CF6"/>
    <w:rsid w:val="005F628F"/>
    <w:rsid w:val="005F6B90"/>
    <w:rsid w:val="00600F04"/>
    <w:rsid w:val="006031B1"/>
    <w:rsid w:val="00603DC1"/>
    <w:rsid w:val="00606782"/>
    <w:rsid w:val="006114F5"/>
    <w:rsid w:val="00612EB7"/>
    <w:rsid w:val="006168EE"/>
    <w:rsid w:val="00616F53"/>
    <w:rsid w:val="0062040F"/>
    <w:rsid w:val="006233A4"/>
    <w:rsid w:val="00625550"/>
    <w:rsid w:val="006269A6"/>
    <w:rsid w:val="006269E1"/>
    <w:rsid w:val="00630513"/>
    <w:rsid w:val="0063235B"/>
    <w:rsid w:val="00633CFB"/>
    <w:rsid w:val="006359A7"/>
    <w:rsid w:val="00636133"/>
    <w:rsid w:val="00636911"/>
    <w:rsid w:val="00642C06"/>
    <w:rsid w:val="00647774"/>
    <w:rsid w:val="00651B82"/>
    <w:rsid w:val="006529D7"/>
    <w:rsid w:val="00652D5E"/>
    <w:rsid w:val="00657375"/>
    <w:rsid w:val="00660736"/>
    <w:rsid w:val="0066331B"/>
    <w:rsid w:val="00664031"/>
    <w:rsid w:val="0066415D"/>
    <w:rsid w:val="0067053E"/>
    <w:rsid w:val="00673A70"/>
    <w:rsid w:val="006772BE"/>
    <w:rsid w:val="00677A20"/>
    <w:rsid w:val="006823DE"/>
    <w:rsid w:val="00682870"/>
    <w:rsid w:val="00682AB4"/>
    <w:rsid w:val="00686CCD"/>
    <w:rsid w:val="00687754"/>
    <w:rsid w:val="00687BB4"/>
    <w:rsid w:val="00690BF3"/>
    <w:rsid w:val="00692293"/>
    <w:rsid w:val="00693C46"/>
    <w:rsid w:val="00693E10"/>
    <w:rsid w:val="00694BC2"/>
    <w:rsid w:val="00696EF5"/>
    <w:rsid w:val="006A16A2"/>
    <w:rsid w:val="006A1DA8"/>
    <w:rsid w:val="006A4A81"/>
    <w:rsid w:val="006B2270"/>
    <w:rsid w:val="006B36FA"/>
    <w:rsid w:val="006B78F2"/>
    <w:rsid w:val="006C12A3"/>
    <w:rsid w:val="006C5439"/>
    <w:rsid w:val="006D7F18"/>
    <w:rsid w:val="006E1E9D"/>
    <w:rsid w:val="006E381B"/>
    <w:rsid w:val="006E4ACC"/>
    <w:rsid w:val="006E5146"/>
    <w:rsid w:val="006E6496"/>
    <w:rsid w:val="006F0222"/>
    <w:rsid w:val="006F1290"/>
    <w:rsid w:val="006F13DA"/>
    <w:rsid w:val="006F1E18"/>
    <w:rsid w:val="006F2D0B"/>
    <w:rsid w:val="006F70EB"/>
    <w:rsid w:val="0070030B"/>
    <w:rsid w:val="007009F2"/>
    <w:rsid w:val="00700CDD"/>
    <w:rsid w:val="007011C5"/>
    <w:rsid w:val="007026E6"/>
    <w:rsid w:val="00704953"/>
    <w:rsid w:val="007072B2"/>
    <w:rsid w:val="007075BF"/>
    <w:rsid w:val="00710A85"/>
    <w:rsid w:val="0071319A"/>
    <w:rsid w:val="00714C55"/>
    <w:rsid w:val="0071543C"/>
    <w:rsid w:val="00715ED9"/>
    <w:rsid w:val="00716886"/>
    <w:rsid w:val="007301B8"/>
    <w:rsid w:val="00730CB1"/>
    <w:rsid w:val="007312B3"/>
    <w:rsid w:val="0073543C"/>
    <w:rsid w:val="007402A8"/>
    <w:rsid w:val="00745749"/>
    <w:rsid w:val="00746900"/>
    <w:rsid w:val="00746DA6"/>
    <w:rsid w:val="007474AB"/>
    <w:rsid w:val="007500C0"/>
    <w:rsid w:val="00751C1A"/>
    <w:rsid w:val="00754B58"/>
    <w:rsid w:val="00760F34"/>
    <w:rsid w:val="00764AD5"/>
    <w:rsid w:val="00770068"/>
    <w:rsid w:val="007715E5"/>
    <w:rsid w:val="00773B21"/>
    <w:rsid w:val="00774A3A"/>
    <w:rsid w:val="007772CC"/>
    <w:rsid w:val="007775CD"/>
    <w:rsid w:val="00777657"/>
    <w:rsid w:val="007777D3"/>
    <w:rsid w:val="00781218"/>
    <w:rsid w:val="007821F8"/>
    <w:rsid w:val="00787C16"/>
    <w:rsid w:val="00792AC0"/>
    <w:rsid w:val="00793A19"/>
    <w:rsid w:val="00794C33"/>
    <w:rsid w:val="007A00D4"/>
    <w:rsid w:val="007A01E1"/>
    <w:rsid w:val="007A2D51"/>
    <w:rsid w:val="007A2E5E"/>
    <w:rsid w:val="007A7484"/>
    <w:rsid w:val="007A7E52"/>
    <w:rsid w:val="007B1C3E"/>
    <w:rsid w:val="007B4A7F"/>
    <w:rsid w:val="007C0A33"/>
    <w:rsid w:val="007C1D2F"/>
    <w:rsid w:val="007C2E2D"/>
    <w:rsid w:val="007C3F88"/>
    <w:rsid w:val="007C51AD"/>
    <w:rsid w:val="007D19D9"/>
    <w:rsid w:val="007D20A5"/>
    <w:rsid w:val="007D2F4D"/>
    <w:rsid w:val="007D3371"/>
    <w:rsid w:val="007D6739"/>
    <w:rsid w:val="007E0072"/>
    <w:rsid w:val="007E4FF3"/>
    <w:rsid w:val="007E738A"/>
    <w:rsid w:val="007F0D5D"/>
    <w:rsid w:val="007F20A4"/>
    <w:rsid w:val="007F3C5D"/>
    <w:rsid w:val="007F3F22"/>
    <w:rsid w:val="00801A6A"/>
    <w:rsid w:val="00802D40"/>
    <w:rsid w:val="008031F6"/>
    <w:rsid w:val="00803FCF"/>
    <w:rsid w:val="00810721"/>
    <w:rsid w:val="00810ED7"/>
    <w:rsid w:val="008114CF"/>
    <w:rsid w:val="00815992"/>
    <w:rsid w:val="00815DB0"/>
    <w:rsid w:val="008163ED"/>
    <w:rsid w:val="00821654"/>
    <w:rsid w:val="0082352E"/>
    <w:rsid w:val="00823C69"/>
    <w:rsid w:val="0082466D"/>
    <w:rsid w:val="008325F5"/>
    <w:rsid w:val="00837A98"/>
    <w:rsid w:val="00837C5D"/>
    <w:rsid w:val="00842265"/>
    <w:rsid w:val="00844746"/>
    <w:rsid w:val="00847E5C"/>
    <w:rsid w:val="00852365"/>
    <w:rsid w:val="00852530"/>
    <w:rsid w:val="008526B9"/>
    <w:rsid w:val="008535D6"/>
    <w:rsid w:val="008570E3"/>
    <w:rsid w:val="00857C51"/>
    <w:rsid w:val="00857E71"/>
    <w:rsid w:val="00861983"/>
    <w:rsid w:val="00862280"/>
    <w:rsid w:val="00863AD1"/>
    <w:rsid w:val="00874499"/>
    <w:rsid w:val="00874F7C"/>
    <w:rsid w:val="0087530C"/>
    <w:rsid w:val="00876255"/>
    <w:rsid w:val="00876859"/>
    <w:rsid w:val="00880D30"/>
    <w:rsid w:val="00881715"/>
    <w:rsid w:val="00882BFC"/>
    <w:rsid w:val="00883CB1"/>
    <w:rsid w:val="008841EE"/>
    <w:rsid w:val="00887AF7"/>
    <w:rsid w:val="00887E6C"/>
    <w:rsid w:val="0089047A"/>
    <w:rsid w:val="0089127F"/>
    <w:rsid w:val="008912D7"/>
    <w:rsid w:val="00891821"/>
    <w:rsid w:val="0089275D"/>
    <w:rsid w:val="008930A9"/>
    <w:rsid w:val="00896A65"/>
    <w:rsid w:val="008A02FC"/>
    <w:rsid w:val="008A16F0"/>
    <w:rsid w:val="008A32A7"/>
    <w:rsid w:val="008A6442"/>
    <w:rsid w:val="008A64F7"/>
    <w:rsid w:val="008A67C9"/>
    <w:rsid w:val="008B5065"/>
    <w:rsid w:val="008B511B"/>
    <w:rsid w:val="008B643E"/>
    <w:rsid w:val="008C0356"/>
    <w:rsid w:val="008C11EE"/>
    <w:rsid w:val="008C1932"/>
    <w:rsid w:val="008C5CE3"/>
    <w:rsid w:val="008C6D4A"/>
    <w:rsid w:val="008C7FBF"/>
    <w:rsid w:val="008D0107"/>
    <w:rsid w:val="008D3069"/>
    <w:rsid w:val="008D369E"/>
    <w:rsid w:val="008F0DDE"/>
    <w:rsid w:val="008F441F"/>
    <w:rsid w:val="008F45C4"/>
    <w:rsid w:val="008F48FC"/>
    <w:rsid w:val="008F4F75"/>
    <w:rsid w:val="008F733C"/>
    <w:rsid w:val="0090153F"/>
    <w:rsid w:val="00905607"/>
    <w:rsid w:val="00907E31"/>
    <w:rsid w:val="00915302"/>
    <w:rsid w:val="009163D8"/>
    <w:rsid w:val="00916B11"/>
    <w:rsid w:val="009175C3"/>
    <w:rsid w:val="009213E4"/>
    <w:rsid w:val="00922323"/>
    <w:rsid w:val="00922615"/>
    <w:rsid w:val="009229BC"/>
    <w:rsid w:val="009236BC"/>
    <w:rsid w:val="009263A0"/>
    <w:rsid w:val="00933B22"/>
    <w:rsid w:val="00933DD1"/>
    <w:rsid w:val="00934162"/>
    <w:rsid w:val="009378D0"/>
    <w:rsid w:val="00937B2E"/>
    <w:rsid w:val="009477A0"/>
    <w:rsid w:val="009503AC"/>
    <w:rsid w:val="00950D57"/>
    <w:rsid w:val="00953AF3"/>
    <w:rsid w:val="00956884"/>
    <w:rsid w:val="009575BE"/>
    <w:rsid w:val="009608C6"/>
    <w:rsid w:val="00964B94"/>
    <w:rsid w:val="009656F8"/>
    <w:rsid w:val="009736EF"/>
    <w:rsid w:val="0097415B"/>
    <w:rsid w:val="00977397"/>
    <w:rsid w:val="00977E35"/>
    <w:rsid w:val="00980830"/>
    <w:rsid w:val="00983430"/>
    <w:rsid w:val="00986539"/>
    <w:rsid w:val="009919E5"/>
    <w:rsid w:val="0099273F"/>
    <w:rsid w:val="00994D56"/>
    <w:rsid w:val="00995B55"/>
    <w:rsid w:val="00995B75"/>
    <w:rsid w:val="009A17A4"/>
    <w:rsid w:val="009A468A"/>
    <w:rsid w:val="009A5630"/>
    <w:rsid w:val="009A6BCA"/>
    <w:rsid w:val="009B053E"/>
    <w:rsid w:val="009B0C3D"/>
    <w:rsid w:val="009B12A6"/>
    <w:rsid w:val="009B1C74"/>
    <w:rsid w:val="009B2C0F"/>
    <w:rsid w:val="009B3139"/>
    <w:rsid w:val="009B3504"/>
    <w:rsid w:val="009B5F86"/>
    <w:rsid w:val="009B781E"/>
    <w:rsid w:val="009B7C42"/>
    <w:rsid w:val="009C34DB"/>
    <w:rsid w:val="009D2EF4"/>
    <w:rsid w:val="009D63E5"/>
    <w:rsid w:val="009E04D3"/>
    <w:rsid w:val="009E0DFD"/>
    <w:rsid w:val="009E75B6"/>
    <w:rsid w:val="009F208C"/>
    <w:rsid w:val="009F34EC"/>
    <w:rsid w:val="00A016F1"/>
    <w:rsid w:val="00A0261D"/>
    <w:rsid w:val="00A02973"/>
    <w:rsid w:val="00A15EA3"/>
    <w:rsid w:val="00A1638A"/>
    <w:rsid w:val="00A16F0E"/>
    <w:rsid w:val="00A16F39"/>
    <w:rsid w:val="00A17046"/>
    <w:rsid w:val="00A2586F"/>
    <w:rsid w:val="00A3351A"/>
    <w:rsid w:val="00A361AE"/>
    <w:rsid w:val="00A42B82"/>
    <w:rsid w:val="00A43676"/>
    <w:rsid w:val="00A4719A"/>
    <w:rsid w:val="00A5010A"/>
    <w:rsid w:val="00A51BDB"/>
    <w:rsid w:val="00A52501"/>
    <w:rsid w:val="00A54D8E"/>
    <w:rsid w:val="00A60C36"/>
    <w:rsid w:val="00A61E7A"/>
    <w:rsid w:val="00A62832"/>
    <w:rsid w:val="00A62FA4"/>
    <w:rsid w:val="00A63CC8"/>
    <w:rsid w:val="00A6411A"/>
    <w:rsid w:val="00A66919"/>
    <w:rsid w:val="00A715E6"/>
    <w:rsid w:val="00A720A2"/>
    <w:rsid w:val="00A726B4"/>
    <w:rsid w:val="00A73420"/>
    <w:rsid w:val="00A740C7"/>
    <w:rsid w:val="00A81269"/>
    <w:rsid w:val="00A84D3E"/>
    <w:rsid w:val="00A856E8"/>
    <w:rsid w:val="00A871ED"/>
    <w:rsid w:val="00A874FA"/>
    <w:rsid w:val="00A91124"/>
    <w:rsid w:val="00A91287"/>
    <w:rsid w:val="00A9441A"/>
    <w:rsid w:val="00A9684D"/>
    <w:rsid w:val="00A96DD3"/>
    <w:rsid w:val="00A972E6"/>
    <w:rsid w:val="00AA122D"/>
    <w:rsid w:val="00AA1865"/>
    <w:rsid w:val="00AA4977"/>
    <w:rsid w:val="00AA6680"/>
    <w:rsid w:val="00AA7C80"/>
    <w:rsid w:val="00AB27D0"/>
    <w:rsid w:val="00AB4CB4"/>
    <w:rsid w:val="00AB57C1"/>
    <w:rsid w:val="00AB7D75"/>
    <w:rsid w:val="00AB7E7E"/>
    <w:rsid w:val="00AC203C"/>
    <w:rsid w:val="00AC2744"/>
    <w:rsid w:val="00AC2A09"/>
    <w:rsid w:val="00AC59F4"/>
    <w:rsid w:val="00AC6F6B"/>
    <w:rsid w:val="00AD08BF"/>
    <w:rsid w:val="00AD1876"/>
    <w:rsid w:val="00AD20DF"/>
    <w:rsid w:val="00AD44A9"/>
    <w:rsid w:val="00AD45FD"/>
    <w:rsid w:val="00AD4BF5"/>
    <w:rsid w:val="00AD5899"/>
    <w:rsid w:val="00AD61C5"/>
    <w:rsid w:val="00AD7466"/>
    <w:rsid w:val="00AE1676"/>
    <w:rsid w:val="00AE2D40"/>
    <w:rsid w:val="00AE2E94"/>
    <w:rsid w:val="00AE66DA"/>
    <w:rsid w:val="00AF6572"/>
    <w:rsid w:val="00AF6E1D"/>
    <w:rsid w:val="00AF712F"/>
    <w:rsid w:val="00AF7AEE"/>
    <w:rsid w:val="00AF7E39"/>
    <w:rsid w:val="00B01522"/>
    <w:rsid w:val="00B01853"/>
    <w:rsid w:val="00B02F5F"/>
    <w:rsid w:val="00B04877"/>
    <w:rsid w:val="00B05419"/>
    <w:rsid w:val="00B16664"/>
    <w:rsid w:val="00B16F78"/>
    <w:rsid w:val="00B203A4"/>
    <w:rsid w:val="00B21F99"/>
    <w:rsid w:val="00B24B75"/>
    <w:rsid w:val="00B255A0"/>
    <w:rsid w:val="00B25E9D"/>
    <w:rsid w:val="00B26733"/>
    <w:rsid w:val="00B277BB"/>
    <w:rsid w:val="00B30B4B"/>
    <w:rsid w:val="00B31A2F"/>
    <w:rsid w:val="00B34681"/>
    <w:rsid w:val="00B36301"/>
    <w:rsid w:val="00B36AC2"/>
    <w:rsid w:val="00B3789A"/>
    <w:rsid w:val="00B4156B"/>
    <w:rsid w:val="00B43933"/>
    <w:rsid w:val="00B44DAE"/>
    <w:rsid w:val="00B45D49"/>
    <w:rsid w:val="00B51623"/>
    <w:rsid w:val="00B524A9"/>
    <w:rsid w:val="00B53C0F"/>
    <w:rsid w:val="00B54C81"/>
    <w:rsid w:val="00B57E8C"/>
    <w:rsid w:val="00B60DC7"/>
    <w:rsid w:val="00B62895"/>
    <w:rsid w:val="00B66C6F"/>
    <w:rsid w:val="00B67661"/>
    <w:rsid w:val="00B70FAC"/>
    <w:rsid w:val="00B71A52"/>
    <w:rsid w:val="00B74132"/>
    <w:rsid w:val="00B760E0"/>
    <w:rsid w:val="00B76B5F"/>
    <w:rsid w:val="00B77AEE"/>
    <w:rsid w:val="00B82484"/>
    <w:rsid w:val="00B83746"/>
    <w:rsid w:val="00B84A56"/>
    <w:rsid w:val="00B90A13"/>
    <w:rsid w:val="00B91A57"/>
    <w:rsid w:val="00B94797"/>
    <w:rsid w:val="00B957E9"/>
    <w:rsid w:val="00B95A04"/>
    <w:rsid w:val="00B9761E"/>
    <w:rsid w:val="00BA48F5"/>
    <w:rsid w:val="00BA4922"/>
    <w:rsid w:val="00BA5BA5"/>
    <w:rsid w:val="00BA6C53"/>
    <w:rsid w:val="00BA74D1"/>
    <w:rsid w:val="00BB08EC"/>
    <w:rsid w:val="00BB260B"/>
    <w:rsid w:val="00BB345D"/>
    <w:rsid w:val="00BB5A1B"/>
    <w:rsid w:val="00BB785D"/>
    <w:rsid w:val="00BC1F60"/>
    <w:rsid w:val="00BC67EA"/>
    <w:rsid w:val="00BD0D2C"/>
    <w:rsid w:val="00BD3417"/>
    <w:rsid w:val="00BD6CD8"/>
    <w:rsid w:val="00BE1442"/>
    <w:rsid w:val="00BE4828"/>
    <w:rsid w:val="00BE5044"/>
    <w:rsid w:val="00BE67F0"/>
    <w:rsid w:val="00BE70C6"/>
    <w:rsid w:val="00BF0DAB"/>
    <w:rsid w:val="00BF1962"/>
    <w:rsid w:val="00BF27FF"/>
    <w:rsid w:val="00BF2CBA"/>
    <w:rsid w:val="00BF3E39"/>
    <w:rsid w:val="00BF60C6"/>
    <w:rsid w:val="00BF6EA4"/>
    <w:rsid w:val="00BF7827"/>
    <w:rsid w:val="00C00BD1"/>
    <w:rsid w:val="00C011D0"/>
    <w:rsid w:val="00C022A1"/>
    <w:rsid w:val="00C05950"/>
    <w:rsid w:val="00C10C9F"/>
    <w:rsid w:val="00C11A4C"/>
    <w:rsid w:val="00C131BF"/>
    <w:rsid w:val="00C21838"/>
    <w:rsid w:val="00C232EB"/>
    <w:rsid w:val="00C2351A"/>
    <w:rsid w:val="00C23527"/>
    <w:rsid w:val="00C25350"/>
    <w:rsid w:val="00C30360"/>
    <w:rsid w:val="00C3151D"/>
    <w:rsid w:val="00C34143"/>
    <w:rsid w:val="00C35083"/>
    <w:rsid w:val="00C35142"/>
    <w:rsid w:val="00C35A49"/>
    <w:rsid w:val="00C35F53"/>
    <w:rsid w:val="00C3647E"/>
    <w:rsid w:val="00C37148"/>
    <w:rsid w:val="00C37858"/>
    <w:rsid w:val="00C405A0"/>
    <w:rsid w:val="00C43CBA"/>
    <w:rsid w:val="00C46D5B"/>
    <w:rsid w:val="00C50326"/>
    <w:rsid w:val="00C50E70"/>
    <w:rsid w:val="00C515E4"/>
    <w:rsid w:val="00C51921"/>
    <w:rsid w:val="00C54252"/>
    <w:rsid w:val="00C565F3"/>
    <w:rsid w:val="00C56F3B"/>
    <w:rsid w:val="00C5748A"/>
    <w:rsid w:val="00C62318"/>
    <w:rsid w:val="00C7037B"/>
    <w:rsid w:val="00C7443C"/>
    <w:rsid w:val="00C7470C"/>
    <w:rsid w:val="00C74AFF"/>
    <w:rsid w:val="00C74F0D"/>
    <w:rsid w:val="00C75F4B"/>
    <w:rsid w:val="00C80120"/>
    <w:rsid w:val="00C80A45"/>
    <w:rsid w:val="00C83081"/>
    <w:rsid w:val="00C8590C"/>
    <w:rsid w:val="00C866CA"/>
    <w:rsid w:val="00C870F4"/>
    <w:rsid w:val="00C90591"/>
    <w:rsid w:val="00C913EE"/>
    <w:rsid w:val="00C928B3"/>
    <w:rsid w:val="00C94D38"/>
    <w:rsid w:val="00C95690"/>
    <w:rsid w:val="00C95707"/>
    <w:rsid w:val="00CA1F00"/>
    <w:rsid w:val="00CA2F0D"/>
    <w:rsid w:val="00CA3343"/>
    <w:rsid w:val="00CA3872"/>
    <w:rsid w:val="00CA65F8"/>
    <w:rsid w:val="00CA6722"/>
    <w:rsid w:val="00CB1962"/>
    <w:rsid w:val="00CC0E71"/>
    <w:rsid w:val="00CC48A0"/>
    <w:rsid w:val="00CC6AAA"/>
    <w:rsid w:val="00CD161D"/>
    <w:rsid w:val="00CD3BAF"/>
    <w:rsid w:val="00CD4F9C"/>
    <w:rsid w:val="00CD5698"/>
    <w:rsid w:val="00CD599C"/>
    <w:rsid w:val="00CD5CC2"/>
    <w:rsid w:val="00CE1EEB"/>
    <w:rsid w:val="00CE3465"/>
    <w:rsid w:val="00CE3E31"/>
    <w:rsid w:val="00CF3F61"/>
    <w:rsid w:val="00CF6C4F"/>
    <w:rsid w:val="00CF6D14"/>
    <w:rsid w:val="00D0147E"/>
    <w:rsid w:val="00D03EFF"/>
    <w:rsid w:val="00D064BD"/>
    <w:rsid w:val="00D06E74"/>
    <w:rsid w:val="00D136A7"/>
    <w:rsid w:val="00D1370B"/>
    <w:rsid w:val="00D20DD3"/>
    <w:rsid w:val="00D233AE"/>
    <w:rsid w:val="00D27F6E"/>
    <w:rsid w:val="00D323B0"/>
    <w:rsid w:val="00D34AD1"/>
    <w:rsid w:val="00D40920"/>
    <w:rsid w:val="00D41AA2"/>
    <w:rsid w:val="00D42A4C"/>
    <w:rsid w:val="00D42AD8"/>
    <w:rsid w:val="00D44C57"/>
    <w:rsid w:val="00D451C7"/>
    <w:rsid w:val="00D5180D"/>
    <w:rsid w:val="00D53556"/>
    <w:rsid w:val="00D53CF7"/>
    <w:rsid w:val="00D541C5"/>
    <w:rsid w:val="00D551B8"/>
    <w:rsid w:val="00D55445"/>
    <w:rsid w:val="00D55AF4"/>
    <w:rsid w:val="00D55FC4"/>
    <w:rsid w:val="00D56C72"/>
    <w:rsid w:val="00D57D8C"/>
    <w:rsid w:val="00D61241"/>
    <w:rsid w:val="00D612E7"/>
    <w:rsid w:val="00D63C5C"/>
    <w:rsid w:val="00D65663"/>
    <w:rsid w:val="00D67F0B"/>
    <w:rsid w:val="00D70BA9"/>
    <w:rsid w:val="00D72D72"/>
    <w:rsid w:val="00D742F5"/>
    <w:rsid w:val="00D74524"/>
    <w:rsid w:val="00D75437"/>
    <w:rsid w:val="00D759DD"/>
    <w:rsid w:val="00D8179F"/>
    <w:rsid w:val="00D81AD2"/>
    <w:rsid w:val="00D81D0F"/>
    <w:rsid w:val="00D81E86"/>
    <w:rsid w:val="00D81F35"/>
    <w:rsid w:val="00D82DE5"/>
    <w:rsid w:val="00D834EC"/>
    <w:rsid w:val="00D84EF4"/>
    <w:rsid w:val="00D87A6D"/>
    <w:rsid w:val="00D92270"/>
    <w:rsid w:val="00D959AC"/>
    <w:rsid w:val="00D95C3F"/>
    <w:rsid w:val="00D96DBA"/>
    <w:rsid w:val="00D9754C"/>
    <w:rsid w:val="00DA0D5F"/>
    <w:rsid w:val="00DA349C"/>
    <w:rsid w:val="00DA3E9A"/>
    <w:rsid w:val="00DA70BC"/>
    <w:rsid w:val="00DB3EA0"/>
    <w:rsid w:val="00DB77F3"/>
    <w:rsid w:val="00DC00CA"/>
    <w:rsid w:val="00DC2232"/>
    <w:rsid w:val="00DC2AAB"/>
    <w:rsid w:val="00DC2DF4"/>
    <w:rsid w:val="00DD02DD"/>
    <w:rsid w:val="00DD0987"/>
    <w:rsid w:val="00DD123B"/>
    <w:rsid w:val="00DD1A8E"/>
    <w:rsid w:val="00DD554F"/>
    <w:rsid w:val="00DD7BF7"/>
    <w:rsid w:val="00DE0003"/>
    <w:rsid w:val="00DE0888"/>
    <w:rsid w:val="00DE1605"/>
    <w:rsid w:val="00DE1A00"/>
    <w:rsid w:val="00DE36A8"/>
    <w:rsid w:val="00DE446C"/>
    <w:rsid w:val="00DE6B03"/>
    <w:rsid w:val="00DF11E4"/>
    <w:rsid w:val="00DF1CF3"/>
    <w:rsid w:val="00DF4A97"/>
    <w:rsid w:val="00DF64F2"/>
    <w:rsid w:val="00E01F79"/>
    <w:rsid w:val="00E03342"/>
    <w:rsid w:val="00E03401"/>
    <w:rsid w:val="00E04DCD"/>
    <w:rsid w:val="00E0580B"/>
    <w:rsid w:val="00E05D49"/>
    <w:rsid w:val="00E112A2"/>
    <w:rsid w:val="00E1141F"/>
    <w:rsid w:val="00E120C5"/>
    <w:rsid w:val="00E12188"/>
    <w:rsid w:val="00E150D3"/>
    <w:rsid w:val="00E1597D"/>
    <w:rsid w:val="00E16FC7"/>
    <w:rsid w:val="00E1728E"/>
    <w:rsid w:val="00E21F7F"/>
    <w:rsid w:val="00E30EE6"/>
    <w:rsid w:val="00E3127C"/>
    <w:rsid w:val="00E32A37"/>
    <w:rsid w:val="00E360DC"/>
    <w:rsid w:val="00E36A7F"/>
    <w:rsid w:val="00E44682"/>
    <w:rsid w:val="00E46C9F"/>
    <w:rsid w:val="00E519AA"/>
    <w:rsid w:val="00E5310E"/>
    <w:rsid w:val="00E55F53"/>
    <w:rsid w:val="00E62DFF"/>
    <w:rsid w:val="00E63A56"/>
    <w:rsid w:val="00E63DA2"/>
    <w:rsid w:val="00E64C53"/>
    <w:rsid w:val="00E66C57"/>
    <w:rsid w:val="00E67AA7"/>
    <w:rsid w:val="00E716AF"/>
    <w:rsid w:val="00E7224D"/>
    <w:rsid w:val="00E73A5E"/>
    <w:rsid w:val="00E754EB"/>
    <w:rsid w:val="00E779AC"/>
    <w:rsid w:val="00E81AA9"/>
    <w:rsid w:val="00E81C43"/>
    <w:rsid w:val="00E82137"/>
    <w:rsid w:val="00E8230B"/>
    <w:rsid w:val="00E82D78"/>
    <w:rsid w:val="00E907BB"/>
    <w:rsid w:val="00E90C0B"/>
    <w:rsid w:val="00E94B4C"/>
    <w:rsid w:val="00E959A4"/>
    <w:rsid w:val="00EA0792"/>
    <w:rsid w:val="00EA1472"/>
    <w:rsid w:val="00EA1DFE"/>
    <w:rsid w:val="00EA29D1"/>
    <w:rsid w:val="00EA29EA"/>
    <w:rsid w:val="00EA5699"/>
    <w:rsid w:val="00EA671A"/>
    <w:rsid w:val="00EA7AA6"/>
    <w:rsid w:val="00EB08B2"/>
    <w:rsid w:val="00EB0BCF"/>
    <w:rsid w:val="00EB49D7"/>
    <w:rsid w:val="00EB6BBC"/>
    <w:rsid w:val="00EB6CC4"/>
    <w:rsid w:val="00EC0C79"/>
    <w:rsid w:val="00EC121D"/>
    <w:rsid w:val="00EC3DE9"/>
    <w:rsid w:val="00EC47CB"/>
    <w:rsid w:val="00ED1B2B"/>
    <w:rsid w:val="00ED1BD9"/>
    <w:rsid w:val="00ED1E5D"/>
    <w:rsid w:val="00ED2366"/>
    <w:rsid w:val="00ED4EAE"/>
    <w:rsid w:val="00ED548D"/>
    <w:rsid w:val="00EE11DA"/>
    <w:rsid w:val="00EE1E6E"/>
    <w:rsid w:val="00EE66DC"/>
    <w:rsid w:val="00EF22B7"/>
    <w:rsid w:val="00EF315D"/>
    <w:rsid w:val="00EF414D"/>
    <w:rsid w:val="00EF5C4B"/>
    <w:rsid w:val="00F01569"/>
    <w:rsid w:val="00F05299"/>
    <w:rsid w:val="00F0543F"/>
    <w:rsid w:val="00F103D9"/>
    <w:rsid w:val="00F10A60"/>
    <w:rsid w:val="00F13D73"/>
    <w:rsid w:val="00F15B81"/>
    <w:rsid w:val="00F1633B"/>
    <w:rsid w:val="00F16D44"/>
    <w:rsid w:val="00F20FAC"/>
    <w:rsid w:val="00F22ACD"/>
    <w:rsid w:val="00F22F33"/>
    <w:rsid w:val="00F24096"/>
    <w:rsid w:val="00F24AE3"/>
    <w:rsid w:val="00F25210"/>
    <w:rsid w:val="00F261F5"/>
    <w:rsid w:val="00F32107"/>
    <w:rsid w:val="00F32718"/>
    <w:rsid w:val="00F33843"/>
    <w:rsid w:val="00F33F09"/>
    <w:rsid w:val="00F363E0"/>
    <w:rsid w:val="00F3778B"/>
    <w:rsid w:val="00F40179"/>
    <w:rsid w:val="00F402AC"/>
    <w:rsid w:val="00F417A6"/>
    <w:rsid w:val="00F43F95"/>
    <w:rsid w:val="00F45F80"/>
    <w:rsid w:val="00F46F8F"/>
    <w:rsid w:val="00F479CD"/>
    <w:rsid w:val="00F52B4C"/>
    <w:rsid w:val="00F57AC5"/>
    <w:rsid w:val="00F65C8A"/>
    <w:rsid w:val="00F7082D"/>
    <w:rsid w:val="00F729B7"/>
    <w:rsid w:val="00F7301C"/>
    <w:rsid w:val="00F73D98"/>
    <w:rsid w:val="00F7402C"/>
    <w:rsid w:val="00F74192"/>
    <w:rsid w:val="00F75AAE"/>
    <w:rsid w:val="00F77886"/>
    <w:rsid w:val="00F829F5"/>
    <w:rsid w:val="00F83D80"/>
    <w:rsid w:val="00F84D61"/>
    <w:rsid w:val="00F84EF0"/>
    <w:rsid w:val="00F86E11"/>
    <w:rsid w:val="00F900E9"/>
    <w:rsid w:val="00F900F0"/>
    <w:rsid w:val="00F90544"/>
    <w:rsid w:val="00F93014"/>
    <w:rsid w:val="00F93442"/>
    <w:rsid w:val="00F93AC0"/>
    <w:rsid w:val="00F94522"/>
    <w:rsid w:val="00F94679"/>
    <w:rsid w:val="00F94B19"/>
    <w:rsid w:val="00F95343"/>
    <w:rsid w:val="00F95FD3"/>
    <w:rsid w:val="00F96E6D"/>
    <w:rsid w:val="00F97414"/>
    <w:rsid w:val="00F97AD6"/>
    <w:rsid w:val="00FA090A"/>
    <w:rsid w:val="00FA1589"/>
    <w:rsid w:val="00FA2072"/>
    <w:rsid w:val="00FA27F8"/>
    <w:rsid w:val="00FA2DCC"/>
    <w:rsid w:val="00FA52DF"/>
    <w:rsid w:val="00FA5F33"/>
    <w:rsid w:val="00FA777B"/>
    <w:rsid w:val="00FB0B72"/>
    <w:rsid w:val="00FB25CE"/>
    <w:rsid w:val="00FB28D2"/>
    <w:rsid w:val="00FB3ADD"/>
    <w:rsid w:val="00FB59F4"/>
    <w:rsid w:val="00FB67F1"/>
    <w:rsid w:val="00FC06FB"/>
    <w:rsid w:val="00FC23E0"/>
    <w:rsid w:val="00FC2AAC"/>
    <w:rsid w:val="00FC6BC4"/>
    <w:rsid w:val="00FD09CE"/>
    <w:rsid w:val="00FD50FA"/>
    <w:rsid w:val="00FE0144"/>
    <w:rsid w:val="00FE0499"/>
    <w:rsid w:val="00FE15EB"/>
    <w:rsid w:val="00FE5E3E"/>
    <w:rsid w:val="00FE5F2C"/>
    <w:rsid w:val="00FE6587"/>
    <w:rsid w:val="00FF1943"/>
    <w:rsid w:val="00FF64B9"/>
    <w:rsid w:val="00FF6AA8"/>
    <w:rsid w:val="00FF70C7"/>
    <w:rsid w:val="00FF76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14:docId w14:val="1C91ABD3"/>
  <w15:chartTrackingRefBased/>
  <w15:docId w15:val="{4F8BE9DF-85BA-4A1A-AAC0-9E5F8FC9E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966C1"/>
    <w:rPr>
      <w:rFonts w:ascii="Times New Roman" w:hAnsi="Times New Roman"/>
      <w:sz w:val="24"/>
    </w:rPr>
  </w:style>
  <w:style w:type="paragraph" w:styleId="Heading1">
    <w:name w:val="heading 1"/>
    <w:basedOn w:val="Normal"/>
    <w:link w:val="Heading1Char"/>
    <w:uiPriority w:val="9"/>
    <w:qFormat/>
    <w:rsid w:val="001410B2"/>
    <w:pPr>
      <w:spacing w:before="100" w:beforeAutospacing="1" w:after="100" w:afterAutospacing="1" w:line="240" w:lineRule="auto"/>
      <w:outlineLvl w:val="0"/>
    </w:pPr>
    <w:rPr>
      <w:rFonts w:eastAsia="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966C1"/>
    <w:rPr>
      <w:color w:val="0563C1" w:themeColor="hyperlink"/>
      <w:u w:val="single"/>
    </w:rPr>
  </w:style>
  <w:style w:type="paragraph" w:styleId="FootnoteText">
    <w:name w:val="footnote text"/>
    <w:basedOn w:val="Normal"/>
    <w:link w:val="FootnoteTextChar"/>
    <w:uiPriority w:val="99"/>
    <w:semiHidden/>
    <w:unhideWhenUsed/>
    <w:rsid w:val="003966C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966C1"/>
    <w:rPr>
      <w:rFonts w:ascii="Times New Roman" w:hAnsi="Times New Roman"/>
      <w:sz w:val="20"/>
      <w:szCs w:val="20"/>
    </w:rPr>
  </w:style>
  <w:style w:type="character" w:styleId="FootnoteReference">
    <w:name w:val="footnote reference"/>
    <w:basedOn w:val="DefaultParagraphFont"/>
    <w:uiPriority w:val="99"/>
    <w:semiHidden/>
    <w:unhideWhenUsed/>
    <w:rsid w:val="003966C1"/>
    <w:rPr>
      <w:vertAlign w:val="superscript"/>
    </w:rPr>
  </w:style>
  <w:style w:type="paragraph" w:styleId="ListParagraph">
    <w:name w:val="List Paragraph"/>
    <w:basedOn w:val="Normal"/>
    <w:uiPriority w:val="34"/>
    <w:qFormat/>
    <w:rsid w:val="00DE1A00"/>
    <w:pPr>
      <w:spacing w:after="0" w:line="240" w:lineRule="auto"/>
      <w:ind w:left="720"/>
      <w:contextualSpacing/>
    </w:pPr>
    <w:rPr>
      <w:rFonts w:eastAsia="Times New Roman" w:cs="Times New Roman"/>
      <w:szCs w:val="24"/>
    </w:rPr>
  </w:style>
  <w:style w:type="paragraph" w:styleId="Header">
    <w:name w:val="header"/>
    <w:basedOn w:val="Normal"/>
    <w:link w:val="HeaderChar"/>
    <w:uiPriority w:val="99"/>
    <w:unhideWhenUsed/>
    <w:rsid w:val="00DE1A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1A00"/>
    <w:rPr>
      <w:rFonts w:ascii="Times New Roman" w:hAnsi="Times New Roman"/>
      <w:sz w:val="24"/>
    </w:rPr>
  </w:style>
  <w:style w:type="paragraph" w:styleId="Footer">
    <w:name w:val="footer"/>
    <w:basedOn w:val="Normal"/>
    <w:link w:val="FooterChar"/>
    <w:uiPriority w:val="99"/>
    <w:unhideWhenUsed/>
    <w:rsid w:val="00DE1A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1A00"/>
    <w:rPr>
      <w:rFonts w:ascii="Times New Roman" w:hAnsi="Times New Roman"/>
      <w:sz w:val="24"/>
    </w:rPr>
  </w:style>
  <w:style w:type="paragraph" w:styleId="BalloonText">
    <w:name w:val="Balloon Text"/>
    <w:basedOn w:val="Normal"/>
    <w:link w:val="BalloonTextChar"/>
    <w:uiPriority w:val="99"/>
    <w:semiHidden/>
    <w:unhideWhenUsed/>
    <w:rsid w:val="00DE1A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1A00"/>
    <w:rPr>
      <w:rFonts w:ascii="Segoe UI" w:hAnsi="Segoe UI" w:cs="Segoe UI"/>
      <w:sz w:val="18"/>
      <w:szCs w:val="18"/>
    </w:rPr>
  </w:style>
  <w:style w:type="paragraph" w:styleId="NoSpacing">
    <w:name w:val="No Spacing"/>
    <w:uiPriority w:val="1"/>
    <w:qFormat/>
    <w:rsid w:val="00DE1A00"/>
    <w:pPr>
      <w:spacing w:after="0" w:line="240" w:lineRule="auto"/>
    </w:pPr>
    <w:rPr>
      <w:rFonts w:ascii="Times New Roman" w:hAnsi="Times New Roman"/>
      <w:sz w:val="24"/>
    </w:rPr>
  </w:style>
  <w:style w:type="character" w:styleId="FollowedHyperlink">
    <w:name w:val="FollowedHyperlink"/>
    <w:basedOn w:val="DefaultParagraphFont"/>
    <w:uiPriority w:val="99"/>
    <w:semiHidden/>
    <w:unhideWhenUsed/>
    <w:rsid w:val="00844746"/>
    <w:rPr>
      <w:color w:val="954F72" w:themeColor="followedHyperlink"/>
      <w:u w:val="single"/>
    </w:rPr>
  </w:style>
  <w:style w:type="character" w:customStyle="1" w:styleId="apple-converted-space">
    <w:name w:val="apple-converted-space"/>
    <w:basedOn w:val="DefaultParagraphFont"/>
    <w:rsid w:val="00317A22"/>
  </w:style>
  <w:style w:type="paragraph" w:styleId="Revision">
    <w:name w:val="Revision"/>
    <w:hidden/>
    <w:uiPriority w:val="99"/>
    <w:semiHidden/>
    <w:rsid w:val="00D72D72"/>
    <w:pPr>
      <w:spacing w:after="0" w:line="240" w:lineRule="auto"/>
    </w:pPr>
    <w:rPr>
      <w:rFonts w:ascii="Times New Roman" w:hAnsi="Times New Roman"/>
      <w:sz w:val="24"/>
    </w:rPr>
  </w:style>
  <w:style w:type="character" w:styleId="Mention">
    <w:name w:val="Mention"/>
    <w:basedOn w:val="DefaultParagraphFont"/>
    <w:uiPriority w:val="99"/>
    <w:semiHidden/>
    <w:unhideWhenUsed/>
    <w:rsid w:val="00065B16"/>
    <w:rPr>
      <w:color w:val="2B579A"/>
      <w:shd w:val="clear" w:color="auto" w:fill="E6E6E6"/>
    </w:rPr>
  </w:style>
  <w:style w:type="table" w:styleId="TableGrid">
    <w:name w:val="Table Grid"/>
    <w:basedOn w:val="TableNormal"/>
    <w:uiPriority w:val="39"/>
    <w:rsid w:val="00453C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A2DCC"/>
    <w:rPr>
      <w:color w:val="808080"/>
      <w:shd w:val="clear" w:color="auto" w:fill="E6E6E6"/>
    </w:rPr>
  </w:style>
  <w:style w:type="character" w:customStyle="1" w:styleId="Heading1Char">
    <w:name w:val="Heading 1 Char"/>
    <w:basedOn w:val="DefaultParagraphFont"/>
    <w:link w:val="Heading1"/>
    <w:uiPriority w:val="9"/>
    <w:rsid w:val="001410B2"/>
    <w:rPr>
      <w:rFonts w:ascii="Times New Roman" w:eastAsia="Times New Roman" w:hAnsi="Times New Roman" w:cs="Times New Roman"/>
      <w:b/>
      <w:bCs/>
      <w:kern w:val="36"/>
      <w:sz w:val="48"/>
      <w:szCs w:val="48"/>
    </w:rPr>
  </w:style>
  <w:style w:type="character" w:styleId="HTMLCite">
    <w:name w:val="HTML Cite"/>
    <w:basedOn w:val="DefaultParagraphFont"/>
    <w:uiPriority w:val="99"/>
    <w:semiHidden/>
    <w:unhideWhenUsed/>
    <w:rsid w:val="001410B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090349">
      <w:bodyDiv w:val="1"/>
      <w:marLeft w:val="0"/>
      <w:marRight w:val="0"/>
      <w:marTop w:val="0"/>
      <w:marBottom w:val="0"/>
      <w:divBdr>
        <w:top w:val="none" w:sz="0" w:space="0" w:color="auto"/>
        <w:left w:val="none" w:sz="0" w:space="0" w:color="auto"/>
        <w:bottom w:val="none" w:sz="0" w:space="0" w:color="auto"/>
        <w:right w:val="none" w:sz="0" w:space="0" w:color="auto"/>
      </w:divBdr>
      <w:divsChild>
        <w:div w:id="426973082">
          <w:marLeft w:val="360"/>
          <w:marRight w:val="0"/>
          <w:marTop w:val="200"/>
          <w:marBottom w:val="0"/>
          <w:divBdr>
            <w:top w:val="none" w:sz="0" w:space="0" w:color="auto"/>
            <w:left w:val="none" w:sz="0" w:space="0" w:color="auto"/>
            <w:bottom w:val="none" w:sz="0" w:space="0" w:color="auto"/>
            <w:right w:val="none" w:sz="0" w:space="0" w:color="auto"/>
          </w:divBdr>
        </w:div>
      </w:divsChild>
    </w:div>
    <w:div w:id="270667624">
      <w:bodyDiv w:val="1"/>
      <w:marLeft w:val="0"/>
      <w:marRight w:val="0"/>
      <w:marTop w:val="0"/>
      <w:marBottom w:val="0"/>
      <w:divBdr>
        <w:top w:val="none" w:sz="0" w:space="0" w:color="auto"/>
        <w:left w:val="none" w:sz="0" w:space="0" w:color="auto"/>
        <w:bottom w:val="none" w:sz="0" w:space="0" w:color="auto"/>
        <w:right w:val="none" w:sz="0" w:space="0" w:color="auto"/>
      </w:divBdr>
      <w:divsChild>
        <w:div w:id="539514906">
          <w:marLeft w:val="360"/>
          <w:marRight w:val="0"/>
          <w:marTop w:val="200"/>
          <w:marBottom w:val="0"/>
          <w:divBdr>
            <w:top w:val="none" w:sz="0" w:space="0" w:color="auto"/>
            <w:left w:val="none" w:sz="0" w:space="0" w:color="auto"/>
            <w:bottom w:val="none" w:sz="0" w:space="0" w:color="auto"/>
            <w:right w:val="none" w:sz="0" w:space="0" w:color="auto"/>
          </w:divBdr>
        </w:div>
        <w:div w:id="625089801">
          <w:marLeft w:val="360"/>
          <w:marRight w:val="0"/>
          <w:marTop w:val="200"/>
          <w:marBottom w:val="0"/>
          <w:divBdr>
            <w:top w:val="none" w:sz="0" w:space="0" w:color="auto"/>
            <w:left w:val="none" w:sz="0" w:space="0" w:color="auto"/>
            <w:bottom w:val="none" w:sz="0" w:space="0" w:color="auto"/>
            <w:right w:val="none" w:sz="0" w:space="0" w:color="auto"/>
          </w:divBdr>
        </w:div>
        <w:div w:id="2135783163">
          <w:marLeft w:val="360"/>
          <w:marRight w:val="0"/>
          <w:marTop w:val="200"/>
          <w:marBottom w:val="0"/>
          <w:divBdr>
            <w:top w:val="none" w:sz="0" w:space="0" w:color="auto"/>
            <w:left w:val="none" w:sz="0" w:space="0" w:color="auto"/>
            <w:bottom w:val="none" w:sz="0" w:space="0" w:color="auto"/>
            <w:right w:val="none" w:sz="0" w:space="0" w:color="auto"/>
          </w:divBdr>
        </w:div>
      </w:divsChild>
    </w:div>
    <w:div w:id="680814095">
      <w:bodyDiv w:val="1"/>
      <w:marLeft w:val="0"/>
      <w:marRight w:val="0"/>
      <w:marTop w:val="0"/>
      <w:marBottom w:val="0"/>
      <w:divBdr>
        <w:top w:val="none" w:sz="0" w:space="0" w:color="auto"/>
        <w:left w:val="none" w:sz="0" w:space="0" w:color="auto"/>
        <w:bottom w:val="none" w:sz="0" w:space="0" w:color="auto"/>
        <w:right w:val="none" w:sz="0" w:space="0" w:color="auto"/>
      </w:divBdr>
      <w:divsChild>
        <w:div w:id="1979533245">
          <w:marLeft w:val="360"/>
          <w:marRight w:val="0"/>
          <w:marTop w:val="200"/>
          <w:marBottom w:val="0"/>
          <w:divBdr>
            <w:top w:val="none" w:sz="0" w:space="0" w:color="auto"/>
            <w:left w:val="none" w:sz="0" w:space="0" w:color="auto"/>
            <w:bottom w:val="none" w:sz="0" w:space="0" w:color="auto"/>
            <w:right w:val="none" w:sz="0" w:space="0" w:color="auto"/>
          </w:divBdr>
        </w:div>
      </w:divsChild>
    </w:div>
    <w:div w:id="1063139820">
      <w:bodyDiv w:val="1"/>
      <w:marLeft w:val="0"/>
      <w:marRight w:val="0"/>
      <w:marTop w:val="0"/>
      <w:marBottom w:val="0"/>
      <w:divBdr>
        <w:top w:val="none" w:sz="0" w:space="0" w:color="auto"/>
        <w:left w:val="none" w:sz="0" w:space="0" w:color="auto"/>
        <w:bottom w:val="none" w:sz="0" w:space="0" w:color="auto"/>
        <w:right w:val="none" w:sz="0" w:space="0" w:color="auto"/>
      </w:divBdr>
      <w:divsChild>
        <w:div w:id="5061815">
          <w:marLeft w:val="360"/>
          <w:marRight w:val="0"/>
          <w:marTop w:val="200"/>
          <w:marBottom w:val="0"/>
          <w:divBdr>
            <w:top w:val="none" w:sz="0" w:space="0" w:color="auto"/>
            <w:left w:val="none" w:sz="0" w:space="0" w:color="auto"/>
            <w:bottom w:val="none" w:sz="0" w:space="0" w:color="auto"/>
            <w:right w:val="none" w:sz="0" w:space="0" w:color="auto"/>
          </w:divBdr>
        </w:div>
        <w:div w:id="187573217">
          <w:marLeft w:val="360"/>
          <w:marRight w:val="0"/>
          <w:marTop w:val="200"/>
          <w:marBottom w:val="0"/>
          <w:divBdr>
            <w:top w:val="none" w:sz="0" w:space="0" w:color="auto"/>
            <w:left w:val="none" w:sz="0" w:space="0" w:color="auto"/>
            <w:bottom w:val="none" w:sz="0" w:space="0" w:color="auto"/>
            <w:right w:val="none" w:sz="0" w:space="0" w:color="auto"/>
          </w:divBdr>
        </w:div>
        <w:div w:id="751509333">
          <w:marLeft w:val="360"/>
          <w:marRight w:val="0"/>
          <w:marTop w:val="200"/>
          <w:marBottom w:val="0"/>
          <w:divBdr>
            <w:top w:val="none" w:sz="0" w:space="0" w:color="auto"/>
            <w:left w:val="none" w:sz="0" w:space="0" w:color="auto"/>
            <w:bottom w:val="none" w:sz="0" w:space="0" w:color="auto"/>
            <w:right w:val="none" w:sz="0" w:space="0" w:color="auto"/>
          </w:divBdr>
        </w:div>
      </w:divsChild>
    </w:div>
    <w:div w:id="1064374084">
      <w:bodyDiv w:val="1"/>
      <w:marLeft w:val="0"/>
      <w:marRight w:val="0"/>
      <w:marTop w:val="0"/>
      <w:marBottom w:val="0"/>
      <w:divBdr>
        <w:top w:val="none" w:sz="0" w:space="0" w:color="auto"/>
        <w:left w:val="none" w:sz="0" w:space="0" w:color="auto"/>
        <w:bottom w:val="none" w:sz="0" w:space="0" w:color="auto"/>
        <w:right w:val="none" w:sz="0" w:space="0" w:color="auto"/>
      </w:divBdr>
      <w:divsChild>
        <w:div w:id="1954022148">
          <w:marLeft w:val="360"/>
          <w:marRight w:val="0"/>
          <w:marTop w:val="200"/>
          <w:marBottom w:val="0"/>
          <w:divBdr>
            <w:top w:val="none" w:sz="0" w:space="0" w:color="auto"/>
            <w:left w:val="none" w:sz="0" w:space="0" w:color="auto"/>
            <w:bottom w:val="none" w:sz="0" w:space="0" w:color="auto"/>
            <w:right w:val="none" w:sz="0" w:space="0" w:color="auto"/>
          </w:divBdr>
        </w:div>
        <w:div w:id="2024548948">
          <w:marLeft w:val="360"/>
          <w:marRight w:val="0"/>
          <w:marTop w:val="200"/>
          <w:marBottom w:val="0"/>
          <w:divBdr>
            <w:top w:val="none" w:sz="0" w:space="0" w:color="auto"/>
            <w:left w:val="none" w:sz="0" w:space="0" w:color="auto"/>
            <w:bottom w:val="none" w:sz="0" w:space="0" w:color="auto"/>
            <w:right w:val="none" w:sz="0" w:space="0" w:color="auto"/>
          </w:divBdr>
        </w:div>
      </w:divsChild>
    </w:div>
    <w:div w:id="1341347575">
      <w:bodyDiv w:val="1"/>
      <w:marLeft w:val="0"/>
      <w:marRight w:val="0"/>
      <w:marTop w:val="0"/>
      <w:marBottom w:val="0"/>
      <w:divBdr>
        <w:top w:val="none" w:sz="0" w:space="0" w:color="auto"/>
        <w:left w:val="none" w:sz="0" w:space="0" w:color="auto"/>
        <w:bottom w:val="none" w:sz="0" w:space="0" w:color="auto"/>
        <w:right w:val="none" w:sz="0" w:space="0" w:color="auto"/>
      </w:divBdr>
      <w:divsChild>
        <w:div w:id="582687244">
          <w:marLeft w:val="360"/>
          <w:marRight w:val="0"/>
          <w:marTop w:val="200"/>
          <w:marBottom w:val="0"/>
          <w:divBdr>
            <w:top w:val="none" w:sz="0" w:space="0" w:color="auto"/>
            <w:left w:val="none" w:sz="0" w:space="0" w:color="auto"/>
            <w:bottom w:val="none" w:sz="0" w:space="0" w:color="auto"/>
            <w:right w:val="none" w:sz="0" w:space="0" w:color="auto"/>
          </w:divBdr>
        </w:div>
        <w:div w:id="680082476">
          <w:marLeft w:val="360"/>
          <w:marRight w:val="0"/>
          <w:marTop w:val="200"/>
          <w:marBottom w:val="0"/>
          <w:divBdr>
            <w:top w:val="none" w:sz="0" w:space="0" w:color="auto"/>
            <w:left w:val="none" w:sz="0" w:space="0" w:color="auto"/>
            <w:bottom w:val="none" w:sz="0" w:space="0" w:color="auto"/>
            <w:right w:val="none" w:sz="0" w:space="0" w:color="auto"/>
          </w:divBdr>
        </w:div>
        <w:div w:id="1247685894">
          <w:marLeft w:val="360"/>
          <w:marRight w:val="0"/>
          <w:marTop w:val="200"/>
          <w:marBottom w:val="0"/>
          <w:divBdr>
            <w:top w:val="none" w:sz="0" w:space="0" w:color="auto"/>
            <w:left w:val="none" w:sz="0" w:space="0" w:color="auto"/>
            <w:bottom w:val="none" w:sz="0" w:space="0" w:color="auto"/>
            <w:right w:val="none" w:sz="0" w:space="0" w:color="auto"/>
          </w:divBdr>
        </w:div>
      </w:divsChild>
    </w:div>
    <w:div w:id="1630431057">
      <w:bodyDiv w:val="1"/>
      <w:marLeft w:val="0"/>
      <w:marRight w:val="0"/>
      <w:marTop w:val="0"/>
      <w:marBottom w:val="0"/>
      <w:divBdr>
        <w:top w:val="none" w:sz="0" w:space="0" w:color="auto"/>
        <w:left w:val="none" w:sz="0" w:space="0" w:color="auto"/>
        <w:bottom w:val="none" w:sz="0" w:space="0" w:color="auto"/>
        <w:right w:val="none" w:sz="0" w:space="0" w:color="auto"/>
      </w:divBdr>
      <w:divsChild>
        <w:div w:id="221839836">
          <w:marLeft w:val="360"/>
          <w:marRight w:val="0"/>
          <w:marTop w:val="200"/>
          <w:marBottom w:val="0"/>
          <w:divBdr>
            <w:top w:val="none" w:sz="0" w:space="0" w:color="auto"/>
            <w:left w:val="none" w:sz="0" w:space="0" w:color="auto"/>
            <w:bottom w:val="none" w:sz="0" w:space="0" w:color="auto"/>
            <w:right w:val="none" w:sz="0" w:space="0" w:color="auto"/>
          </w:divBdr>
        </w:div>
      </w:divsChild>
    </w:div>
    <w:div w:id="1667246226">
      <w:bodyDiv w:val="1"/>
      <w:marLeft w:val="0"/>
      <w:marRight w:val="0"/>
      <w:marTop w:val="0"/>
      <w:marBottom w:val="0"/>
      <w:divBdr>
        <w:top w:val="none" w:sz="0" w:space="0" w:color="auto"/>
        <w:left w:val="none" w:sz="0" w:space="0" w:color="auto"/>
        <w:bottom w:val="none" w:sz="0" w:space="0" w:color="auto"/>
        <w:right w:val="none" w:sz="0" w:space="0" w:color="auto"/>
      </w:divBdr>
      <w:divsChild>
        <w:div w:id="381753168">
          <w:marLeft w:val="0"/>
          <w:marRight w:val="0"/>
          <w:marTop w:val="0"/>
          <w:marBottom w:val="0"/>
          <w:divBdr>
            <w:top w:val="none" w:sz="0" w:space="0" w:color="auto"/>
            <w:left w:val="none" w:sz="0" w:space="0" w:color="auto"/>
            <w:bottom w:val="none" w:sz="0" w:space="0" w:color="auto"/>
            <w:right w:val="none" w:sz="0" w:space="0" w:color="auto"/>
          </w:divBdr>
        </w:div>
        <w:div w:id="689916487">
          <w:marLeft w:val="0"/>
          <w:marRight w:val="60"/>
          <w:marTop w:val="0"/>
          <w:marBottom w:val="0"/>
          <w:divBdr>
            <w:top w:val="none" w:sz="0" w:space="0" w:color="auto"/>
            <w:left w:val="none" w:sz="0" w:space="0" w:color="auto"/>
            <w:bottom w:val="none" w:sz="0" w:space="0" w:color="auto"/>
            <w:right w:val="none" w:sz="0" w:space="0" w:color="auto"/>
          </w:divBdr>
        </w:div>
        <w:div w:id="1968584070">
          <w:marLeft w:val="0"/>
          <w:marRight w:val="0"/>
          <w:marTop w:val="0"/>
          <w:marBottom w:val="0"/>
          <w:divBdr>
            <w:top w:val="none" w:sz="0" w:space="0" w:color="auto"/>
            <w:left w:val="none" w:sz="0" w:space="0" w:color="auto"/>
            <w:bottom w:val="none" w:sz="0" w:space="0" w:color="auto"/>
            <w:right w:val="none" w:sz="0" w:space="0" w:color="auto"/>
          </w:divBdr>
        </w:div>
        <w:div w:id="2038850076">
          <w:marLeft w:val="0"/>
          <w:marRight w:val="0"/>
          <w:marTop w:val="0"/>
          <w:marBottom w:val="0"/>
          <w:divBdr>
            <w:top w:val="none" w:sz="0" w:space="0" w:color="auto"/>
            <w:left w:val="none" w:sz="0" w:space="0" w:color="auto"/>
            <w:bottom w:val="none" w:sz="0" w:space="0" w:color="auto"/>
            <w:right w:val="none" w:sz="0" w:space="0" w:color="auto"/>
          </w:divBdr>
        </w:div>
      </w:divsChild>
    </w:div>
    <w:div w:id="1847591106">
      <w:bodyDiv w:val="1"/>
      <w:marLeft w:val="0"/>
      <w:marRight w:val="0"/>
      <w:marTop w:val="0"/>
      <w:marBottom w:val="0"/>
      <w:divBdr>
        <w:top w:val="none" w:sz="0" w:space="0" w:color="auto"/>
        <w:left w:val="none" w:sz="0" w:space="0" w:color="auto"/>
        <w:bottom w:val="none" w:sz="0" w:space="0" w:color="auto"/>
        <w:right w:val="none" w:sz="0" w:space="0" w:color="auto"/>
      </w:divBdr>
    </w:div>
    <w:div w:id="1939365006">
      <w:bodyDiv w:val="1"/>
      <w:marLeft w:val="0"/>
      <w:marRight w:val="0"/>
      <w:marTop w:val="0"/>
      <w:marBottom w:val="0"/>
      <w:divBdr>
        <w:top w:val="none" w:sz="0" w:space="0" w:color="auto"/>
        <w:left w:val="none" w:sz="0" w:space="0" w:color="auto"/>
        <w:bottom w:val="none" w:sz="0" w:space="0" w:color="auto"/>
        <w:right w:val="none" w:sz="0" w:space="0" w:color="auto"/>
      </w:divBdr>
      <w:divsChild>
        <w:div w:id="1603225140">
          <w:marLeft w:val="360"/>
          <w:marRight w:val="0"/>
          <w:marTop w:val="200"/>
          <w:marBottom w:val="0"/>
          <w:divBdr>
            <w:top w:val="none" w:sz="0" w:space="0" w:color="auto"/>
            <w:left w:val="none" w:sz="0" w:space="0" w:color="auto"/>
            <w:bottom w:val="none" w:sz="0" w:space="0" w:color="auto"/>
            <w:right w:val="none" w:sz="0" w:space="0" w:color="auto"/>
          </w:divBdr>
        </w:div>
        <w:div w:id="1880236725">
          <w:marLeft w:val="360"/>
          <w:marRight w:val="0"/>
          <w:marTop w:val="200"/>
          <w:marBottom w:val="0"/>
          <w:divBdr>
            <w:top w:val="none" w:sz="0" w:space="0" w:color="auto"/>
            <w:left w:val="none" w:sz="0" w:space="0" w:color="auto"/>
            <w:bottom w:val="none" w:sz="0" w:space="0" w:color="auto"/>
            <w:right w:val="none" w:sz="0" w:space="0" w:color="auto"/>
          </w:divBdr>
        </w:div>
        <w:div w:id="2050911009">
          <w:marLeft w:val="360"/>
          <w:marRight w:val="0"/>
          <w:marTop w:val="200"/>
          <w:marBottom w:val="0"/>
          <w:divBdr>
            <w:top w:val="none" w:sz="0" w:space="0" w:color="auto"/>
            <w:left w:val="none" w:sz="0" w:space="0" w:color="auto"/>
            <w:bottom w:val="none" w:sz="0" w:space="0" w:color="auto"/>
            <w:right w:val="none" w:sz="0" w:space="0" w:color="auto"/>
          </w:divBdr>
        </w:div>
      </w:divsChild>
    </w:div>
    <w:div w:id="2048676864">
      <w:bodyDiv w:val="1"/>
      <w:marLeft w:val="0"/>
      <w:marRight w:val="0"/>
      <w:marTop w:val="0"/>
      <w:marBottom w:val="0"/>
      <w:divBdr>
        <w:top w:val="none" w:sz="0" w:space="0" w:color="auto"/>
        <w:left w:val="none" w:sz="0" w:space="0" w:color="auto"/>
        <w:bottom w:val="none" w:sz="0" w:space="0" w:color="auto"/>
        <w:right w:val="none" w:sz="0" w:space="0" w:color="auto"/>
      </w:divBdr>
      <w:divsChild>
        <w:div w:id="561910078">
          <w:marLeft w:val="360"/>
          <w:marRight w:val="0"/>
          <w:marTop w:val="200"/>
          <w:marBottom w:val="0"/>
          <w:divBdr>
            <w:top w:val="none" w:sz="0" w:space="0" w:color="auto"/>
            <w:left w:val="none" w:sz="0" w:space="0" w:color="auto"/>
            <w:bottom w:val="none" w:sz="0" w:space="0" w:color="auto"/>
            <w:right w:val="none" w:sz="0" w:space="0" w:color="auto"/>
          </w:divBdr>
        </w:div>
        <w:div w:id="659161961">
          <w:marLeft w:val="360"/>
          <w:marRight w:val="0"/>
          <w:marTop w:val="200"/>
          <w:marBottom w:val="0"/>
          <w:divBdr>
            <w:top w:val="none" w:sz="0" w:space="0" w:color="auto"/>
            <w:left w:val="none" w:sz="0" w:space="0" w:color="auto"/>
            <w:bottom w:val="none" w:sz="0" w:space="0" w:color="auto"/>
            <w:right w:val="none" w:sz="0" w:space="0" w:color="auto"/>
          </w:divBdr>
        </w:div>
        <w:div w:id="722144143">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field@scu.edu" TargetMode="External"/><Relationship Id="rId13" Type="http://schemas.openxmlformats.org/officeDocument/2006/relationships/hyperlink" Target="http://www.jstor.org/stable/78750" TargetMode="External"/><Relationship Id="rId18" Type="http://schemas.openxmlformats.org/officeDocument/2006/relationships/hyperlink" Target="https://fred.stlouisfed.org/series/A0201AUSA176NNB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en.wikipedia.org/wiki/World_War_II_aircraft_production" TargetMode="External"/><Relationship Id="rId7" Type="http://schemas.openxmlformats.org/officeDocument/2006/relationships/endnotes" Target="endnotes.xml"/><Relationship Id="rId12" Type="http://schemas.openxmlformats.org/officeDocument/2006/relationships/hyperlink" Target="https://www.ted.com/talks/erik_brynjolfsson_the_key_to_growth_race_em_with_em_the_machines" TargetMode="External"/><Relationship Id="rId17" Type="http://schemas.openxmlformats.org/officeDocument/2006/relationships/hyperlink" Target="https://www.project-syndicate.org/commentary/technology-and-economic-growth-by-joel-mokyr-2016-11" TargetMode="External"/><Relationship Id="rId25" Type="http://schemas.openxmlformats.org/officeDocument/2006/relationships/hyperlink" Target="http://www.bls.gov" TargetMode="External"/><Relationship Id="rId2" Type="http://schemas.openxmlformats.org/officeDocument/2006/relationships/numbering" Target="numbering.xml"/><Relationship Id="rId16" Type="http://schemas.openxmlformats.org/officeDocument/2006/relationships/hyperlink" Target="http://www.prospectmagazine.co.uk/magazine/relax-economic-pessimists-robert-gordon-lawrence-summers-economic-growth-not-over" TargetMode="External"/><Relationship Id="rId20" Type="http://schemas.openxmlformats.org/officeDocument/2006/relationships/hyperlink" Target="https://en.wikipedia.org/wiki/List_of_most-produced_aircraf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24" Type="http://schemas.openxmlformats.org/officeDocument/2006/relationships/hyperlink" Target="http://www.bls.gov" TargetMode="External"/><Relationship Id="rId5" Type="http://schemas.openxmlformats.org/officeDocument/2006/relationships/webSettings" Target="webSettings.xml"/><Relationship Id="rId15" Type="http://schemas.openxmlformats.org/officeDocument/2006/relationships/hyperlink" Target="https://fee.org/articles/private-capital-consumption-another-downside-of-the-wartime-miracle-of-production/?utm_medium=popular_widget" TargetMode="External"/><Relationship Id="rId23"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hyperlink" Target="http://www.bea.gov" TargetMode="External"/><Relationship Id="rId4" Type="http://schemas.openxmlformats.org/officeDocument/2006/relationships/settings" Target="settings.xml"/><Relationship Id="rId9" Type="http://schemas.openxmlformats.org/officeDocument/2006/relationships/customXml" Target="ink/ink1.xml"/><Relationship Id="rId14" Type="http://schemas.openxmlformats.org/officeDocument/2006/relationships/hyperlink" Target="https://www.ted.com/talks/robert_gordon_the_death_of_innovation_the_end_of_growth" TargetMode="External"/><Relationship Id="rId22" Type="http://schemas.openxmlformats.org/officeDocument/2006/relationships/footer" Target="footer1.xml"/><Relationship Id="rId27" Type="http://schemas.openxmlformats.org/officeDocument/2006/relationships/theme" Target="theme/theme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7-02-13T23:43:15.424"/>
    </inkml:context>
    <inkml:brush xml:id="br0">
      <inkml:brushProperty name="width" value="0.03533" units="cm"/>
      <inkml:brushProperty name="height" value="0.03533" units="cm"/>
    </inkml:brush>
  </inkml:definitions>
  <inkml:trace contextRef="#ctx0" brushRef="#br0">1933 618 5504,'-27'0'2688,"1"27"-2304,26-27 4864,0 0-5376,0 0 0,0-27-1024,26 27 128,-26 0-128,53-26 128</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6E06E9-8EF8-4480-A03A-A24041A79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58</Pages>
  <Words>13952</Words>
  <Characters>79533</Characters>
  <Application>Microsoft Office Word</Application>
  <DocSecurity>0</DocSecurity>
  <Lines>662</Lines>
  <Paragraphs>186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Field</dc:creator>
  <cp:keywords/>
  <dc:description/>
  <cp:lastModifiedBy>Alex Field</cp:lastModifiedBy>
  <cp:revision>1</cp:revision>
  <cp:lastPrinted>2017-06-18T13:51:00Z</cp:lastPrinted>
  <dcterms:created xsi:type="dcterms:W3CDTF">2018-01-08T19:14:00Z</dcterms:created>
  <dcterms:modified xsi:type="dcterms:W3CDTF">2018-01-09T04:56:00Z</dcterms:modified>
</cp:coreProperties>
</file>